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Ex1.xml" ContentType="application/vnd.ms-office.chartex+xml"/>
  <Override PartName="/word/charts/style9.xml" ContentType="application/vnd.ms-office.chartstyle+xml"/>
  <Override PartName="/word/charts/colors9.xml" ContentType="application/vnd.ms-office.chartcolorstyle+xml"/>
  <Override PartName="/word/theme/themeOverride2.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3.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4.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5.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6.xml" ContentType="application/vnd.openxmlformats-officedocument.themeOverride+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7.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8.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9.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E33D5" w14:textId="00B2E2A1" w:rsidR="00DC63BE" w:rsidRPr="00B46C3E" w:rsidRDefault="000B7917" w:rsidP="00D828A6">
      <w:pPr>
        <w:spacing w:after="0" w:line="259" w:lineRule="auto"/>
        <w:ind w:left="0" w:firstLine="0"/>
        <w:rPr>
          <w:rFonts w:ascii="Palatino Linotype" w:hAnsi="Palatino Linotype"/>
          <w:b/>
          <w:bCs/>
          <w:color w:val="002060"/>
          <w:sz w:val="48"/>
          <w:szCs w:val="48"/>
        </w:rPr>
      </w:pPr>
      <w:r w:rsidRPr="7388B30C">
        <w:rPr>
          <w:rFonts w:ascii="Palatino Linotype" w:hAnsi="Palatino Linotype"/>
          <w:b/>
          <w:bCs/>
          <w:color w:val="002060"/>
          <w:sz w:val="48"/>
          <w:szCs w:val="48"/>
        </w:rPr>
        <w:t xml:space="preserve">Tax </w:t>
      </w:r>
      <w:r w:rsidR="4DFEBFFF" w:rsidRPr="7388B30C">
        <w:rPr>
          <w:rFonts w:ascii="Palatino Linotype" w:hAnsi="Palatino Linotype"/>
          <w:b/>
          <w:bCs/>
          <w:color w:val="002060"/>
          <w:sz w:val="48"/>
          <w:szCs w:val="48"/>
        </w:rPr>
        <w:t>Policy Review</w:t>
      </w:r>
      <w:r w:rsidRPr="7388B30C">
        <w:rPr>
          <w:rFonts w:ascii="Palatino Linotype" w:hAnsi="Palatino Linotype"/>
          <w:b/>
          <w:bCs/>
          <w:color w:val="002060"/>
          <w:sz w:val="48"/>
          <w:szCs w:val="48"/>
        </w:rPr>
        <w:t xml:space="preserve"> in Indonesia:</w:t>
      </w:r>
    </w:p>
    <w:p w14:paraId="4C0F3C5E" w14:textId="2AFE7EE5" w:rsidR="001C633A" w:rsidRPr="0039799D" w:rsidRDefault="0048531A" w:rsidP="7388B30C">
      <w:pPr>
        <w:spacing w:after="160" w:line="259" w:lineRule="auto"/>
        <w:ind w:left="0" w:firstLine="0"/>
        <w:rPr>
          <w:i/>
          <w:iCs/>
          <w:sz w:val="28"/>
          <w:szCs w:val="28"/>
        </w:rPr>
      </w:pPr>
      <w:r w:rsidRPr="7388B30C">
        <w:rPr>
          <w:i/>
          <w:iCs/>
          <w:sz w:val="28"/>
          <w:szCs w:val="28"/>
        </w:rPr>
        <w:t xml:space="preserve">Corporate Income Tax, Alternative Final </w:t>
      </w:r>
      <w:r w:rsidR="00DC63BE" w:rsidRPr="7388B30C">
        <w:rPr>
          <w:i/>
          <w:iCs/>
          <w:sz w:val="28"/>
          <w:szCs w:val="28"/>
        </w:rPr>
        <w:t xml:space="preserve">Tax, and Value-Added Tax </w:t>
      </w:r>
    </w:p>
    <w:p w14:paraId="31304218" w14:textId="77777777" w:rsidR="00666832" w:rsidRDefault="00666832" w:rsidP="00666832">
      <w:pPr>
        <w:ind w:left="0" w:firstLine="0"/>
      </w:pPr>
    </w:p>
    <w:p w14:paraId="5F467461" w14:textId="77777777" w:rsidR="00666832" w:rsidRDefault="00666832" w:rsidP="00666832">
      <w:pPr>
        <w:ind w:left="0" w:firstLine="0"/>
      </w:pPr>
    </w:p>
    <w:p w14:paraId="62819DBF" w14:textId="77777777" w:rsidR="00666832" w:rsidRDefault="00666832" w:rsidP="00666832">
      <w:pPr>
        <w:ind w:left="0" w:firstLine="0"/>
      </w:pPr>
    </w:p>
    <w:p w14:paraId="4F9E1C27" w14:textId="77777777" w:rsidR="00666832" w:rsidRDefault="00666832" w:rsidP="00666832">
      <w:pPr>
        <w:ind w:left="0" w:firstLine="0"/>
      </w:pPr>
    </w:p>
    <w:p w14:paraId="589B09D4" w14:textId="77777777" w:rsidR="00666832" w:rsidRDefault="00666832" w:rsidP="00666832">
      <w:pPr>
        <w:ind w:left="0" w:firstLine="0"/>
      </w:pPr>
    </w:p>
    <w:p w14:paraId="5B15F91F" w14:textId="77777777" w:rsidR="00666832" w:rsidRDefault="00666832" w:rsidP="00666832">
      <w:pPr>
        <w:ind w:left="0" w:firstLine="0"/>
      </w:pPr>
    </w:p>
    <w:p w14:paraId="1029FACA" w14:textId="77777777" w:rsidR="00666832" w:rsidRDefault="00666832" w:rsidP="00666832">
      <w:pPr>
        <w:ind w:left="0" w:firstLine="0"/>
      </w:pPr>
    </w:p>
    <w:p w14:paraId="636EF60E" w14:textId="77777777" w:rsidR="00666832" w:rsidRDefault="00666832" w:rsidP="00666832">
      <w:pPr>
        <w:ind w:left="0" w:firstLine="0"/>
      </w:pPr>
    </w:p>
    <w:p w14:paraId="2F9DA1E4" w14:textId="77777777" w:rsidR="00666832" w:rsidRDefault="00666832" w:rsidP="00666832">
      <w:pPr>
        <w:ind w:left="0" w:firstLine="0"/>
      </w:pPr>
    </w:p>
    <w:p w14:paraId="158B8E07" w14:textId="77777777" w:rsidR="001B44F9" w:rsidRDefault="001B44F9" w:rsidP="00666832">
      <w:pPr>
        <w:ind w:left="0" w:firstLine="0"/>
      </w:pPr>
    </w:p>
    <w:p w14:paraId="6158E86E" w14:textId="77777777" w:rsidR="001B44F9" w:rsidRDefault="001B44F9" w:rsidP="00666832">
      <w:pPr>
        <w:ind w:left="0" w:firstLine="0"/>
      </w:pPr>
    </w:p>
    <w:p w14:paraId="7CAC6EEE" w14:textId="77777777" w:rsidR="001B44F9" w:rsidRDefault="001B44F9" w:rsidP="00666832">
      <w:pPr>
        <w:ind w:left="0" w:firstLine="0"/>
      </w:pPr>
    </w:p>
    <w:p w14:paraId="77243173" w14:textId="77777777" w:rsidR="001B44F9" w:rsidRDefault="001B44F9" w:rsidP="00666832">
      <w:pPr>
        <w:ind w:left="0" w:firstLine="0"/>
      </w:pPr>
    </w:p>
    <w:p w14:paraId="452E0F6E" w14:textId="77777777" w:rsidR="001B44F9" w:rsidRDefault="001B44F9" w:rsidP="00666832">
      <w:pPr>
        <w:ind w:left="0" w:firstLine="0"/>
      </w:pPr>
    </w:p>
    <w:p w14:paraId="19249952" w14:textId="77777777" w:rsidR="001B44F9" w:rsidRDefault="001B44F9" w:rsidP="00666832">
      <w:pPr>
        <w:ind w:left="0" w:firstLine="0"/>
      </w:pPr>
    </w:p>
    <w:p w14:paraId="33D46C04" w14:textId="77777777" w:rsidR="00842F6C" w:rsidRDefault="00842F6C" w:rsidP="00666832">
      <w:pPr>
        <w:ind w:left="0" w:firstLine="0"/>
      </w:pPr>
    </w:p>
    <w:p w14:paraId="152A4CB1" w14:textId="77777777" w:rsidR="001B44F9" w:rsidRDefault="001B44F9" w:rsidP="00666832">
      <w:pPr>
        <w:ind w:left="0" w:firstLine="0"/>
      </w:pPr>
    </w:p>
    <w:p w14:paraId="52551627" w14:textId="77777777" w:rsidR="001B44F9" w:rsidRDefault="001B44F9" w:rsidP="00666832">
      <w:pPr>
        <w:ind w:left="0" w:firstLine="0"/>
      </w:pPr>
    </w:p>
    <w:p w14:paraId="008CDB3B" w14:textId="77777777" w:rsidR="00EB5F2B" w:rsidRDefault="00EB5F2B" w:rsidP="00666832">
      <w:pPr>
        <w:ind w:left="0" w:firstLine="0"/>
      </w:pPr>
    </w:p>
    <w:p w14:paraId="1074A7E6" w14:textId="77777777" w:rsidR="00EB5F2B" w:rsidRDefault="00EB5F2B" w:rsidP="00666832">
      <w:pPr>
        <w:ind w:left="0" w:firstLine="0"/>
      </w:pPr>
    </w:p>
    <w:p w14:paraId="561A5E50" w14:textId="62704F7B" w:rsidR="00666832" w:rsidRDefault="00842F6C" w:rsidP="00666832">
      <w:pPr>
        <w:ind w:left="0" w:firstLine="0"/>
      </w:pPr>
      <w:r>
        <w:t xml:space="preserve">Authors: </w:t>
      </w:r>
    </w:p>
    <w:p w14:paraId="5660C39B" w14:textId="46EBCBBD" w:rsidR="00666832" w:rsidRDefault="00842F6C" w:rsidP="00666832">
      <w:pPr>
        <w:ind w:left="0" w:firstLine="0"/>
      </w:pPr>
      <w:r w:rsidRPr="00842F6C">
        <w:rPr>
          <w:i/>
          <w:iCs/>
        </w:rPr>
        <w:t>Anthony Obeyesekere</w:t>
      </w:r>
      <w:r>
        <w:rPr>
          <w:i/>
          <w:iCs/>
        </w:rPr>
        <w:t xml:space="preserve"> and </w:t>
      </w:r>
      <w:r w:rsidRPr="00842F6C">
        <w:rPr>
          <w:i/>
          <w:iCs/>
        </w:rPr>
        <w:t>Ratih Dwi Rahmadanti</w:t>
      </w:r>
    </w:p>
    <w:p w14:paraId="2F5D95EE" w14:textId="77777777" w:rsidR="00842F6C" w:rsidRDefault="00842F6C" w:rsidP="00666832">
      <w:pPr>
        <w:ind w:left="0" w:firstLine="0"/>
      </w:pPr>
    </w:p>
    <w:p w14:paraId="15E45420" w14:textId="77777777" w:rsidR="00666832" w:rsidRDefault="00666832" w:rsidP="00666832">
      <w:pPr>
        <w:ind w:left="0" w:firstLine="0"/>
      </w:pPr>
    </w:p>
    <w:p w14:paraId="5AAAE424" w14:textId="54F43924" w:rsidR="00666832" w:rsidRDefault="00666832" w:rsidP="00666832">
      <w:pPr>
        <w:rPr>
          <w:rFonts w:ascii="Palatino Linotype" w:eastAsiaTheme="majorEastAsia" w:hAnsi="Palatino Linotype"/>
          <w:b/>
        </w:rPr>
      </w:pPr>
      <w:r>
        <w:rPr>
          <w:rFonts w:ascii="Palatino Linotype" w:eastAsiaTheme="majorEastAsia" w:hAnsi="Palatino Linotype"/>
          <w:b/>
        </w:rPr>
        <w:t xml:space="preserve">Version: </w:t>
      </w:r>
      <w:r w:rsidR="008E1499">
        <w:rPr>
          <w:rFonts w:ascii="Palatino Linotype" w:eastAsiaTheme="majorEastAsia" w:hAnsi="Palatino Linotype"/>
          <w:b/>
        </w:rPr>
        <w:t xml:space="preserve">xx </w:t>
      </w:r>
      <w:proofErr w:type="gramStart"/>
      <w:r w:rsidR="005D78A3">
        <w:rPr>
          <w:rFonts w:ascii="Palatino Linotype" w:eastAsiaTheme="majorEastAsia" w:hAnsi="Palatino Linotype"/>
          <w:b/>
        </w:rPr>
        <w:t>September</w:t>
      </w:r>
      <w:r>
        <w:rPr>
          <w:rFonts w:ascii="Palatino Linotype" w:eastAsiaTheme="majorEastAsia" w:hAnsi="Palatino Linotype"/>
          <w:b/>
        </w:rPr>
        <w:t>,</w:t>
      </w:r>
      <w:proofErr w:type="gramEnd"/>
      <w:r>
        <w:rPr>
          <w:rFonts w:ascii="Palatino Linotype" w:eastAsiaTheme="majorEastAsia" w:hAnsi="Palatino Linotype"/>
          <w:b/>
        </w:rPr>
        <w:t xml:space="preserve"> 202</w:t>
      </w:r>
      <w:r w:rsidR="00E77CA4">
        <w:rPr>
          <w:rFonts w:ascii="Palatino Linotype" w:eastAsiaTheme="majorEastAsia" w:hAnsi="Palatino Linotype"/>
          <w:b/>
        </w:rPr>
        <w:t>4</w:t>
      </w:r>
    </w:p>
    <w:p w14:paraId="68FF1D54" w14:textId="77777777" w:rsidR="00666832" w:rsidRDefault="00666832" w:rsidP="00666832">
      <w:pPr>
        <w:rPr>
          <w:rFonts w:ascii="Palatino Linotype" w:eastAsiaTheme="majorEastAsia" w:hAnsi="Palatino Linotype"/>
          <w:b/>
        </w:rPr>
      </w:pPr>
    </w:p>
    <w:p w14:paraId="1E152112" w14:textId="77777777" w:rsidR="00666832" w:rsidRDefault="00666832" w:rsidP="00666832">
      <w:pPr>
        <w:spacing w:after="0"/>
        <w:rPr>
          <w:rFonts w:ascii="Palatino Linotype" w:eastAsiaTheme="majorEastAsia" w:hAnsi="Palatino Linotype"/>
          <w:b/>
        </w:rPr>
      </w:pPr>
      <w:r>
        <w:rPr>
          <w:noProof/>
        </w:rPr>
        <w:drawing>
          <wp:inline distT="0" distB="0" distL="0" distR="0" wp14:anchorId="6D643DD7" wp14:editId="39A5608F">
            <wp:extent cx="2495027" cy="452387"/>
            <wp:effectExtent l="0" t="0" r="63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95027" cy="452387"/>
                    </a:xfrm>
                    <a:prstGeom prst="rect">
                      <a:avLst/>
                    </a:prstGeom>
                  </pic:spPr>
                </pic:pic>
              </a:graphicData>
            </a:graphic>
          </wp:inline>
        </w:drawing>
      </w:r>
    </w:p>
    <w:p w14:paraId="2BA26530" w14:textId="77777777" w:rsidR="00666832" w:rsidRDefault="00666832" w:rsidP="00666832">
      <w:r>
        <w:rPr>
          <w:noProof/>
        </w:rPr>
        <mc:AlternateContent>
          <mc:Choice Requires="wps">
            <w:drawing>
              <wp:anchor distT="45720" distB="45720" distL="114300" distR="114300" simplePos="0" relativeHeight="251658240" behindDoc="0" locked="0" layoutInCell="1" allowOverlap="1" wp14:anchorId="187626BE" wp14:editId="07B903DE">
                <wp:simplePos x="0" y="0"/>
                <wp:positionH relativeFrom="column">
                  <wp:posOffset>490855</wp:posOffset>
                </wp:positionH>
                <wp:positionV relativeFrom="paragraph">
                  <wp:posOffset>60325</wp:posOffset>
                </wp:positionV>
                <wp:extent cx="2627630" cy="471170"/>
                <wp:effectExtent l="0" t="0" r="1270" b="508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7630" cy="471170"/>
                        </a:xfrm>
                        <a:prstGeom prst="rect">
                          <a:avLst/>
                        </a:prstGeom>
                        <a:solidFill>
                          <a:srgbClr val="FFFFFF"/>
                        </a:solidFill>
                        <a:ln w="9525">
                          <a:noFill/>
                          <a:miter lim="800000"/>
                          <a:headEnd/>
                          <a:tailEnd/>
                        </a:ln>
                      </wps:spPr>
                      <wps:txbx>
                        <w:txbxContent>
                          <w:p w14:paraId="79D473FD" w14:textId="77777777" w:rsidR="00666832" w:rsidRPr="00F92579" w:rsidRDefault="00666832" w:rsidP="001B44F9">
                            <w:pPr>
                              <w:spacing w:after="0"/>
                              <w:ind w:left="0" w:firstLine="0"/>
                              <w:rPr>
                                <w:rFonts w:ascii="Palatino Linotype" w:hAnsi="Palatino Linotype"/>
                                <w:b/>
                              </w:rPr>
                            </w:pPr>
                            <w:r w:rsidRPr="00F92579">
                              <w:rPr>
                                <w:rFonts w:ascii="Palatino Linotype" w:hAnsi="Palatino Linotype"/>
                                <w:b/>
                              </w:rPr>
                              <w:t>Macroeconomic, Trade &amp; Investment Global Practice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7626BE" id="_x0000_t202" coordsize="21600,21600" o:spt="202" path="m,l,21600r21600,l21600,xe">
                <v:stroke joinstyle="miter"/>
                <v:path gradientshapeok="t" o:connecttype="rect"/>
              </v:shapetype>
              <v:shape id="Text Box 217" o:spid="_x0000_s1026" type="#_x0000_t202" style="position:absolute;left:0;text-align:left;margin-left:38.65pt;margin-top:4.75pt;width:206.9pt;height:37.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" stroked="f">
                <v:textbox>
                  <w:txbxContent>
                    <w:p w14:paraId="79D473FD" w14:textId="77777777" w:rsidR="00666832" w:rsidRPr="00F92579" w:rsidRDefault="00666832" w:rsidP="001B44F9">
                      <w:pPr>
                        <w:spacing w:after="0"/>
                        <w:ind w:left="0" w:firstLine="0"/>
                        <w:rPr>
                          <w:rFonts w:ascii="Palatino Linotype" w:hAnsi="Palatino Linotype"/>
                          <w:b/>
                        </w:rPr>
                      </w:pPr>
                      <w:r w:rsidRPr="00F92579">
                        <w:rPr>
                          <w:rFonts w:ascii="Palatino Linotype" w:hAnsi="Palatino Linotype"/>
                          <w:b/>
                        </w:rPr>
                        <w:t>Macroeconomic, Trade &amp; Investment Global Practice</w:t>
                      </w:r>
                    </w:p>
                  </w:txbxContent>
                </v:textbox>
                <w10:wrap type="square"/>
              </v:shape>
            </w:pict>
          </mc:Fallback>
        </mc:AlternateContent>
      </w:r>
    </w:p>
    <w:p w14:paraId="342155ED" w14:textId="77777777" w:rsidR="00EB5F2B" w:rsidRPr="00EB5F2B" w:rsidRDefault="001C633A" w:rsidP="00A94765">
      <w:pPr>
        <w:pStyle w:val="Heading1"/>
      </w:pPr>
      <w:r>
        <w:br w:type="page"/>
      </w:r>
      <w:bookmarkStart w:id="0" w:name="_Toc177819025"/>
      <w:r w:rsidR="00EB5F2B" w:rsidRPr="00EB5F2B">
        <w:lastRenderedPageBreak/>
        <w:t>Abstract</w:t>
      </w:r>
      <w:bookmarkEnd w:id="0"/>
    </w:p>
    <w:p w14:paraId="7DEA3471" w14:textId="02DD7B4F" w:rsidR="00EB5F2B" w:rsidRPr="00EB5F2B" w:rsidRDefault="00EB5F2B" w:rsidP="00A94765">
      <w:pPr>
        <w:ind w:left="0" w:firstLine="0"/>
        <w:jc w:val="both"/>
      </w:pPr>
      <w:r w:rsidRPr="00EB5F2B">
        <w:t xml:space="preserve">Approximately two-thirds of Indonesia's tax revenue is derived from business income and value-added taxes, however, these collections still fall short of their full potential. To better understand weaknesses in the design and implementation of these taxes and ultimately address the shortfall in their revenue mobilization, </w:t>
      </w:r>
      <w:r w:rsidR="00B14D49">
        <w:t>an in-depth analysis</w:t>
      </w:r>
      <w:r w:rsidRPr="00EB5F2B">
        <w:t xml:space="preserve"> of each tax is essential. This paper examines the policy framework of the corporate income tax (CIT); the alternative final tax (AFT) for micro, small, and medium enterprises; and the value-added tax (VAT). It identifies key policy gaps that have undermined revenue potential–including high eligibility thresholds and generous exemptions that narrow the tax base. The presence of multiple tax rates also complicates the tax system and increases the compliance burden. To improve tax revenue, the administration should consider lowering the eligibility threshold, eliminating special tax treatments, and simplifying tax schemes.</w:t>
      </w:r>
    </w:p>
    <w:p w14:paraId="018CADCE" w14:textId="1CEAE0F8" w:rsidR="00EB5F2B" w:rsidRDefault="00EB5F2B">
      <w:r>
        <w:br w:type="page"/>
      </w:r>
    </w:p>
    <w:bookmarkStart w:id="1" w:name="_Toc177819026" w:displacedByCustomXml="next"/>
    <w:sdt>
      <w:sdtPr>
        <w:rPr>
          <w:rFonts w:asciiTheme="minorHAnsi" w:eastAsiaTheme="minorEastAsia" w:hAnsiTheme="minorHAnsi" w:cstheme="minorBidi"/>
          <w:b w:val="0"/>
          <w:color w:val="auto"/>
          <w:sz w:val="22"/>
          <w:szCs w:val="22"/>
        </w:rPr>
        <w:id w:val="-2122370921"/>
        <w:docPartObj>
          <w:docPartGallery w:val="Table of Contents"/>
          <w:docPartUnique/>
        </w:docPartObj>
      </w:sdtPr>
      <w:sdtEndPr>
        <w:rPr>
          <w:bCs/>
        </w:rPr>
      </w:sdtEndPr>
      <w:sdtContent>
        <w:p w14:paraId="71A58FED" w14:textId="77777777" w:rsidR="00B7405C" w:rsidRDefault="00B7405C" w:rsidP="00A765BB">
          <w:pPr>
            <w:pStyle w:val="Heading1"/>
          </w:pPr>
          <w:r>
            <w:t>Table of Contents</w:t>
          </w:r>
          <w:bookmarkEnd w:id="1"/>
        </w:p>
        <w:p w14:paraId="05B82709" w14:textId="743DC6F0" w:rsidR="004B44C5" w:rsidRDefault="00B7405C">
          <w:pPr>
            <w:pStyle w:val="TOC1"/>
            <w:rPr>
              <w:rFonts w:eastAsiaTheme="minorEastAsia"/>
              <w:noProof/>
              <w:kern w:val="2"/>
              <w:sz w:val="24"/>
              <w:szCs w:val="24"/>
              <w:lang w:val="en-AU" w:eastAsia="en-AU"/>
              <w14:ligatures w14:val="standardContextual"/>
            </w:rPr>
          </w:pPr>
          <w:r w:rsidRPr="00405397">
            <w:rPr>
              <w:sz w:val="20"/>
              <w:szCs w:val="20"/>
            </w:rPr>
            <w:fldChar w:fldCharType="begin"/>
          </w:r>
          <w:r w:rsidRPr="00405397">
            <w:rPr>
              <w:sz w:val="20"/>
              <w:szCs w:val="20"/>
            </w:rPr>
            <w:instrText xml:space="preserve"> TOC \o "1-3" \h \z \u </w:instrText>
          </w:r>
          <w:r w:rsidRPr="00405397">
            <w:rPr>
              <w:sz w:val="20"/>
              <w:szCs w:val="20"/>
            </w:rPr>
            <w:fldChar w:fldCharType="separate"/>
          </w:r>
          <w:hyperlink w:anchor="_Toc177819025" w:history="1">
            <w:r w:rsidR="004B44C5" w:rsidRPr="00641351">
              <w:rPr>
                <w:rStyle w:val="Hyperlink"/>
                <w:noProof/>
              </w:rPr>
              <w:t>Abstract</w:t>
            </w:r>
            <w:r w:rsidR="004B44C5">
              <w:rPr>
                <w:noProof/>
                <w:webHidden/>
              </w:rPr>
              <w:tab/>
            </w:r>
            <w:r w:rsidR="004B44C5">
              <w:rPr>
                <w:noProof/>
                <w:webHidden/>
              </w:rPr>
              <w:fldChar w:fldCharType="begin"/>
            </w:r>
            <w:r w:rsidR="004B44C5">
              <w:rPr>
                <w:noProof/>
                <w:webHidden/>
              </w:rPr>
              <w:instrText xml:space="preserve"> PAGEREF _Toc177819025 \h </w:instrText>
            </w:r>
            <w:r w:rsidR="004B44C5">
              <w:rPr>
                <w:noProof/>
                <w:webHidden/>
              </w:rPr>
            </w:r>
            <w:r w:rsidR="004B44C5">
              <w:rPr>
                <w:noProof/>
                <w:webHidden/>
              </w:rPr>
              <w:fldChar w:fldCharType="separate"/>
            </w:r>
            <w:r w:rsidR="004B44C5">
              <w:rPr>
                <w:noProof/>
                <w:webHidden/>
              </w:rPr>
              <w:t>ii</w:t>
            </w:r>
            <w:r w:rsidR="004B44C5">
              <w:rPr>
                <w:noProof/>
                <w:webHidden/>
              </w:rPr>
              <w:fldChar w:fldCharType="end"/>
            </w:r>
          </w:hyperlink>
        </w:p>
        <w:p w14:paraId="04BE3BDF" w14:textId="1604ECA1" w:rsidR="004B44C5" w:rsidRDefault="004B44C5">
          <w:pPr>
            <w:pStyle w:val="TOC1"/>
            <w:rPr>
              <w:rFonts w:eastAsiaTheme="minorEastAsia"/>
              <w:noProof/>
              <w:kern w:val="2"/>
              <w:sz w:val="24"/>
              <w:szCs w:val="24"/>
              <w:lang w:val="en-AU" w:eastAsia="en-AU"/>
              <w14:ligatures w14:val="standardContextual"/>
            </w:rPr>
          </w:pPr>
          <w:hyperlink w:anchor="_Toc177819026" w:history="1">
            <w:r w:rsidRPr="00641351">
              <w:rPr>
                <w:rStyle w:val="Hyperlink"/>
                <w:noProof/>
              </w:rPr>
              <w:t>Table of Contents</w:t>
            </w:r>
            <w:r>
              <w:rPr>
                <w:noProof/>
                <w:webHidden/>
              </w:rPr>
              <w:tab/>
            </w:r>
            <w:r>
              <w:rPr>
                <w:noProof/>
                <w:webHidden/>
              </w:rPr>
              <w:fldChar w:fldCharType="begin"/>
            </w:r>
            <w:r>
              <w:rPr>
                <w:noProof/>
                <w:webHidden/>
              </w:rPr>
              <w:instrText xml:space="preserve"> PAGEREF _Toc177819026 \h </w:instrText>
            </w:r>
            <w:r>
              <w:rPr>
                <w:noProof/>
                <w:webHidden/>
              </w:rPr>
            </w:r>
            <w:r>
              <w:rPr>
                <w:noProof/>
                <w:webHidden/>
              </w:rPr>
              <w:fldChar w:fldCharType="separate"/>
            </w:r>
            <w:r>
              <w:rPr>
                <w:noProof/>
                <w:webHidden/>
              </w:rPr>
              <w:t>iii</w:t>
            </w:r>
            <w:r>
              <w:rPr>
                <w:noProof/>
                <w:webHidden/>
              </w:rPr>
              <w:fldChar w:fldCharType="end"/>
            </w:r>
          </w:hyperlink>
        </w:p>
        <w:p w14:paraId="110B84F3" w14:textId="2AB786EB" w:rsidR="004B44C5" w:rsidRDefault="004B44C5">
          <w:pPr>
            <w:pStyle w:val="TOC1"/>
            <w:rPr>
              <w:rFonts w:eastAsiaTheme="minorEastAsia"/>
              <w:noProof/>
              <w:kern w:val="2"/>
              <w:sz w:val="24"/>
              <w:szCs w:val="24"/>
              <w:lang w:val="en-AU" w:eastAsia="en-AU"/>
              <w14:ligatures w14:val="standardContextual"/>
            </w:rPr>
          </w:pPr>
          <w:hyperlink w:anchor="_Toc177819027" w:history="1">
            <w:r w:rsidRPr="00641351">
              <w:rPr>
                <w:rStyle w:val="Hyperlink"/>
                <w:noProof/>
              </w:rPr>
              <w:t>Acknowledgments</w:t>
            </w:r>
            <w:r>
              <w:rPr>
                <w:noProof/>
                <w:webHidden/>
              </w:rPr>
              <w:tab/>
            </w:r>
            <w:r>
              <w:rPr>
                <w:noProof/>
                <w:webHidden/>
              </w:rPr>
              <w:fldChar w:fldCharType="begin"/>
            </w:r>
            <w:r>
              <w:rPr>
                <w:noProof/>
                <w:webHidden/>
              </w:rPr>
              <w:instrText xml:space="preserve"> PAGEREF _Toc177819027 \h </w:instrText>
            </w:r>
            <w:r>
              <w:rPr>
                <w:noProof/>
                <w:webHidden/>
              </w:rPr>
            </w:r>
            <w:r>
              <w:rPr>
                <w:noProof/>
                <w:webHidden/>
              </w:rPr>
              <w:fldChar w:fldCharType="separate"/>
            </w:r>
            <w:r>
              <w:rPr>
                <w:noProof/>
                <w:webHidden/>
              </w:rPr>
              <w:t>2</w:t>
            </w:r>
            <w:r>
              <w:rPr>
                <w:noProof/>
                <w:webHidden/>
              </w:rPr>
              <w:fldChar w:fldCharType="end"/>
            </w:r>
          </w:hyperlink>
        </w:p>
        <w:p w14:paraId="01F814D4" w14:textId="4CD45DC4" w:rsidR="004B44C5" w:rsidRDefault="004B44C5">
          <w:pPr>
            <w:pStyle w:val="TOC1"/>
            <w:rPr>
              <w:rFonts w:eastAsiaTheme="minorEastAsia"/>
              <w:noProof/>
              <w:kern w:val="2"/>
              <w:sz w:val="24"/>
              <w:szCs w:val="24"/>
              <w:lang w:val="en-AU" w:eastAsia="en-AU"/>
              <w14:ligatures w14:val="standardContextual"/>
            </w:rPr>
          </w:pPr>
          <w:hyperlink w:anchor="_Toc177819028" w:history="1">
            <w:r w:rsidRPr="00641351">
              <w:rPr>
                <w:rStyle w:val="Hyperlink"/>
                <w:noProof/>
              </w:rPr>
              <w:t>Abbreviations and Acronyms</w:t>
            </w:r>
            <w:r>
              <w:rPr>
                <w:noProof/>
                <w:webHidden/>
              </w:rPr>
              <w:tab/>
            </w:r>
            <w:r>
              <w:rPr>
                <w:noProof/>
                <w:webHidden/>
              </w:rPr>
              <w:fldChar w:fldCharType="begin"/>
            </w:r>
            <w:r>
              <w:rPr>
                <w:noProof/>
                <w:webHidden/>
              </w:rPr>
              <w:instrText xml:space="preserve"> PAGEREF _Toc177819028 \h </w:instrText>
            </w:r>
            <w:r>
              <w:rPr>
                <w:noProof/>
                <w:webHidden/>
              </w:rPr>
            </w:r>
            <w:r>
              <w:rPr>
                <w:noProof/>
                <w:webHidden/>
              </w:rPr>
              <w:fldChar w:fldCharType="separate"/>
            </w:r>
            <w:r>
              <w:rPr>
                <w:noProof/>
                <w:webHidden/>
              </w:rPr>
              <w:t>3</w:t>
            </w:r>
            <w:r>
              <w:rPr>
                <w:noProof/>
                <w:webHidden/>
              </w:rPr>
              <w:fldChar w:fldCharType="end"/>
            </w:r>
          </w:hyperlink>
        </w:p>
        <w:p w14:paraId="2543C57C" w14:textId="6515D0F7" w:rsidR="004B44C5" w:rsidRDefault="004B44C5">
          <w:pPr>
            <w:pStyle w:val="TOC1"/>
            <w:rPr>
              <w:rFonts w:eastAsiaTheme="minorEastAsia"/>
              <w:noProof/>
              <w:kern w:val="2"/>
              <w:sz w:val="24"/>
              <w:szCs w:val="24"/>
              <w:lang w:val="en-AU" w:eastAsia="en-AU"/>
              <w14:ligatures w14:val="standardContextual"/>
            </w:rPr>
          </w:pPr>
          <w:hyperlink w:anchor="_Toc177819029" w:history="1">
            <w:r w:rsidRPr="00641351">
              <w:rPr>
                <w:rStyle w:val="Hyperlink"/>
                <w:noProof/>
              </w:rPr>
              <w:t>Executive Summary</w:t>
            </w:r>
            <w:r>
              <w:rPr>
                <w:noProof/>
                <w:webHidden/>
              </w:rPr>
              <w:tab/>
            </w:r>
            <w:r>
              <w:rPr>
                <w:noProof/>
                <w:webHidden/>
              </w:rPr>
              <w:fldChar w:fldCharType="begin"/>
            </w:r>
            <w:r>
              <w:rPr>
                <w:noProof/>
                <w:webHidden/>
              </w:rPr>
              <w:instrText xml:space="preserve"> PAGEREF _Toc177819029 \h </w:instrText>
            </w:r>
            <w:r>
              <w:rPr>
                <w:noProof/>
                <w:webHidden/>
              </w:rPr>
            </w:r>
            <w:r>
              <w:rPr>
                <w:noProof/>
                <w:webHidden/>
              </w:rPr>
              <w:fldChar w:fldCharType="separate"/>
            </w:r>
            <w:r>
              <w:rPr>
                <w:noProof/>
                <w:webHidden/>
              </w:rPr>
              <w:t>4</w:t>
            </w:r>
            <w:r>
              <w:rPr>
                <w:noProof/>
                <w:webHidden/>
              </w:rPr>
              <w:fldChar w:fldCharType="end"/>
            </w:r>
          </w:hyperlink>
        </w:p>
        <w:p w14:paraId="33FBEFEE" w14:textId="76ADF5BB" w:rsidR="004B44C5" w:rsidRDefault="004B44C5">
          <w:pPr>
            <w:pStyle w:val="TOC1"/>
            <w:rPr>
              <w:rFonts w:eastAsiaTheme="minorEastAsia"/>
              <w:noProof/>
              <w:kern w:val="2"/>
              <w:sz w:val="24"/>
              <w:szCs w:val="24"/>
              <w:lang w:val="en-AU" w:eastAsia="en-AU"/>
              <w14:ligatures w14:val="standardContextual"/>
            </w:rPr>
          </w:pPr>
          <w:hyperlink w:anchor="_Toc177819030" w:history="1">
            <w:r w:rsidRPr="00641351">
              <w:rPr>
                <w:rStyle w:val="Hyperlink"/>
                <w:noProof/>
              </w:rPr>
              <w:t>Section 1. Introduction</w:t>
            </w:r>
            <w:r>
              <w:rPr>
                <w:noProof/>
                <w:webHidden/>
              </w:rPr>
              <w:tab/>
            </w:r>
            <w:r>
              <w:rPr>
                <w:noProof/>
                <w:webHidden/>
              </w:rPr>
              <w:fldChar w:fldCharType="begin"/>
            </w:r>
            <w:r>
              <w:rPr>
                <w:noProof/>
                <w:webHidden/>
              </w:rPr>
              <w:instrText xml:space="preserve"> PAGEREF _Toc177819030 \h </w:instrText>
            </w:r>
            <w:r>
              <w:rPr>
                <w:noProof/>
                <w:webHidden/>
              </w:rPr>
            </w:r>
            <w:r>
              <w:rPr>
                <w:noProof/>
                <w:webHidden/>
              </w:rPr>
              <w:fldChar w:fldCharType="separate"/>
            </w:r>
            <w:r>
              <w:rPr>
                <w:noProof/>
                <w:webHidden/>
              </w:rPr>
              <w:t>6</w:t>
            </w:r>
            <w:r>
              <w:rPr>
                <w:noProof/>
                <w:webHidden/>
              </w:rPr>
              <w:fldChar w:fldCharType="end"/>
            </w:r>
          </w:hyperlink>
        </w:p>
        <w:p w14:paraId="63304BAF" w14:textId="38860522" w:rsidR="004B44C5" w:rsidRDefault="004B44C5">
          <w:pPr>
            <w:pStyle w:val="TOC1"/>
            <w:rPr>
              <w:rFonts w:eastAsiaTheme="minorEastAsia"/>
              <w:noProof/>
              <w:kern w:val="2"/>
              <w:sz w:val="24"/>
              <w:szCs w:val="24"/>
              <w:lang w:val="en-AU" w:eastAsia="en-AU"/>
              <w14:ligatures w14:val="standardContextual"/>
            </w:rPr>
          </w:pPr>
          <w:hyperlink w:anchor="_Toc177819031" w:history="1">
            <w:r w:rsidRPr="00641351">
              <w:rPr>
                <w:rStyle w:val="Hyperlink"/>
                <w:noProof/>
              </w:rPr>
              <w:t>Section 2. Corporate Income Tax (CIT)</w:t>
            </w:r>
            <w:r>
              <w:rPr>
                <w:noProof/>
                <w:webHidden/>
              </w:rPr>
              <w:tab/>
            </w:r>
            <w:r>
              <w:rPr>
                <w:noProof/>
                <w:webHidden/>
              </w:rPr>
              <w:fldChar w:fldCharType="begin"/>
            </w:r>
            <w:r>
              <w:rPr>
                <w:noProof/>
                <w:webHidden/>
              </w:rPr>
              <w:instrText xml:space="preserve"> PAGEREF _Toc177819031 \h </w:instrText>
            </w:r>
            <w:r>
              <w:rPr>
                <w:noProof/>
                <w:webHidden/>
              </w:rPr>
            </w:r>
            <w:r>
              <w:rPr>
                <w:noProof/>
                <w:webHidden/>
              </w:rPr>
              <w:fldChar w:fldCharType="separate"/>
            </w:r>
            <w:r>
              <w:rPr>
                <w:noProof/>
                <w:webHidden/>
              </w:rPr>
              <w:t>8</w:t>
            </w:r>
            <w:r>
              <w:rPr>
                <w:noProof/>
                <w:webHidden/>
              </w:rPr>
              <w:fldChar w:fldCharType="end"/>
            </w:r>
          </w:hyperlink>
        </w:p>
        <w:p w14:paraId="4ED46AB0" w14:textId="0F03ED5B" w:rsidR="004B44C5" w:rsidRDefault="004B44C5">
          <w:pPr>
            <w:pStyle w:val="TOC2"/>
            <w:rPr>
              <w:rFonts w:eastAsiaTheme="minorEastAsia"/>
              <w:noProof/>
              <w:kern w:val="2"/>
              <w:sz w:val="24"/>
              <w:szCs w:val="24"/>
              <w:lang w:val="en-AU" w:eastAsia="en-AU"/>
              <w14:ligatures w14:val="standardContextual"/>
            </w:rPr>
          </w:pPr>
          <w:hyperlink w:anchor="_Toc177819032" w:history="1">
            <w:r w:rsidRPr="00641351">
              <w:rPr>
                <w:rStyle w:val="Hyperlink"/>
                <w:rFonts w:cstheme="minorHAnsi"/>
                <w:noProof/>
                <w:lang w:bidi="si-LK"/>
              </w:rPr>
              <w:t>History of Indonesia’s corporate taxation</w:t>
            </w:r>
            <w:r>
              <w:rPr>
                <w:noProof/>
                <w:webHidden/>
              </w:rPr>
              <w:tab/>
            </w:r>
            <w:r>
              <w:rPr>
                <w:noProof/>
                <w:webHidden/>
              </w:rPr>
              <w:fldChar w:fldCharType="begin"/>
            </w:r>
            <w:r>
              <w:rPr>
                <w:noProof/>
                <w:webHidden/>
              </w:rPr>
              <w:instrText xml:space="preserve"> PAGEREF _Toc177819032 \h </w:instrText>
            </w:r>
            <w:r>
              <w:rPr>
                <w:noProof/>
                <w:webHidden/>
              </w:rPr>
            </w:r>
            <w:r>
              <w:rPr>
                <w:noProof/>
                <w:webHidden/>
              </w:rPr>
              <w:fldChar w:fldCharType="separate"/>
            </w:r>
            <w:r>
              <w:rPr>
                <w:noProof/>
                <w:webHidden/>
              </w:rPr>
              <w:t>8</w:t>
            </w:r>
            <w:r>
              <w:rPr>
                <w:noProof/>
                <w:webHidden/>
              </w:rPr>
              <w:fldChar w:fldCharType="end"/>
            </w:r>
          </w:hyperlink>
        </w:p>
        <w:p w14:paraId="460DD447" w14:textId="2359F39E" w:rsidR="004B44C5" w:rsidRDefault="004B44C5">
          <w:pPr>
            <w:pStyle w:val="TOC2"/>
            <w:rPr>
              <w:rFonts w:eastAsiaTheme="minorEastAsia"/>
              <w:noProof/>
              <w:kern w:val="2"/>
              <w:sz w:val="24"/>
              <w:szCs w:val="24"/>
              <w:lang w:val="en-AU" w:eastAsia="en-AU"/>
              <w14:ligatures w14:val="standardContextual"/>
            </w:rPr>
          </w:pPr>
          <w:hyperlink w:anchor="_Toc177819033" w:history="1">
            <w:r w:rsidRPr="00641351">
              <w:rPr>
                <w:rStyle w:val="Hyperlink"/>
                <w:rFonts w:cstheme="minorHAnsi"/>
                <w:noProof/>
                <w:lang w:bidi="si-LK"/>
              </w:rPr>
              <w:t>Tax design</w:t>
            </w:r>
            <w:r>
              <w:rPr>
                <w:noProof/>
                <w:webHidden/>
              </w:rPr>
              <w:tab/>
            </w:r>
            <w:r>
              <w:rPr>
                <w:noProof/>
                <w:webHidden/>
              </w:rPr>
              <w:tab/>
            </w:r>
            <w:r>
              <w:rPr>
                <w:noProof/>
                <w:webHidden/>
              </w:rPr>
              <w:fldChar w:fldCharType="begin"/>
            </w:r>
            <w:r>
              <w:rPr>
                <w:noProof/>
                <w:webHidden/>
              </w:rPr>
              <w:instrText xml:space="preserve"> PAGEREF _Toc177819033 \h </w:instrText>
            </w:r>
            <w:r>
              <w:rPr>
                <w:noProof/>
                <w:webHidden/>
              </w:rPr>
            </w:r>
            <w:r>
              <w:rPr>
                <w:noProof/>
                <w:webHidden/>
              </w:rPr>
              <w:fldChar w:fldCharType="separate"/>
            </w:r>
            <w:r>
              <w:rPr>
                <w:noProof/>
                <w:webHidden/>
              </w:rPr>
              <w:t>10</w:t>
            </w:r>
            <w:r>
              <w:rPr>
                <w:noProof/>
                <w:webHidden/>
              </w:rPr>
              <w:fldChar w:fldCharType="end"/>
            </w:r>
          </w:hyperlink>
        </w:p>
        <w:p w14:paraId="1B9588AE" w14:textId="0C91C45E" w:rsidR="004B44C5" w:rsidRDefault="004B44C5">
          <w:pPr>
            <w:pStyle w:val="TOC2"/>
            <w:rPr>
              <w:rFonts w:eastAsiaTheme="minorEastAsia"/>
              <w:noProof/>
              <w:kern w:val="2"/>
              <w:sz w:val="24"/>
              <w:szCs w:val="24"/>
              <w:lang w:val="en-AU" w:eastAsia="en-AU"/>
              <w14:ligatures w14:val="standardContextual"/>
            </w:rPr>
          </w:pPr>
          <w:hyperlink w:anchor="_Toc177819034" w:history="1">
            <w:r w:rsidRPr="00641351">
              <w:rPr>
                <w:rStyle w:val="Hyperlink"/>
                <w:rFonts w:cstheme="minorHAnsi"/>
                <w:noProof/>
                <w:lang w:bidi="si-LK"/>
              </w:rPr>
              <w:t>Who pays and who does not</w:t>
            </w:r>
            <w:r>
              <w:rPr>
                <w:noProof/>
                <w:webHidden/>
              </w:rPr>
              <w:tab/>
            </w:r>
            <w:r>
              <w:rPr>
                <w:noProof/>
                <w:webHidden/>
              </w:rPr>
              <w:fldChar w:fldCharType="begin"/>
            </w:r>
            <w:r>
              <w:rPr>
                <w:noProof/>
                <w:webHidden/>
              </w:rPr>
              <w:instrText xml:space="preserve"> PAGEREF _Toc177819034 \h </w:instrText>
            </w:r>
            <w:r>
              <w:rPr>
                <w:noProof/>
                <w:webHidden/>
              </w:rPr>
            </w:r>
            <w:r>
              <w:rPr>
                <w:noProof/>
                <w:webHidden/>
              </w:rPr>
              <w:fldChar w:fldCharType="separate"/>
            </w:r>
            <w:r>
              <w:rPr>
                <w:noProof/>
                <w:webHidden/>
              </w:rPr>
              <w:t>12</w:t>
            </w:r>
            <w:r>
              <w:rPr>
                <w:noProof/>
                <w:webHidden/>
              </w:rPr>
              <w:fldChar w:fldCharType="end"/>
            </w:r>
          </w:hyperlink>
        </w:p>
        <w:p w14:paraId="52A9295E" w14:textId="545CAEEF" w:rsidR="004B44C5" w:rsidRDefault="004B44C5">
          <w:pPr>
            <w:pStyle w:val="TOC2"/>
            <w:rPr>
              <w:rFonts w:eastAsiaTheme="minorEastAsia"/>
              <w:noProof/>
              <w:kern w:val="2"/>
              <w:sz w:val="24"/>
              <w:szCs w:val="24"/>
              <w:lang w:val="en-AU" w:eastAsia="en-AU"/>
              <w14:ligatures w14:val="standardContextual"/>
            </w:rPr>
          </w:pPr>
          <w:hyperlink w:anchor="_Toc177819035" w:history="1">
            <w:r w:rsidRPr="00641351">
              <w:rPr>
                <w:rStyle w:val="Hyperlink"/>
                <w:rFonts w:cstheme="minorHAnsi"/>
                <w:noProof/>
                <w:lang w:bidi="si-LK"/>
              </w:rPr>
              <w:t>The AFT for MSMEs</w:t>
            </w:r>
            <w:r>
              <w:rPr>
                <w:noProof/>
                <w:webHidden/>
              </w:rPr>
              <w:tab/>
            </w:r>
            <w:r>
              <w:rPr>
                <w:noProof/>
                <w:webHidden/>
              </w:rPr>
              <w:fldChar w:fldCharType="begin"/>
            </w:r>
            <w:r>
              <w:rPr>
                <w:noProof/>
                <w:webHidden/>
              </w:rPr>
              <w:instrText xml:space="preserve"> PAGEREF _Toc177819035 \h </w:instrText>
            </w:r>
            <w:r>
              <w:rPr>
                <w:noProof/>
                <w:webHidden/>
              </w:rPr>
            </w:r>
            <w:r>
              <w:rPr>
                <w:noProof/>
                <w:webHidden/>
              </w:rPr>
              <w:fldChar w:fldCharType="separate"/>
            </w:r>
            <w:r>
              <w:rPr>
                <w:noProof/>
                <w:webHidden/>
              </w:rPr>
              <w:t>13</w:t>
            </w:r>
            <w:r>
              <w:rPr>
                <w:noProof/>
                <w:webHidden/>
              </w:rPr>
              <w:fldChar w:fldCharType="end"/>
            </w:r>
          </w:hyperlink>
        </w:p>
        <w:p w14:paraId="3EA4D0CB" w14:textId="0E4C7C7F" w:rsidR="004B44C5" w:rsidRDefault="004B44C5">
          <w:pPr>
            <w:pStyle w:val="TOC2"/>
            <w:rPr>
              <w:rFonts w:eastAsiaTheme="minorEastAsia"/>
              <w:noProof/>
              <w:kern w:val="2"/>
              <w:sz w:val="24"/>
              <w:szCs w:val="24"/>
              <w:lang w:val="en-AU" w:eastAsia="en-AU"/>
              <w14:ligatures w14:val="standardContextual"/>
            </w:rPr>
          </w:pPr>
          <w:hyperlink w:anchor="_Toc177819036" w:history="1">
            <w:r w:rsidRPr="00641351">
              <w:rPr>
                <w:rStyle w:val="Hyperlink"/>
                <w:rFonts w:cstheme="minorHAnsi"/>
                <w:noProof/>
                <w:lang w:bidi="si-LK"/>
              </w:rPr>
              <w:t>The deemed profits regime</w:t>
            </w:r>
            <w:r>
              <w:rPr>
                <w:noProof/>
                <w:webHidden/>
              </w:rPr>
              <w:tab/>
            </w:r>
            <w:r>
              <w:rPr>
                <w:noProof/>
                <w:webHidden/>
              </w:rPr>
              <w:fldChar w:fldCharType="begin"/>
            </w:r>
            <w:r>
              <w:rPr>
                <w:noProof/>
                <w:webHidden/>
              </w:rPr>
              <w:instrText xml:space="preserve"> PAGEREF _Toc177819036 \h </w:instrText>
            </w:r>
            <w:r>
              <w:rPr>
                <w:noProof/>
                <w:webHidden/>
              </w:rPr>
            </w:r>
            <w:r>
              <w:rPr>
                <w:noProof/>
                <w:webHidden/>
              </w:rPr>
              <w:fldChar w:fldCharType="separate"/>
            </w:r>
            <w:r>
              <w:rPr>
                <w:noProof/>
                <w:webHidden/>
              </w:rPr>
              <w:t>13</w:t>
            </w:r>
            <w:r>
              <w:rPr>
                <w:noProof/>
                <w:webHidden/>
              </w:rPr>
              <w:fldChar w:fldCharType="end"/>
            </w:r>
          </w:hyperlink>
        </w:p>
        <w:p w14:paraId="53EAC6D3" w14:textId="6DF3383A" w:rsidR="004B44C5" w:rsidRDefault="004B44C5">
          <w:pPr>
            <w:pStyle w:val="TOC2"/>
            <w:rPr>
              <w:rFonts w:eastAsiaTheme="minorEastAsia"/>
              <w:noProof/>
              <w:kern w:val="2"/>
              <w:sz w:val="24"/>
              <w:szCs w:val="24"/>
              <w:lang w:val="en-AU" w:eastAsia="en-AU"/>
              <w14:ligatures w14:val="standardContextual"/>
            </w:rPr>
          </w:pPr>
          <w:hyperlink w:anchor="_Toc177819037" w:history="1">
            <w:r w:rsidRPr="00641351">
              <w:rPr>
                <w:rStyle w:val="Hyperlink"/>
                <w:rFonts w:cstheme="minorHAnsi"/>
                <w:noProof/>
                <w:lang w:bidi="si-LK"/>
              </w:rPr>
              <w:t>Sector-specific final taxes</w:t>
            </w:r>
            <w:r>
              <w:rPr>
                <w:noProof/>
                <w:webHidden/>
              </w:rPr>
              <w:tab/>
            </w:r>
            <w:r>
              <w:rPr>
                <w:noProof/>
                <w:webHidden/>
              </w:rPr>
              <w:fldChar w:fldCharType="begin"/>
            </w:r>
            <w:r>
              <w:rPr>
                <w:noProof/>
                <w:webHidden/>
              </w:rPr>
              <w:instrText xml:space="preserve"> PAGEREF _Toc177819037 \h </w:instrText>
            </w:r>
            <w:r>
              <w:rPr>
                <w:noProof/>
                <w:webHidden/>
              </w:rPr>
            </w:r>
            <w:r>
              <w:rPr>
                <w:noProof/>
                <w:webHidden/>
              </w:rPr>
              <w:fldChar w:fldCharType="separate"/>
            </w:r>
            <w:r>
              <w:rPr>
                <w:noProof/>
                <w:webHidden/>
              </w:rPr>
              <w:t>14</w:t>
            </w:r>
            <w:r>
              <w:rPr>
                <w:noProof/>
                <w:webHidden/>
              </w:rPr>
              <w:fldChar w:fldCharType="end"/>
            </w:r>
          </w:hyperlink>
        </w:p>
        <w:p w14:paraId="70DA66A3" w14:textId="2620DE0D" w:rsidR="004B44C5" w:rsidRDefault="004B44C5">
          <w:pPr>
            <w:pStyle w:val="TOC2"/>
            <w:rPr>
              <w:rFonts w:eastAsiaTheme="minorEastAsia"/>
              <w:noProof/>
              <w:kern w:val="2"/>
              <w:sz w:val="24"/>
              <w:szCs w:val="24"/>
              <w:lang w:val="en-AU" w:eastAsia="en-AU"/>
              <w14:ligatures w14:val="standardContextual"/>
            </w:rPr>
          </w:pPr>
          <w:hyperlink w:anchor="_Toc177819038" w:history="1">
            <w:r w:rsidRPr="00641351">
              <w:rPr>
                <w:rStyle w:val="Hyperlink"/>
                <w:rFonts w:cstheme="minorHAnsi"/>
                <w:noProof/>
                <w:lang w:bidi="si-LK"/>
              </w:rPr>
              <w:t>Taxation of income from digital goods and services</w:t>
            </w:r>
            <w:r>
              <w:rPr>
                <w:noProof/>
                <w:webHidden/>
              </w:rPr>
              <w:tab/>
            </w:r>
            <w:r>
              <w:rPr>
                <w:noProof/>
                <w:webHidden/>
              </w:rPr>
              <w:fldChar w:fldCharType="begin"/>
            </w:r>
            <w:r>
              <w:rPr>
                <w:noProof/>
                <w:webHidden/>
              </w:rPr>
              <w:instrText xml:space="preserve"> PAGEREF _Toc177819038 \h </w:instrText>
            </w:r>
            <w:r>
              <w:rPr>
                <w:noProof/>
                <w:webHidden/>
              </w:rPr>
            </w:r>
            <w:r>
              <w:rPr>
                <w:noProof/>
                <w:webHidden/>
              </w:rPr>
              <w:fldChar w:fldCharType="separate"/>
            </w:r>
            <w:r>
              <w:rPr>
                <w:noProof/>
                <w:webHidden/>
              </w:rPr>
              <w:t>15</w:t>
            </w:r>
            <w:r>
              <w:rPr>
                <w:noProof/>
                <w:webHidden/>
              </w:rPr>
              <w:fldChar w:fldCharType="end"/>
            </w:r>
          </w:hyperlink>
        </w:p>
        <w:p w14:paraId="05A08131" w14:textId="4D7B5B9E" w:rsidR="004B44C5" w:rsidRDefault="004B44C5">
          <w:pPr>
            <w:pStyle w:val="TOC2"/>
            <w:rPr>
              <w:rFonts w:eastAsiaTheme="minorEastAsia"/>
              <w:noProof/>
              <w:kern w:val="2"/>
              <w:sz w:val="24"/>
              <w:szCs w:val="24"/>
              <w:lang w:val="en-AU" w:eastAsia="en-AU"/>
              <w14:ligatures w14:val="standardContextual"/>
            </w:rPr>
          </w:pPr>
          <w:hyperlink w:anchor="_Toc177819039" w:history="1">
            <w:r w:rsidRPr="00641351">
              <w:rPr>
                <w:rStyle w:val="Hyperlink"/>
                <w:rFonts w:cstheme="minorHAnsi"/>
                <w:noProof/>
                <w:lang w:bidi="si-LK"/>
              </w:rPr>
              <w:t>Special rates and tax incentives</w:t>
            </w:r>
            <w:r>
              <w:rPr>
                <w:noProof/>
                <w:webHidden/>
              </w:rPr>
              <w:tab/>
            </w:r>
            <w:r>
              <w:rPr>
                <w:noProof/>
                <w:webHidden/>
              </w:rPr>
              <w:fldChar w:fldCharType="begin"/>
            </w:r>
            <w:r>
              <w:rPr>
                <w:noProof/>
                <w:webHidden/>
              </w:rPr>
              <w:instrText xml:space="preserve"> PAGEREF _Toc177819039 \h </w:instrText>
            </w:r>
            <w:r>
              <w:rPr>
                <w:noProof/>
                <w:webHidden/>
              </w:rPr>
            </w:r>
            <w:r>
              <w:rPr>
                <w:noProof/>
                <w:webHidden/>
              </w:rPr>
              <w:fldChar w:fldCharType="separate"/>
            </w:r>
            <w:r>
              <w:rPr>
                <w:noProof/>
                <w:webHidden/>
              </w:rPr>
              <w:t>16</w:t>
            </w:r>
            <w:r>
              <w:rPr>
                <w:noProof/>
                <w:webHidden/>
              </w:rPr>
              <w:fldChar w:fldCharType="end"/>
            </w:r>
          </w:hyperlink>
        </w:p>
        <w:p w14:paraId="7988DF95" w14:textId="2C1E230D" w:rsidR="004B44C5" w:rsidRDefault="004B44C5">
          <w:pPr>
            <w:pStyle w:val="TOC2"/>
            <w:rPr>
              <w:rFonts w:eastAsiaTheme="minorEastAsia"/>
              <w:noProof/>
              <w:kern w:val="2"/>
              <w:sz w:val="24"/>
              <w:szCs w:val="24"/>
              <w:lang w:val="en-AU" w:eastAsia="en-AU"/>
              <w14:ligatures w14:val="standardContextual"/>
            </w:rPr>
          </w:pPr>
          <w:hyperlink w:anchor="_Toc177819040" w:history="1">
            <w:r w:rsidRPr="00641351">
              <w:rPr>
                <w:rStyle w:val="Hyperlink"/>
                <w:rFonts w:cstheme="minorHAnsi"/>
                <w:noProof/>
                <w:lang w:bidi="si-LK"/>
              </w:rPr>
              <w:t>Administration and compliance</w:t>
            </w:r>
            <w:r>
              <w:rPr>
                <w:noProof/>
                <w:webHidden/>
              </w:rPr>
              <w:tab/>
            </w:r>
            <w:r>
              <w:rPr>
                <w:noProof/>
                <w:webHidden/>
              </w:rPr>
              <w:fldChar w:fldCharType="begin"/>
            </w:r>
            <w:r>
              <w:rPr>
                <w:noProof/>
                <w:webHidden/>
              </w:rPr>
              <w:instrText xml:space="preserve"> PAGEREF _Toc177819040 \h </w:instrText>
            </w:r>
            <w:r>
              <w:rPr>
                <w:noProof/>
                <w:webHidden/>
              </w:rPr>
            </w:r>
            <w:r>
              <w:rPr>
                <w:noProof/>
                <w:webHidden/>
              </w:rPr>
              <w:fldChar w:fldCharType="separate"/>
            </w:r>
            <w:r>
              <w:rPr>
                <w:noProof/>
                <w:webHidden/>
              </w:rPr>
              <w:t>18</w:t>
            </w:r>
            <w:r>
              <w:rPr>
                <w:noProof/>
                <w:webHidden/>
              </w:rPr>
              <w:fldChar w:fldCharType="end"/>
            </w:r>
          </w:hyperlink>
        </w:p>
        <w:p w14:paraId="12F64C78" w14:textId="4FF40049" w:rsidR="004B44C5" w:rsidRDefault="004B44C5">
          <w:pPr>
            <w:pStyle w:val="TOC1"/>
            <w:rPr>
              <w:rFonts w:eastAsiaTheme="minorEastAsia"/>
              <w:noProof/>
              <w:kern w:val="2"/>
              <w:sz w:val="24"/>
              <w:szCs w:val="24"/>
              <w:lang w:val="en-AU" w:eastAsia="en-AU"/>
              <w14:ligatures w14:val="standardContextual"/>
            </w:rPr>
          </w:pPr>
          <w:hyperlink w:anchor="_Toc177819041" w:history="1">
            <w:r w:rsidRPr="00641351">
              <w:rPr>
                <w:rStyle w:val="Hyperlink"/>
                <w:noProof/>
              </w:rPr>
              <w:t>Section 3. Alternative Final Tax (AFT)</w:t>
            </w:r>
            <w:r>
              <w:rPr>
                <w:noProof/>
                <w:webHidden/>
              </w:rPr>
              <w:tab/>
            </w:r>
            <w:r>
              <w:rPr>
                <w:noProof/>
                <w:webHidden/>
              </w:rPr>
              <w:fldChar w:fldCharType="begin"/>
            </w:r>
            <w:r>
              <w:rPr>
                <w:noProof/>
                <w:webHidden/>
              </w:rPr>
              <w:instrText xml:space="preserve"> PAGEREF _Toc177819041 \h </w:instrText>
            </w:r>
            <w:r>
              <w:rPr>
                <w:noProof/>
                <w:webHidden/>
              </w:rPr>
            </w:r>
            <w:r>
              <w:rPr>
                <w:noProof/>
                <w:webHidden/>
              </w:rPr>
              <w:fldChar w:fldCharType="separate"/>
            </w:r>
            <w:r>
              <w:rPr>
                <w:noProof/>
                <w:webHidden/>
              </w:rPr>
              <w:t>23</w:t>
            </w:r>
            <w:r>
              <w:rPr>
                <w:noProof/>
                <w:webHidden/>
              </w:rPr>
              <w:fldChar w:fldCharType="end"/>
            </w:r>
          </w:hyperlink>
        </w:p>
        <w:p w14:paraId="0DE05C75" w14:textId="1AB4CADB" w:rsidR="004B44C5" w:rsidRDefault="004B44C5">
          <w:pPr>
            <w:pStyle w:val="TOC2"/>
            <w:rPr>
              <w:rFonts w:eastAsiaTheme="minorEastAsia"/>
              <w:noProof/>
              <w:kern w:val="2"/>
              <w:sz w:val="24"/>
              <w:szCs w:val="24"/>
              <w:lang w:val="en-AU" w:eastAsia="en-AU"/>
              <w14:ligatures w14:val="standardContextual"/>
            </w:rPr>
          </w:pPr>
          <w:hyperlink w:anchor="_Toc177819042" w:history="1">
            <w:r w:rsidRPr="00641351">
              <w:rPr>
                <w:rStyle w:val="Hyperlink"/>
                <w:rFonts w:cstheme="minorHAnsi"/>
                <w:noProof/>
                <w:lang w:bidi="si-LK"/>
              </w:rPr>
              <w:t>Who pays and who does not</w:t>
            </w:r>
            <w:r>
              <w:rPr>
                <w:noProof/>
                <w:webHidden/>
              </w:rPr>
              <w:tab/>
            </w:r>
            <w:r>
              <w:rPr>
                <w:noProof/>
                <w:webHidden/>
              </w:rPr>
              <w:fldChar w:fldCharType="begin"/>
            </w:r>
            <w:r>
              <w:rPr>
                <w:noProof/>
                <w:webHidden/>
              </w:rPr>
              <w:instrText xml:space="preserve"> PAGEREF _Toc177819042 \h </w:instrText>
            </w:r>
            <w:r>
              <w:rPr>
                <w:noProof/>
                <w:webHidden/>
              </w:rPr>
            </w:r>
            <w:r>
              <w:rPr>
                <w:noProof/>
                <w:webHidden/>
              </w:rPr>
              <w:fldChar w:fldCharType="separate"/>
            </w:r>
            <w:r>
              <w:rPr>
                <w:noProof/>
                <w:webHidden/>
              </w:rPr>
              <w:t>23</w:t>
            </w:r>
            <w:r>
              <w:rPr>
                <w:noProof/>
                <w:webHidden/>
              </w:rPr>
              <w:fldChar w:fldCharType="end"/>
            </w:r>
          </w:hyperlink>
        </w:p>
        <w:p w14:paraId="7347A534" w14:textId="26D439A7" w:rsidR="004B44C5" w:rsidRDefault="004B44C5">
          <w:pPr>
            <w:pStyle w:val="TOC2"/>
            <w:rPr>
              <w:rFonts w:eastAsiaTheme="minorEastAsia"/>
              <w:noProof/>
              <w:kern w:val="2"/>
              <w:sz w:val="24"/>
              <w:szCs w:val="24"/>
              <w:lang w:val="en-AU" w:eastAsia="en-AU"/>
              <w14:ligatures w14:val="standardContextual"/>
            </w:rPr>
          </w:pPr>
          <w:hyperlink w:anchor="_Toc177819043" w:history="1">
            <w:r w:rsidRPr="00641351">
              <w:rPr>
                <w:rStyle w:val="Hyperlink"/>
                <w:rFonts w:cstheme="minorHAnsi"/>
                <w:noProof/>
                <w:lang w:bidi="si-LK"/>
              </w:rPr>
              <w:t>Rates and thresholds</w:t>
            </w:r>
            <w:r>
              <w:rPr>
                <w:noProof/>
                <w:webHidden/>
              </w:rPr>
              <w:tab/>
            </w:r>
            <w:r>
              <w:rPr>
                <w:noProof/>
                <w:webHidden/>
              </w:rPr>
              <w:fldChar w:fldCharType="begin"/>
            </w:r>
            <w:r>
              <w:rPr>
                <w:noProof/>
                <w:webHidden/>
              </w:rPr>
              <w:instrText xml:space="preserve"> PAGEREF _Toc177819043 \h </w:instrText>
            </w:r>
            <w:r>
              <w:rPr>
                <w:noProof/>
                <w:webHidden/>
              </w:rPr>
            </w:r>
            <w:r>
              <w:rPr>
                <w:noProof/>
                <w:webHidden/>
              </w:rPr>
              <w:fldChar w:fldCharType="separate"/>
            </w:r>
            <w:r>
              <w:rPr>
                <w:noProof/>
                <w:webHidden/>
              </w:rPr>
              <w:t>25</w:t>
            </w:r>
            <w:r>
              <w:rPr>
                <w:noProof/>
                <w:webHidden/>
              </w:rPr>
              <w:fldChar w:fldCharType="end"/>
            </w:r>
          </w:hyperlink>
        </w:p>
        <w:p w14:paraId="1E99BEA5" w14:textId="3E9D6566" w:rsidR="004B44C5" w:rsidRDefault="004B44C5">
          <w:pPr>
            <w:pStyle w:val="TOC2"/>
            <w:rPr>
              <w:rFonts w:eastAsiaTheme="minorEastAsia"/>
              <w:noProof/>
              <w:kern w:val="2"/>
              <w:sz w:val="24"/>
              <w:szCs w:val="24"/>
              <w:lang w:val="en-AU" w:eastAsia="en-AU"/>
              <w14:ligatures w14:val="standardContextual"/>
            </w:rPr>
          </w:pPr>
          <w:hyperlink w:anchor="_Toc177819044" w:history="1">
            <w:r w:rsidRPr="00641351">
              <w:rPr>
                <w:rStyle w:val="Hyperlink"/>
                <w:rFonts w:cstheme="minorHAnsi"/>
                <w:noProof/>
                <w:lang w:bidi="si-LK"/>
              </w:rPr>
              <w:t>Administration and compliance</w:t>
            </w:r>
            <w:r>
              <w:rPr>
                <w:noProof/>
                <w:webHidden/>
              </w:rPr>
              <w:tab/>
            </w:r>
            <w:r>
              <w:rPr>
                <w:noProof/>
                <w:webHidden/>
              </w:rPr>
              <w:fldChar w:fldCharType="begin"/>
            </w:r>
            <w:r>
              <w:rPr>
                <w:noProof/>
                <w:webHidden/>
              </w:rPr>
              <w:instrText xml:space="preserve"> PAGEREF _Toc177819044 \h </w:instrText>
            </w:r>
            <w:r>
              <w:rPr>
                <w:noProof/>
                <w:webHidden/>
              </w:rPr>
            </w:r>
            <w:r>
              <w:rPr>
                <w:noProof/>
                <w:webHidden/>
              </w:rPr>
              <w:fldChar w:fldCharType="separate"/>
            </w:r>
            <w:r>
              <w:rPr>
                <w:noProof/>
                <w:webHidden/>
              </w:rPr>
              <w:t>30</w:t>
            </w:r>
            <w:r>
              <w:rPr>
                <w:noProof/>
                <w:webHidden/>
              </w:rPr>
              <w:fldChar w:fldCharType="end"/>
            </w:r>
          </w:hyperlink>
        </w:p>
        <w:p w14:paraId="0B337212" w14:textId="035468F7" w:rsidR="004B44C5" w:rsidRDefault="004B44C5">
          <w:pPr>
            <w:pStyle w:val="TOC1"/>
            <w:rPr>
              <w:rFonts w:eastAsiaTheme="minorEastAsia"/>
              <w:noProof/>
              <w:kern w:val="2"/>
              <w:sz w:val="24"/>
              <w:szCs w:val="24"/>
              <w:lang w:val="en-AU" w:eastAsia="en-AU"/>
              <w14:ligatures w14:val="standardContextual"/>
            </w:rPr>
          </w:pPr>
          <w:hyperlink w:anchor="_Toc177819045" w:history="1">
            <w:r w:rsidRPr="00641351">
              <w:rPr>
                <w:rStyle w:val="Hyperlink"/>
                <w:noProof/>
              </w:rPr>
              <w:t>Section 4. Value-added Tax (VAT)</w:t>
            </w:r>
            <w:r>
              <w:rPr>
                <w:noProof/>
                <w:webHidden/>
              </w:rPr>
              <w:tab/>
            </w:r>
            <w:r>
              <w:rPr>
                <w:noProof/>
                <w:webHidden/>
              </w:rPr>
              <w:fldChar w:fldCharType="begin"/>
            </w:r>
            <w:r>
              <w:rPr>
                <w:noProof/>
                <w:webHidden/>
              </w:rPr>
              <w:instrText xml:space="preserve"> PAGEREF _Toc177819045 \h </w:instrText>
            </w:r>
            <w:r>
              <w:rPr>
                <w:noProof/>
                <w:webHidden/>
              </w:rPr>
            </w:r>
            <w:r>
              <w:rPr>
                <w:noProof/>
                <w:webHidden/>
              </w:rPr>
              <w:fldChar w:fldCharType="separate"/>
            </w:r>
            <w:r>
              <w:rPr>
                <w:noProof/>
                <w:webHidden/>
              </w:rPr>
              <w:t>32</w:t>
            </w:r>
            <w:r>
              <w:rPr>
                <w:noProof/>
                <w:webHidden/>
              </w:rPr>
              <w:fldChar w:fldCharType="end"/>
            </w:r>
          </w:hyperlink>
        </w:p>
        <w:p w14:paraId="4FABE3DF" w14:textId="1E76FDEE" w:rsidR="004B44C5" w:rsidRDefault="004B44C5">
          <w:pPr>
            <w:pStyle w:val="TOC2"/>
            <w:rPr>
              <w:rFonts w:eastAsiaTheme="minorEastAsia"/>
              <w:noProof/>
              <w:kern w:val="2"/>
              <w:sz w:val="24"/>
              <w:szCs w:val="24"/>
              <w:lang w:val="en-AU" w:eastAsia="en-AU"/>
              <w14:ligatures w14:val="standardContextual"/>
            </w:rPr>
          </w:pPr>
          <w:hyperlink w:anchor="_Toc177819046" w:history="1">
            <w:r w:rsidRPr="00641351">
              <w:rPr>
                <w:rStyle w:val="Hyperlink"/>
                <w:rFonts w:cstheme="minorHAnsi"/>
                <w:noProof/>
                <w:lang w:bidi="si-LK"/>
              </w:rPr>
              <w:t>History of Indonesia’s VAT</w:t>
            </w:r>
            <w:r>
              <w:rPr>
                <w:noProof/>
                <w:webHidden/>
              </w:rPr>
              <w:tab/>
            </w:r>
            <w:r>
              <w:rPr>
                <w:noProof/>
                <w:webHidden/>
              </w:rPr>
              <w:fldChar w:fldCharType="begin"/>
            </w:r>
            <w:r>
              <w:rPr>
                <w:noProof/>
                <w:webHidden/>
              </w:rPr>
              <w:instrText xml:space="preserve"> PAGEREF _Toc177819046 \h </w:instrText>
            </w:r>
            <w:r>
              <w:rPr>
                <w:noProof/>
                <w:webHidden/>
              </w:rPr>
            </w:r>
            <w:r>
              <w:rPr>
                <w:noProof/>
                <w:webHidden/>
              </w:rPr>
              <w:fldChar w:fldCharType="separate"/>
            </w:r>
            <w:r>
              <w:rPr>
                <w:noProof/>
                <w:webHidden/>
              </w:rPr>
              <w:t>32</w:t>
            </w:r>
            <w:r>
              <w:rPr>
                <w:noProof/>
                <w:webHidden/>
              </w:rPr>
              <w:fldChar w:fldCharType="end"/>
            </w:r>
          </w:hyperlink>
        </w:p>
        <w:p w14:paraId="1051B8DB" w14:textId="6935C5DA" w:rsidR="004B44C5" w:rsidRDefault="004B44C5">
          <w:pPr>
            <w:pStyle w:val="TOC2"/>
            <w:rPr>
              <w:rFonts w:eastAsiaTheme="minorEastAsia"/>
              <w:noProof/>
              <w:kern w:val="2"/>
              <w:sz w:val="24"/>
              <w:szCs w:val="24"/>
              <w:lang w:val="en-AU" w:eastAsia="en-AU"/>
              <w14:ligatures w14:val="standardContextual"/>
            </w:rPr>
          </w:pPr>
          <w:hyperlink w:anchor="_Toc177819047" w:history="1">
            <w:r w:rsidRPr="00641351">
              <w:rPr>
                <w:rStyle w:val="Hyperlink"/>
                <w:rFonts w:cstheme="minorHAnsi"/>
                <w:noProof/>
                <w:lang w:bidi="si-LK"/>
              </w:rPr>
              <w:t>Tax design</w:t>
            </w:r>
            <w:r>
              <w:rPr>
                <w:noProof/>
                <w:webHidden/>
              </w:rPr>
              <w:tab/>
            </w:r>
            <w:r>
              <w:rPr>
                <w:noProof/>
                <w:webHidden/>
              </w:rPr>
              <w:tab/>
            </w:r>
            <w:r>
              <w:rPr>
                <w:noProof/>
                <w:webHidden/>
              </w:rPr>
              <w:fldChar w:fldCharType="begin"/>
            </w:r>
            <w:r>
              <w:rPr>
                <w:noProof/>
                <w:webHidden/>
              </w:rPr>
              <w:instrText xml:space="preserve"> PAGEREF _Toc177819047 \h </w:instrText>
            </w:r>
            <w:r>
              <w:rPr>
                <w:noProof/>
                <w:webHidden/>
              </w:rPr>
            </w:r>
            <w:r>
              <w:rPr>
                <w:noProof/>
                <w:webHidden/>
              </w:rPr>
              <w:fldChar w:fldCharType="separate"/>
            </w:r>
            <w:r>
              <w:rPr>
                <w:noProof/>
                <w:webHidden/>
              </w:rPr>
              <w:t>33</w:t>
            </w:r>
            <w:r>
              <w:rPr>
                <w:noProof/>
                <w:webHidden/>
              </w:rPr>
              <w:fldChar w:fldCharType="end"/>
            </w:r>
          </w:hyperlink>
        </w:p>
        <w:p w14:paraId="2A2D710B" w14:textId="05B65510" w:rsidR="004B44C5" w:rsidRDefault="004B44C5">
          <w:pPr>
            <w:pStyle w:val="TOC2"/>
            <w:rPr>
              <w:rFonts w:eastAsiaTheme="minorEastAsia"/>
              <w:noProof/>
              <w:kern w:val="2"/>
              <w:sz w:val="24"/>
              <w:szCs w:val="24"/>
              <w:lang w:val="en-AU" w:eastAsia="en-AU"/>
              <w14:ligatures w14:val="standardContextual"/>
            </w:rPr>
          </w:pPr>
          <w:hyperlink w:anchor="_Toc177819048" w:history="1">
            <w:r w:rsidRPr="00641351">
              <w:rPr>
                <w:rStyle w:val="Hyperlink"/>
                <w:rFonts w:cstheme="minorHAnsi"/>
                <w:noProof/>
                <w:lang w:bidi="si-LK"/>
              </w:rPr>
              <w:t>Who pays and who does not</w:t>
            </w:r>
            <w:r>
              <w:rPr>
                <w:noProof/>
                <w:webHidden/>
              </w:rPr>
              <w:tab/>
            </w:r>
            <w:r>
              <w:rPr>
                <w:noProof/>
                <w:webHidden/>
              </w:rPr>
              <w:fldChar w:fldCharType="begin"/>
            </w:r>
            <w:r>
              <w:rPr>
                <w:noProof/>
                <w:webHidden/>
              </w:rPr>
              <w:instrText xml:space="preserve"> PAGEREF _Toc177819048 \h </w:instrText>
            </w:r>
            <w:r>
              <w:rPr>
                <w:noProof/>
                <w:webHidden/>
              </w:rPr>
            </w:r>
            <w:r>
              <w:rPr>
                <w:noProof/>
                <w:webHidden/>
              </w:rPr>
              <w:fldChar w:fldCharType="separate"/>
            </w:r>
            <w:r>
              <w:rPr>
                <w:noProof/>
                <w:webHidden/>
              </w:rPr>
              <w:t>35</w:t>
            </w:r>
            <w:r>
              <w:rPr>
                <w:noProof/>
                <w:webHidden/>
              </w:rPr>
              <w:fldChar w:fldCharType="end"/>
            </w:r>
          </w:hyperlink>
        </w:p>
        <w:p w14:paraId="2C56716A" w14:textId="462815E5" w:rsidR="004B44C5" w:rsidRDefault="004B44C5">
          <w:pPr>
            <w:pStyle w:val="TOC2"/>
            <w:rPr>
              <w:rFonts w:eastAsiaTheme="minorEastAsia"/>
              <w:noProof/>
              <w:kern w:val="2"/>
              <w:sz w:val="24"/>
              <w:szCs w:val="24"/>
              <w:lang w:val="en-AU" w:eastAsia="en-AU"/>
              <w14:ligatures w14:val="standardContextual"/>
            </w:rPr>
          </w:pPr>
          <w:hyperlink w:anchor="_Toc177819049" w:history="1">
            <w:r w:rsidRPr="00641351">
              <w:rPr>
                <w:rStyle w:val="Hyperlink"/>
                <w:rFonts w:cstheme="minorHAnsi"/>
                <w:noProof/>
                <w:lang w:bidi="si-LK"/>
              </w:rPr>
              <w:t>Other categories of VAT preferential treatment</w:t>
            </w:r>
            <w:r>
              <w:rPr>
                <w:noProof/>
                <w:webHidden/>
              </w:rPr>
              <w:tab/>
            </w:r>
            <w:r>
              <w:rPr>
                <w:noProof/>
                <w:webHidden/>
              </w:rPr>
              <w:fldChar w:fldCharType="begin"/>
            </w:r>
            <w:r>
              <w:rPr>
                <w:noProof/>
                <w:webHidden/>
              </w:rPr>
              <w:instrText xml:space="preserve"> PAGEREF _Toc177819049 \h </w:instrText>
            </w:r>
            <w:r>
              <w:rPr>
                <w:noProof/>
                <w:webHidden/>
              </w:rPr>
            </w:r>
            <w:r>
              <w:rPr>
                <w:noProof/>
                <w:webHidden/>
              </w:rPr>
              <w:fldChar w:fldCharType="separate"/>
            </w:r>
            <w:r>
              <w:rPr>
                <w:noProof/>
                <w:webHidden/>
              </w:rPr>
              <w:t>39</w:t>
            </w:r>
            <w:r>
              <w:rPr>
                <w:noProof/>
                <w:webHidden/>
              </w:rPr>
              <w:fldChar w:fldCharType="end"/>
            </w:r>
          </w:hyperlink>
        </w:p>
        <w:p w14:paraId="0B49AEC0" w14:textId="1E1940BA" w:rsidR="004B44C5" w:rsidRDefault="004B44C5">
          <w:pPr>
            <w:pStyle w:val="TOC2"/>
            <w:rPr>
              <w:rFonts w:eastAsiaTheme="minorEastAsia"/>
              <w:noProof/>
              <w:kern w:val="2"/>
              <w:sz w:val="24"/>
              <w:szCs w:val="24"/>
              <w:lang w:val="en-AU" w:eastAsia="en-AU"/>
              <w14:ligatures w14:val="standardContextual"/>
            </w:rPr>
          </w:pPr>
          <w:hyperlink w:anchor="_Toc177819050" w:history="1">
            <w:r w:rsidRPr="00641351">
              <w:rPr>
                <w:rStyle w:val="Hyperlink"/>
                <w:rFonts w:cstheme="minorHAnsi"/>
                <w:noProof/>
                <w:lang w:bidi="si-LK"/>
              </w:rPr>
              <w:t>A separate sales tax regime for luxury goods (LGST)</w:t>
            </w:r>
            <w:r>
              <w:rPr>
                <w:noProof/>
                <w:webHidden/>
              </w:rPr>
              <w:tab/>
            </w:r>
            <w:r>
              <w:rPr>
                <w:noProof/>
                <w:webHidden/>
              </w:rPr>
              <w:fldChar w:fldCharType="begin"/>
            </w:r>
            <w:r>
              <w:rPr>
                <w:noProof/>
                <w:webHidden/>
              </w:rPr>
              <w:instrText xml:space="preserve"> PAGEREF _Toc177819050 \h </w:instrText>
            </w:r>
            <w:r>
              <w:rPr>
                <w:noProof/>
                <w:webHidden/>
              </w:rPr>
            </w:r>
            <w:r>
              <w:rPr>
                <w:noProof/>
                <w:webHidden/>
              </w:rPr>
              <w:fldChar w:fldCharType="separate"/>
            </w:r>
            <w:r>
              <w:rPr>
                <w:noProof/>
                <w:webHidden/>
              </w:rPr>
              <w:t>41</w:t>
            </w:r>
            <w:r>
              <w:rPr>
                <w:noProof/>
                <w:webHidden/>
              </w:rPr>
              <w:fldChar w:fldCharType="end"/>
            </w:r>
          </w:hyperlink>
        </w:p>
        <w:p w14:paraId="24C1BAEB" w14:textId="1BC53810" w:rsidR="004B44C5" w:rsidRDefault="004B44C5">
          <w:pPr>
            <w:pStyle w:val="TOC2"/>
            <w:rPr>
              <w:rFonts w:eastAsiaTheme="minorEastAsia"/>
              <w:noProof/>
              <w:kern w:val="2"/>
              <w:sz w:val="24"/>
              <w:szCs w:val="24"/>
              <w:lang w:val="en-AU" w:eastAsia="en-AU"/>
              <w14:ligatures w14:val="standardContextual"/>
            </w:rPr>
          </w:pPr>
          <w:hyperlink w:anchor="_Toc177819051" w:history="1">
            <w:r w:rsidRPr="00641351">
              <w:rPr>
                <w:rStyle w:val="Hyperlink"/>
                <w:rFonts w:cstheme="minorHAnsi"/>
                <w:noProof/>
                <w:lang w:bidi="si-LK"/>
              </w:rPr>
              <w:t>Administration and compliance</w:t>
            </w:r>
            <w:r>
              <w:rPr>
                <w:noProof/>
                <w:webHidden/>
              </w:rPr>
              <w:tab/>
            </w:r>
            <w:r>
              <w:rPr>
                <w:noProof/>
                <w:webHidden/>
              </w:rPr>
              <w:fldChar w:fldCharType="begin"/>
            </w:r>
            <w:r>
              <w:rPr>
                <w:noProof/>
                <w:webHidden/>
              </w:rPr>
              <w:instrText xml:space="preserve"> PAGEREF _Toc177819051 \h </w:instrText>
            </w:r>
            <w:r>
              <w:rPr>
                <w:noProof/>
                <w:webHidden/>
              </w:rPr>
            </w:r>
            <w:r>
              <w:rPr>
                <w:noProof/>
                <w:webHidden/>
              </w:rPr>
              <w:fldChar w:fldCharType="separate"/>
            </w:r>
            <w:r>
              <w:rPr>
                <w:noProof/>
                <w:webHidden/>
              </w:rPr>
              <w:t>42</w:t>
            </w:r>
            <w:r>
              <w:rPr>
                <w:noProof/>
                <w:webHidden/>
              </w:rPr>
              <w:fldChar w:fldCharType="end"/>
            </w:r>
          </w:hyperlink>
        </w:p>
        <w:p w14:paraId="372C8191" w14:textId="05BC52C6" w:rsidR="004B44C5" w:rsidRDefault="004B44C5">
          <w:pPr>
            <w:pStyle w:val="TOC1"/>
            <w:rPr>
              <w:rFonts w:eastAsiaTheme="minorEastAsia"/>
              <w:noProof/>
              <w:kern w:val="2"/>
              <w:sz w:val="24"/>
              <w:szCs w:val="24"/>
              <w:lang w:val="en-AU" w:eastAsia="en-AU"/>
              <w14:ligatures w14:val="standardContextual"/>
            </w:rPr>
          </w:pPr>
          <w:hyperlink w:anchor="_Toc177819052" w:history="1">
            <w:r w:rsidRPr="00641351">
              <w:rPr>
                <w:rStyle w:val="Hyperlink"/>
                <w:noProof/>
              </w:rPr>
              <w:t>Section 5. Summary and Recommendations</w:t>
            </w:r>
            <w:r>
              <w:rPr>
                <w:noProof/>
                <w:webHidden/>
              </w:rPr>
              <w:tab/>
            </w:r>
            <w:r>
              <w:rPr>
                <w:noProof/>
                <w:webHidden/>
              </w:rPr>
              <w:fldChar w:fldCharType="begin"/>
            </w:r>
            <w:r>
              <w:rPr>
                <w:noProof/>
                <w:webHidden/>
              </w:rPr>
              <w:instrText xml:space="preserve"> PAGEREF _Toc177819052 \h </w:instrText>
            </w:r>
            <w:r>
              <w:rPr>
                <w:noProof/>
                <w:webHidden/>
              </w:rPr>
            </w:r>
            <w:r>
              <w:rPr>
                <w:noProof/>
                <w:webHidden/>
              </w:rPr>
              <w:fldChar w:fldCharType="separate"/>
            </w:r>
            <w:r>
              <w:rPr>
                <w:noProof/>
                <w:webHidden/>
              </w:rPr>
              <w:t>44</w:t>
            </w:r>
            <w:r>
              <w:rPr>
                <w:noProof/>
                <w:webHidden/>
              </w:rPr>
              <w:fldChar w:fldCharType="end"/>
            </w:r>
          </w:hyperlink>
        </w:p>
        <w:p w14:paraId="41737A5B" w14:textId="17975664" w:rsidR="004B44C5" w:rsidRDefault="004B44C5">
          <w:pPr>
            <w:pStyle w:val="TOC2"/>
            <w:rPr>
              <w:rFonts w:eastAsiaTheme="minorEastAsia"/>
              <w:noProof/>
              <w:kern w:val="2"/>
              <w:sz w:val="24"/>
              <w:szCs w:val="24"/>
              <w:lang w:val="en-AU" w:eastAsia="en-AU"/>
              <w14:ligatures w14:val="standardContextual"/>
            </w:rPr>
          </w:pPr>
          <w:hyperlink w:anchor="_Toc177819053" w:history="1">
            <w:r w:rsidRPr="00641351">
              <w:rPr>
                <w:rStyle w:val="Hyperlink"/>
                <w:rFonts w:cstheme="minorHAnsi"/>
                <w:noProof/>
                <w:lang w:bidi="si-LK"/>
              </w:rPr>
              <w:t>Recommendations</w:t>
            </w:r>
            <w:r>
              <w:rPr>
                <w:noProof/>
                <w:webHidden/>
              </w:rPr>
              <w:tab/>
            </w:r>
            <w:r>
              <w:rPr>
                <w:noProof/>
                <w:webHidden/>
              </w:rPr>
              <w:fldChar w:fldCharType="begin"/>
            </w:r>
            <w:r>
              <w:rPr>
                <w:noProof/>
                <w:webHidden/>
              </w:rPr>
              <w:instrText xml:space="preserve"> PAGEREF _Toc177819053 \h </w:instrText>
            </w:r>
            <w:r>
              <w:rPr>
                <w:noProof/>
                <w:webHidden/>
              </w:rPr>
            </w:r>
            <w:r>
              <w:rPr>
                <w:noProof/>
                <w:webHidden/>
              </w:rPr>
              <w:fldChar w:fldCharType="separate"/>
            </w:r>
            <w:r>
              <w:rPr>
                <w:noProof/>
                <w:webHidden/>
              </w:rPr>
              <w:t>45</w:t>
            </w:r>
            <w:r>
              <w:rPr>
                <w:noProof/>
                <w:webHidden/>
              </w:rPr>
              <w:fldChar w:fldCharType="end"/>
            </w:r>
          </w:hyperlink>
        </w:p>
        <w:p w14:paraId="0629D75E" w14:textId="25FF7EDE" w:rsidR="004B44C5" w:rsidRDefault="004B44C5">
          <w:pPr>
            <w:pStyle w:val="TOC2"/>
            <w:rPr>
              <w:rFonts w:eastAsiaTheme="minorEastAsia"/>
              <w:noProof/>
              <w:kern w:val="2"/>
              <w:sz w:val="24"/>
              <w:szCs w:val="24"/>
              <w:lang w:val="en-AU" w:eastAsia="en-AU"/>
              <w14:ligatures w14:val="standardContextual"/>
            </w:rPr>
          </w:pPr>
          <w:hyperlink w:anchor="_Toc177819054" w:history="1">
            <w:r w:rsidRPr="00641351">
              <w:rPr>
                <w:rStyle w:val="Hyperlink"/>
                <w:rFonts w:cstheme="minorHAnsi"/>
                <w:noProof/>
                <w:lang w:bidi="si-LK"/>
              </w:rPr>
              <w:t>Caveats and knowledge gaps</w:t>
            </w:r>
            <w:r>
              <w:rPr>
                <w:noProof/>
                <w:webHidden/>
              </w:rPr>
              <w:tab/>
            </w:r>
            <w:r>
              <w:rPr>
                <w:noProof/>
                <w:webHidden/>
              </w:rPr>
              <w:fldChar w:fldCharType="begin"/>
            </w:r>
            <w:r>
              <w:rPr>
                <w:noProof/>
                <w:webHidden/>
              </w:rPr>
              <w:instrText xml:space="preserve"> PAGEREF _Toc177819054 \h </w:instrText>
            </w:r>
            <w:r>
              <w:rPr>
                <w:noProof/>
                <w:webHidden/>
              </w:rPr>
            </w:r>
            <w:r>
              <w:rPr>
                <w:noProof/>
                <w:webHidden/>
              </w:rPr>
              <w:fldChar w:fldCharType="separate"/>
            </w:r>
            <w:r>
              <w:rPr>
                <w:noProof/>
                <w:webHidden/>
              </w:rPr>
              <w:t>47</w:t>
            </w:r>
            <w:r>
              <w:rPr>
                <w:noProof/>
                <w:webHidden/>
              </w:rPr>
              <w:fldChar w:fldCharType="end"/>
            </w:r>
          </w:hyperlink>
        </w:p>
        <w:p w14:paraId="0E37F09E" w14:textId="63DE4318" w:rsidR="004B44C5" w:rsidRDefault="004B44C5">
          <w:pPr>
            <w:pStyle w:val="TOC2"/>
            <w:rPr>
              <w:rFonts w:eastAsiaTheme="minorEastAsia"/>
              <w:noProof/>
              <w:kern w:val="2"/>
              <w:sz w:val="24"/>
              <w:szCs w:val="24"/>
              <w:lang w:val="en-AU" w:eastAsia="en-AU"/>
              <w14:ligatures w14:val="standardContextual"/>
            </w:rPr>
          </w:pPr>
          <w:hyperlink w:anchor="_Toc177819055" w:history="1">
            <w:r w:rsidRPr="00641351">
              <w:rPr>
                <w:rStyle w:val="Hyperlink"/>
                <w:rFonts w:cstheme="minorHAnsi"/>
                <w:noProof/>
                <w:lang w:bidi="si-LK"/>
              </w:rPr>
              <w:t>Summary table</w:t>
            </w:r>
            <w:r>
              <w:rPr>
                <w:noProof/>
                <w:webHidden/>
              </w:rPr>
              <w:tab/>
            </w:r>
            <w:r>
              <w:rPr>
                <w:noProof/>
                <w:webHidden/>
              </w:rPr>
              <w:fldChar w:fldCharType="begin"/>
            </w:r>
            <w:r>
              <w:rPr>
                <w:noProof/>
                <w:webHidden/>
              </w:rPr>
              <w:instrText xml:space="preserve"> PAGEREF _Toc177819055 \h </w:instrText>
            </w:r>
            <w:r>
              <w:rPr>
                <w:noProof/>
                <w:webHidden/>
              </w:rPr>
            </w:r>
            <w:r>
              <w:rPr>
                <w:noProof/>
                <w:webHidden/>
              </w:rPr>
              <w:fldChar w:fldCharType="separate"/>
            </w:r>
            <w:r>
              <w:rPr>
                <w:noProof/>
                <w:webHidden/>
              </w:rPr>
              <w:t>48</w:t>
            </w:r>
            <w:r>
              <w:rPr>
                <w:noProof/>
                <w:webHidden/>
              </w:rPr>
              <w:fldChar w:fldCharType="end"/>
            </w:r>
          </w:hyperlink>
        </w:p>
        <w:p w14:paraId="13168B1C" w14:textId="30584F97" w:rsidR="004B44C5" w:rsidRDefault="004B44C5">
          <w:pPr>
            <w:pStyle w:val="TOC1"/>
            <w:rPr>
              <w:rFonts w:eastAsiaTheme="minorEastAsia"/>
              <w:noProof/>
              <w:kern w:val="2"/>
              <w:sz w:val="24"/>
              <w:szCs w:val="24"/>
              <w:lang w:val="en-AU" w:eastAsia="en-AU"/>
              <w14:ligatures w14:val="standardContextual"/>
            </w:rPr>
          </w:pPr>
          <w:hyperlink w:anchor="_Toc177819056" w:history="1">
            <w:r w:rsidRPr="00641351">
              <w:rPr>
                <w:rStyle w:val="Hyperlink"/>
                <w:noProof/>
              </w:rPr>
              <w:t>Appendix 1: CIT Framework for Determining Taxable Profits</w:t>
            </w:r>
            <w:r>
              <w:rPr>
                <w:noProof/>
                <w:webHidden/>
              </w:rPr>
              <w:tab/>
            </w:r>
            <w:r>
              <w:rPr>
                <w:noProof/>
                <w:webHidden/>
              </w:rPr>
              <w:fldChar w:fldCharType="begin"/>
            </w:r>
            <w:r>
              <w:rPr>
                <w:noProof/>
                <w:webHidden/>
              </w:rPr>
              <w:instrText xml:space="preserve"> PAGEREF _Toc177819056 \h </w:instrText>
            </w:r>
            <w:r>
              <w:rPr>
                <w:noProof/>
                <w:webHidden/>
              </w:rPr>
            </w:r>
            <w:r>
              <w:rPr>
                <w:noProof/>
                <w:webHidden/>
              </w:rPr>
              <w:fldChar w:fldCharType="separate"/>
            </w:r>
            <w:r>
              <w:rPr>
                <w:noProof/>
                <w:webHidden/>
              </w:rPr>
              <w:t>50</w:t>
            </w:r>
            <w:r>
              <w:rPr>
                <w:noProof/>
                <w:webHidden/>
              </w:rPr>
              <w:fldChar w:fldCharType="end"/>
            </w:r>
          </w:hyperlink>
        </w:p>
        <w:p w14:paraId="62E35D01" w14:textId="57D142B1" w:rsidR="004B44C5" w:rsidRDefault="004B44C5">
          <w:pPr>
            <w:pStyle w:val="TOC1"/>
            <w:rPr>
              <w:rFonts w:eastAsiaTheme="minorEastAsia"/>
              <w:noProof/>
              <w:kern w:val="2"/>
              <w:sz w:val="24"/>
              <w:szCs w:val="24"/>
              <w:lang w:val="en-AU" w:eastAsia="en-AU"/>
              <w14:ligatures w14:val="standardContextual"/>
            </w:rPr>
          </w:pPr>
          <w:hyperlink w:anchor="_Toc177819057" w:history="1">
            <w:r w:rsidRPr="00641351">
              <w:rPr>
                <w:rStyle w:val="Hyperlink"/>
                <w:noProof/>
              </w:rPr>
              <w:t>Appendix 2: Comparison of a Sales Tax with a Value-added Tax (With and Without Exemptions)</w:t>
            </w:r>
            <w:r>
              <w:rPr>
                <w:noProof/>
                <w:webHidden/>
              </w:rPr>
              <w:tab/>
            </w:r>
            <w:r>
              <w:rPr>
                <w:noProof/>
                <w:webHidden/>
              </w:rPr>
              <w:fldChar w:fldCharType="begin"/>
            </w:r>
            <w:r>
              <w:rPr>
                <w:noProof/>
                <w:webHidden/>
              </w:rPr>
              <w:instrText xml:space="preserve"> PAGEREF _Toc177819057 \h </w:instrText>
            </w:r>
            <w:r>
              <w:rPr>
                <w:noProof/>
                <w:webHidden/>
              </w:rPr>
            </w:r>
            <w:r>
              <w:rPr>
                <w:noProof/>
                <w:webHidden/>
              </w:rPr>
              <w:fldChar w:fldCharType="separate"/>
            </w:r>
            <w:r>
              <w:rPr>
                <w:noProof/>
                <w:webHidden/>
              </w:rPr>
              <w:t>51</w:t>
            </w:r>
            <w:r>
              <w:rPr>
                <w:noProof/>
                <w:webHidden/>
              </w:rPr>
              <w:fldChar w:fldCharType="end"/>
            </w:r>
          </w:hyperlink>
        </w:p>
        <w:p w14:paraId="4773D32B" w14:textId="3AEBA96A" w:rsidR="004B44C5" w:rsidRDefault="004B44C5">
          <w:pPr>
            <w:pStyle w:val="TOC1"/>
            <w:rPr>
              <w:rFonts w:eastAsiaTheme="minorEastAsia"/>
              <w:noProof/>
              <w:kern w:val="2"/>
              <w:sz w:val="24"/>
              <w:szCs w:val="24"/>
              <w:lang w:val="en-AU" w:eastAsia="en-AU"/>
              <w14:ligatures w14:val="standardContextual"/>
            </w:rPr>
          </w:pPr>
          <w:hyperlink w:anchor="_Toc177819058" w:history="1">
            <w:r w:rsidRPr="00641351">
              <w:rPr>
                <w:rStyle w:val="Hyperlink"/>
                <w:rFonts w:cstheme="majorHAnsi"/>
                <w:noProof/>
              </w:rPr>
              <w:t>Appendix 3: Turnover Taxes in ASEAN</w:t>
            </w:r>
            <w:r>
              <w:rPr>
                <w:noProof/>
                <w:webHidden/>
              </w:rPr>
              <w:tab/>
            </w:r>
            <w:r>
              <w:rPr>
                <w:noProof/>
                <w:webHidden/>
              </w:rPr>
              <w:fldChar w:fldCharType="begin"/>
            </w:r>
            <w:r>
              <w:rPr>
                <w:noProof/>
                <w:webHidden/>
              </w:rPr>
              <w:instrText xml:space="preserve"> PAGEREF _Toc177819058 \h </w:instrText>
            </w:r>
            <w:r>
              <w:rPr>
                <w:noProof/>
                <w:webHidden/>
              </w:rPr>
            </w:r>
            <w:r>
              <w:rPr>
                <w:noProof/>
                <w:webHidden/>
              </w:rPr>
              <w:fldChar w:fldCharType="separate"/>
            </w:r>
            <w:r>
              <w:rPr>
                <w:noProof/>
                <w:webHidden/>
              </w:rPr>
              <w:t>52</w:t>
            </w:r>
            <w:r>
              <w:rPr>
                <w:noProof/>
                <w:webHidden/>
              </w:rPr>
              <w:fldChar w:fldCharType="end"/>
            </w:r>
          </w:hyperlink>
        </w:p>
        <w:p w14:paraId="4178F05D" w14:textId="2D130767" w:rsidR="004B44C5" w:rsidRDefault="004B44C5">
          <w:pPr>
            <w:pStyle w:val="TOC1"/>
            <w:rPr>
              <w:rFonts w:eastAsiaTheme="minorEastAsia"/>
              <w:noProof/>
              <w:kern w:val="2"/>
              <w:sz w:val="24"/>
              <w:szCs w:val="24"/>
              <w:lang w:val="en-AU" w:eastAsia="en-AU"/>
              <w14:ligatures w14:val="standardContextual"/>
            </w:rPr>
          </w:pPr>
          <w:hyperlink w:anchor="_Toc177819059" w:history="1">
            <w:r w:rsidRPr="00641351">
              <w:rPr>
                <w:rStyle w:val="Hyperlink"/>
                <w:rFonts w:cstheme="majorHAnsi"/>
                <w:noProof/>
              </w:rPr>
              <w:t>Appendix 4: Business Activities Subject to Personal Income Tax</w:t>
            </w:r>
            <w:r>
              <w:rPr>
                <w:noProof/>
                <w:webHidden/>
              </w:rPr>
              <w:tab/>
            </w:r>
            <w:r>
              <w:rPr>
                <w:noProof/>
                <w:webHidden/>
              </w:rPr>
              <w:fldChar w:fldCharType="begin"/>
            </w:r>
            <w:r>
              <w:rPr>
                <w:noProof/>
                <w:webHidden/>
              </w:rPr>
              <w:instrText xml:space="preserve"> PAGEREF _Toc177819059 \h </w:instrText>
            </w:r>
            <w:r>
              <w:rPr>
                <w:noProof/>
                <w:webHidden/>
              </w:rPr>
            </w:r>
            <w:r>
              <w:rPr>
                <w:noProof/>
                <w:webHidden/>
              </w:rPr>
              <w:fldChar w:fldCharType="separate"/>
            </w:r>
            <w:r>
              <w:rPr>
                <w:noProof/>
                <w:webHidden/>
              </w:rPr>
              <w:t>53</w:t>
            </w:r>
            <w:r>
              <w:rPr>
                <w:noProof/>
                <w:webHidden/>
              </w:rPr>
              <w:fldChar w:fldCharType="end"/>
            </w:r>
          </w:hyperlink>
        </w:p>
        <w:p w14:paraId="57A9EE29" w14:textId="16BB35AE" w:rsidR="004B44C5" w:rsidRDefault="004B44C5">
          <w:pPr>
            <w:pStyle w:val="TOC1"/>
            <w:rPr>
              <w:rFonts w:eastAsiaTheme="minorEastAsia"/>
              <w:noProof/>
              <w:kern w:val="2"/>
              <w:sz w:val="24"/>
              <w:szCs w:val="24"/>
              <w:lang w:val="en-AU" w:eastAsia="en-AU"/>
              <w14:ligatures w14:val="standardContextual"/>
            </w:rPr>
          </w:pPr>
          <w:hyperlink w:anchor="_Toc177819060" w:history="1">
            <w:r w:rsidRPr="00641351">
              <w:rPr>
                <w:rStyle w:val="Hyperlink"/>
                <w:rFonts w:cstheme="majorHAnsi"/>
                <w:noProof/>
              </w:rPr>
              <w:t>Appendix 5: Peer Country Case Studies: Increasing Revenues Through Higher Statutory Rates and a Broader Tax Base</w:t>
            </w:r>
            <w:r>
              <w:rPr>
                <w:noProof/>
                <w:webHidden/>
              </w:rPr>
              <w:tab/>
            </w:r>
            <w:r>
              <w:rPr>
                <w:noProof/>
                <w:webHidden/>
              </w:rPr>
              <w:fldChar w:fldCharType="begin"/>
            </w:r>
            <w:r>
              <w:rPr>
                <w:noProof/>
                <w:webHidden/>
              </w:rPr>
              <w:instrText xml:space="preserve"> PAGEREF _Toc177819060 \h </w:instrText>
            </w:r>
            <w:r>
              <w:rPr>
                <w:noProof/>
                <w:webHidden/>
              </w:rPr>
            </w:r>
            <w:r>
              <w:rPr>
                <w:noProof/>
                <w:webHidden/>
              </w:rPr>
              <w:fldChar w:fldCharType="separate"/>
            </w:r>
            <w:r>
              <w:rPr>
                <w:noProof/>
                <w:webHidden/>
              </w:rPr>
              <w:t>55</w:t>
            </w:r>
            <w:r>
              <w:rPr>
                <w:noProof/>
                <w:webHidden/>
              </w:rPr>
              <w:fldChar w:fldCharType="end"/>
            </w:r>
          </w:hyperlink>
        </w:p>
        <w:p w14:paraId="2D227496" w14:textId="3D2793F3" w:rsidR="004B44C5" w:rsidRDefault="004B44C5">
          <w:pPr>
            <w:pStyle w:val="TOC1"/>
            <w:rPr>
              <w:rFonts w:eastAsiaTheme="minorEastAsia"/>
              <w:noProof/>
              <w:kern w:val="2"/>
              <w:sz w:val="24"/>
              <w:szCs w:val="24"/>
              <w:lang w:val="en-AU" w:eastAsia="en-AU"/>
              <w14:ligatures w14:val="standardContextual"/>
            </w:rPr>
          </w:pPr>
          <w:hyperlink w:anchor="_Toc177819061" w:history="1">
            <w:r w:rsidRPr="00641351">
              <w:rPr>
                <w:rStyle w:val="Hyperlink"/>
                <w:rFonts w:cstheme="majorHAnsi"/>
                <w:noProof/>
              </w:rPr>
              <w:t>Appendix 6: Consumption Tax in the Context of Indonesia’s Intergovernmental Fiscal Framework</w:t>
            </w:r>
            <w:r>
              <w:rPr>
                <w:noProof/>
                <w:webHidden/>
              </w:rPr>
              <w:tab/>
            </w:r>
            <w:r>
              <w:rPr>
                <w:noProof/>
                <w:webHidden/>
              </w:rPr>
              <w:fldChar w:fldCharType="begin"/>
            </w:r>
            <w:r>
              <w:rPr>
                <w:noProof/>
                <w:webHidden/>
              </w:rPr>
              <w:instrText xml:space="preserve"> PAGEREF _Toc177819061 \h </w:instrText>
            </w:r>
            <w:r>
              <w:rPr>
                <w:noProof/>
                <w:webHidden/>
              </w:rPr>
            </w:r>
            <w:r>
              <w:rPr>
                <w:noProof/>
                <w:webHidden/>
              </w:rPr>
              <w:fldChar w:fldCharType="separate"/>
            </w:r>
            <w:r>
              <w:rPr>
                <w:noProof/>
                <w:webHidden/>
              </w:rPr>
              <w:t>57</w:t>
            </w:r>
            <w:r>
              <w:rPr>
                <w:noProof/>
                <w:webHidden/>
              </w:rPr>
              <w:fldChar w:fldCharType="end"/>
            </w:r>
          </w:hyperlink>
        </w:p>
        <w:p w14:paraId="1DDF623B" w14:textId="4EC4DDC0" w:rsidR="004B44C5" w:rsidRDefault="004B44C5">
          <w:pPr>
            <w:pStyle w:val="TOC1"/>
            <w:rPr>
              <w:rFonts w:eastAsiaTheme="minorEastAsia"/>
              <w:noProof/>
              <w:kern w:val="2"/>
              <w:sz w:val="24"/>
              <w:szCs w:val="24"/>
              <w:lang w:val="en-AU" w:eastAsia="en-AU"/>
              <w14:ligatures w14:val="standardContextual"/>
            </w:rPr>
          </w:pPr>
          <w:hyperlink w:anchor="_Toc177819062" w:history="1">
            <w:r w:rsidRPr="00641351">
              <w:rPr>
                <w:rStyle w:val="Hyperlink"/>
                <w:rFonts w:cstheme="majorHAnsi"/>
                <w:noProof/>
              </w:rPr>
              <w:t>Appendix 7: VAT on Digital Consumption</w:t>
            </w:r>
            <w:r>
              <w:rPr>
                <w:noProof/>
                <w:webHidden/>
              </w:rPr>
              <w:tab/>
            </w:r>
            <w:r>
              <w:rPr>
                <w:noProof/>
                <w:webHidden/>
              </w:rPr>
              <w:fldChar w:fldCharType="begin"/>
            </w:r>
            <w:r>
              <w:rPr>
                <w:noProof/>
                <w:webHidden/>
              </w:rPr>
              <w:instrText xml:space="preserve"> PAGEREF _Toc177819062 \h </w:instrText>
            </w:r>
            <w:r>
              <w:rPr>
                <w:noProof/>
                <w:webHidden/>
              </w:rPr>
            </w:r>
            <w:r>
              <w:rPr>
                <w:noProof/>
                <w:webHidden/>
              </w:rPr>
              <w:fldChar w:fldCharType="separate"/>
            </w:r>
            <w:r>
              <w:rPr>
                <w:noProof/>
                <w:webHidden/>
              </w:rPr>
              <w:t>58</w:t>
            </w:r>
            <w:r>
              <w:rPr>
                <w:noProof/>
                <w:webHidden/>
              </w:rPr>
              <w:fldChar w:fldCharType="end"/>
            </w:r>
          </w:hyperlink>
        </w:p>
        <w:p w14:paraId="1DC82CB4" w14:textId="155B2B0A" w:rsidR="004B44C5" w:rsidRDefault="004B44C5">
          <w:pPr>
            <w:pStyle w:val="TOC1"/>
            <w:rPr>
              <w:rFonts w:eastAsiaTheme="minorEastAsia"/>
              <w:noProof/>
              <w:kern w:val="2"/>
              <w:sz w:val="24"/>
              <w:szCs w:val="24"/>
              <w:lang w:val="en-AU" w:eastAsia="en-AU"/>
              <w14:ligatures w14:val="standardContextual"/>
            </w:rPr>
          </w:pPr>
          <w:hyperlink w:anchor="_Toc177819063" w:history="1">
            <w:r w:rsidRPr="00641351">
              <w:rPr>
                <w:rStyle w:val="Hyperlink"/>
                <w:rFonts w:cstheme="majorHAnsi"/>
                <w:noProof/>
              </w:rPr>
              <w:t>Appendix 8: Peer Countries’ Case Studies: Increasing VAT Revenue Through Compliance Measures</w:t>
            </w:r>
            <w:r>
              <w:rPr>
                <w:noProof/>
                <w:webHidden/>
              </w:rPr>
              <w:tab/>
            </w:r>
            <w:r>
              <w:rPr>
                <w:noProof/>
                <w:webHidden/>
              </w:rPr>
              <w:fldChar w:fldCharType="begin"/>
            </w:r>
            <w:r>
              <w:rPr>
                <w:noProof/>
                <w:webHidden/>
              </w:rPr>
              <w:instrText xml:space="preserve"> PAGEREF _Toc177819063 \h </w:instrText>
            </w:r>
            <w:r>
              <w:rPr>
                <w:noProof/>
                <w:webHidden/>
              </w:rPr>
            </w:r>
            <w:r>
              <w:rPr>
                <w:noProof/>
                <w:webHidden/>
              </w:rPr>
              <w:fldChar w:fldCharType="separate"/>
            </w:r>
            <w:r>
              <w:rPr>
                <w:noProof/>
                <w:webHidden/>
              </w:rPr>
              <w:t>59</w:t>
            </w:r>
            <w:r>
              <w:rPr>
                <w:noProof/>
                <w:webHidden/>
              </w:rPr>
              <w:fldChar w:fldCharType="end"/>
            </w:r>
          </w:hyperlink>
        </w:p>
        <w:p w14:paraId="2367C2DE" w14:textId="5EFF1AC6" w:rsidR="004B44C5" w:rsidRDefault="004B44C5">
          <w:pPr>
            <w:pStyle w:val="TOC1"/>
            <w:rPr>
              <w:rFonts w:eastAsiaTheme="minorEastAsia"/>
              <w:noProof/>
              <w:kern w:val="2"/>
              <w:sz w:val="24"/>
              <w:szCs w:val="24"/>
              <w:lang w:val="en-AU" w:eastAsia="en-AU"/>
              <w14:ligatures w14:val="standardContextual"/>
            </w:rPr>
          </w:pPr>
          <w:hyperlink w:anchor="_Toc177819064" w:history="1">
            <w:r w:rsidRPr="00641351">
              <w:rPr>
                <w:rStyle w:val="Hyperlink"/>
                <w:noProof/>
              </w:rPr>
              <w:t>References</w:t>
            </w:r>
            <w:r>
              <w:rPr>
                <w:noProof/>
                <w:webHidden/>
              </w:rPr>
              <w:tab/>
            </w:r>
            <w:r>
              <w:rPr>
                <w:noProof/>
                <w:webHidden/>
              </w:rPr>
              <w:fldChar w:fldCharType="begin"/>
            </w:r>
            <w:r>
              <w:rPr>
                <w:noProof/>
                <w:webHidden/>
              </w:rPr>
              <w:instrText xml:space="preserve"> PAGEREF _Toc177819064 \h </w:instrText>
            </w:r>
            <w:r>
              <w:rPr>
                <w:noProof/>
                <w:webHidden/>
              </w:rPr>
            </w:r>
            <w:r>
              <w:rPr>
                <w:noProof/>
                <w:webHidden/>
              </w:rPr>
              <w:fldChar w:fldCharType="separate"/>
            </w:r>
            <w:r>
              <w:rPr>
                <w:noProof/>
                <w:webHidden/>
              </w:rPr>
              <w:t>61</w:t>
            </w:r>
            <w:r>
              <w:rPr>
                <w:noProof/>
                <w:webHidden/>
              </w:rPr>
              <w:fldChar w:fldCharType="end"/>
            </w:r>
          </w:hyperlink>
        </w:p>
        <w:p w14:paraId="31415A98" w14:textId="333D7B2C" w:rsidR="007674D7" w:rsidRDefault="00B7405C" w:rsidP="007674D7">
          <w:pPr>
            <w:spacing w:after="40"/>
            <w:ind w:left="0" w:firstLine="0"/>
            <w:rPr>
              <w:rFonts w:eastAsiaTheme="minorEastAsia"/>
              <w:b/>
            </w:rPr>
          </w:pPr>
          <w:r w:rsidRPr="00405397">
            <w:rPr>
              <w:b/>
              <w:bCs/>
              <w:noProof/>
              <w:sz w:val="20"/>
              <w:szCs w:val="20"/>
            </w:rPr>
            <w:fldChar w:fldCharType="end"/>
          </w:r>
        </w:p>
      </w:sdtContent>
    </w:sdt>
    <w:p w14:paraId="57C8A329" w14:textId="77777777" w:rsidR="00E05065" w:rsidRDefault="00E05065">
      <w:pPr>
        <w:rPr>
          <w:rFonts w:eastAsiaTheme="minorEastAsia"/>
          <w:b/>
        </w:rPr>
        <w:sectPr w:rsidR="00E05065" w:rsidSect="00DB778E">
          <w:footerReference w:type="even" r:id="rId12"/>
          <w:footerReference w:type="default" r:id="rId13"/>
          <w:footerReference w:type="first" r:id="rId14"/>
          <w:pgSz w:w="11906" w:h="16838" w:code="9"/>
          <w:pgMar w:top="1440" w:right="1440" w:bottom="1440" w:left="1440" w:header="720" w:footer="720" w:gutter="0"/>
          <w:pgNumType w:fmt="lowerRoman" w:start="1"/>
          <w:cols w:space="720"/>
          <w:titlePg/>
          <w:docGrid w:linePitch="360"/>
        </w:sectPr>
      </w:pPr>
    </w:p>
    <w:p w14:paraId="74FD2B7A" w14:textId="77777777" w:rsidR="00C82CFE" w:rsidRPr="009F4A1E" w:rsidRDefault="00C82CFE">
      <w:pPr>
        <w:rPr>
          <w:b/>
          <w:bCs/>
          <w:sz w:val="24"/>
          <w:szCs w:val="24"/>
        </w:rPr>
      </w:pPr>
      <w:r w:rsidRPr="009F4A1E">
        <w:rPr>
          <w:b/>
          <w:bCs/>
          <w:sz w:val="24"/>
          <w:szCs w:val="24"/>
        </w:rPr>
        <w:lastRenderedPageBreak/>
        <w:t>Figures</w:t>
      </w:r>
    </w:p>
    <w:p w14:paraId="04B656B1" w14:textId="69FC0468" w:rsidR="002041C7" w:rsidRPr="002041C7" w:rsidRDefault="00C82CFE" w:rsidP="006127BC">
      <w:pPr>
        <w:pStyle w:val="TableofFigures"/>
        <w:tabs>
          <w:tab w:val="right" w:leader="dot" w:pos="9016"/>
        </w:tabs>
        <w:ind w:firstLine="0"/>
        <w:rPr>
          <w:rFonts w:eastAsiaTheme="minorEastAsia"/>
          <w:noProof/>
          <w:kern w:val="2"/>
          <w:sz w:val="24"/>
          <w:szCs w:val="24"/>
          <w:lang w:val="en-AU" w:eastAsia="en-AU"/>
          <w14:ligatures w14:val="standardContextual"/>
        </w:rPr>
      </w:pPr>
      <w:r>
        <w:fldChar w:fldCharType="begin"/>
      </w:r>
      <w:r>
        <w:instrText xml:space="preserve"> TOC \h \z \c "Figure" </w:instrText>
      </w:r>
      <w:r>
        <w:fldChar w:fldCharType="separate"/>
      </w:r>
      <w:hyperlink w:anchor="_Toc177593050" w:history="1">
        <w:r w:rsidR="002041C7" w:rsidRPr="009F4A1E">
          <w:rPr>
            <w:rStyle w:val="Hyperlink"/>
            <w:rFonts w:eastAsia="Times New Roman" w:cstheme="minorHAnsi"/>
            <w:noProof/>
          </w:rPr>
          <w:t>Figure 1.1: Changes in Domestic Tax Revenue Composition</w:t>
        </w:r>
        <w:r w:rsidR="002041C7" w:rsidRPr="002041C7">
          <w:rPr>
            <w:noProof/>
            <w:webHidden/>
          </w:rPr>
          <w:tab/>
        </w:r>
        <w:r w:rsidR="002041C7" w:rsidRPr="002041C7">
          <w:rPr>
            <w:noProof/>
            <w:webHidden/>
          </w:rPr>
          <w:fldChar w:fldCharType="begin"/>
        </w:r>
        <w:r w:rsidR="002041C7" w:rsidRPr="002041C7">
          <w:rPr>
            <w:noProof/>
            <w:webHidden/>
          </w:rPr>
          <w:instrText xml:space="preserve"> PAGEREF _Toc177593050 \h </w:instrText>
        </w:r>
        <w:r w:rsidR="002041C7" w:rsidRPr="002041C7">
          <w:rPr>
            <w:noProof/>
            <w:webHidden/>
          </w:rPr>
        </w:r>
        <w:r w:rsidR="002041C7" w:rsidRPr="002041C7">
          <w:rPr>
            <w:noProof/>
            <w:webHidden/>
          </w:rPr>
          <w:fldChar w:fldCharType="separate"/>
        </w:r>
        <w:r w:rsidR="002041C7" w:rsidRPr="002041C7">
          <w:rPr>
            <w:noProof/>
            <w:webHidden/>
          </w:rPr>
          <w:t>7</w:t>
        </w:r>
        <w:r w:rsidR="002041C7" w:rsidRPr="002041C7">
          <w:rPr>
            <w:noProof/>
            <w:webHidden/>
          </w:rPr>
          <w:fldChar w:fldCharType="end"/>
        </w:r>
      </w:hyperlink>
    </w:p>
    <w:p w14:paraId="622868F0" w14:textId="573D2DE2"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51" w:history="1">
        <w:r w:rsidRPr="009C1DDF">
          <w:rPr>
            <w:rStyle w:val="Hyperlink"/>
            <w:rFonts w:cstheme="minorHAnsi"/>
            <w:noProof/>
          </w:rPr>
          <w:t>Figure 2.1: Evolution of Indonesia’s corporate tax rates</w:t>
        </w:r>
        <w:r>
          <w:rPr>
            <w:noProof/>
            <w:webHidden/>
          </w:rPr>
          <w:tab/>
        </w:r>
        <w:r>
          <w:rPr>
            <w:noProof/>
            <w:webHidden/>
          </w:rPr>
          <w:fldChar w:fldCharType="begin"/>
        </w:r>
        <w:r>
          <w:rPr>
            <w:noProof/>
            <w:webHidden/>
          </w:rPr>
          <w:instrText xml:space="preserve"> PAGEREF _Toc177593051 \h </w:instrText>
        </w:r>
        <w:r>
          <w:rPr>
            <w:noProof/>
            <w:webHidden/>
          </w:rPr>
        </w:r>
        <w:r>
          <w:rPr>
            <w:noProof/>
            <w:webHidden/>
          </w:rPr>
          <w:fldChar w:fldCharType="separate"/>
        </w:r>
        <w:r>
          <w:rPr>
            <w:noProof/>
            <w:webHidden/>
          </w:rPr>
          <w:t>10</w:t>
        </w:r>
        <w:r>
          <w:rPr>
            <w:noProof/>
            <w:webHidden/>
          </w:rPr>
          <w:fldChar w:fldCharType="end"/>
        </w:r>
      </w:hyperlink>
    </w:p>
    <w:p w14:paraId="434EB892" w14:textId="2796F4E4"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52" w:history="1">
        <w:r w:rsidRPr="009C1DDF">
          <w:rPr>
            <w:rStyle w:val="Hyperlink"/>
            <w:rFonts w:cstheme="minorHAnsi"/>
            <w:noProof/>
          </w:rPr>
          <w:t>Figure 2.2: Statutory CIT rate by country</w:t>
        </w:r>
        <w:r>
          <w:rPr>
            <w:noProof/>
            <w:webHidden/>
          </w:rPr>
          <w:tab/>
        </w:r>
        <w:r>
          <w:rPr>
            <w:noProof/>
            <w:webHidden/>
          </w:rPr>
          <w:fldChar w:fldCharType="begin"/>
        </w:r>
        <w:r>
          <w:rPr>
            <w:noProof/>
            <w:webHidden/>
          </w:rPr>
          <w:instrText xml:space="preserve"> PAGEREF _Toc177593052 \h </w:instrText>
        </w:r>
        <w:r>
          <w:rPr>
            <w:noProof/>
            <w:webHidden/>
          </w:rPr>
        </w:r>
        <w:r>
          <w:rPr>
            <w:noProof/>
            <w:webHidden/>
          </w:rPr>
          <w:fldChar w:fldCharType="separate"/>
        </w:r>
        <w:r>
          <w:rPr>
            <w:noProof/>
            <w:webHidden/>
          </w:rPr>
          <w:t>12</w:t>
        </w:r>
        <w:r>
          <w:rPr>
            <w:noProof/>
            <w:webHidden/>
          </w:rPr>
          <w:fldChar w:fldCharType="end"/>
        </w:r>
      </w:hyperlink>
    </w:p>
    <w:p w14:paraId="3E0B9CC5" w14:textId="653D8659"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53" w:history="1">
        <w:r w:rsidRPr="009C1DDF">
          <w:rPr>
            <w:rStyle w:val="Hyperlink"/>
            <w:rFonts w:cstheme="minorHAnsi"/>
            <w:noProof/>
          </w:rPr>
          <w:t>Figure 2.3: Corporate income taxes and other taxes</w:t>
        </w:r>
        <w:r>
          <w:rPr>
            <w:noProof/>
            <w:webHidden/>
          </w:rPr>
          <w:tab/>
        </w:r>
        <w:r>
          <w:rPr>
            <w:noProof/>
            <w:webHidden/>
          </w:rPr>
          <w:fldChar w:fldCharType="begin"/>
        </w:r>
        <w:r>
          <w:rPr>
            <w:noProof/>
            <w:webHidden/>
          </w:rPr>
          <w:instrText xml:space="preserve"> PAGEREF _Toc177593053 \h </w:instrText>
        </w:r>
        <w:r>
          <w:rPr>
            <w:noProof/>
            <w:webHidden/>
          </w:rPr>
        </w:r>
        <w:r>
          <w:rPr>
            <w:noProof/>
            <w:webHidden/>
          </w:rPr>
          <w:fldChar w:fldCharType="separate"/>
        </w:r>
        <w:r>
          <w:rPr>
            <w:noProof/>
            <w:webHidden/>
          </w:rPr>
          <w:t>13</w:t>
        </w:r>
        <w:r>
          <w:rPr>
            <w:noProof/>
            <w:webHidden/>
          </w:rPr>
          <w:fldChar w:fldCharType="end"/>
        </w:r>
      </w:hyperlink>
    </w:p>
    <w:p w14:paraId="5E8A0256" w14:textId="4C762B52"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54" w:history="1">
        <w:r w:rsidRPr="009C1DDF">
          <w:rPr>
            <w:rStyle w:val="Hyperlink"/>
            <w:rFonts w:cstheme="minorHAnsi"/>
            <w:noProof/>
          </w:rPr>
          <w:t>Figure 2.4:</w:t>
        </w:r>
        <w:r w:rsidRPr="009C1DDF">
          <w:rPr>
            <w:rStyle w:val="Hyperlink"/>
            <w:noProof/>
          </w:rPr>
          <w:t xml:space="preserve"> </w:t>
        </w:r>
        <w:r w:rsidR="00D4100C">
          <w:rPr>
            <w:rStyle w:val="Hyperlink"/>
            <w:noProof/>
          </w:rPr>
          <w:t>C</w:t>
        </w:r>
        <w:r w:rsidRPr="009C1DDF">
          <w:rPr>
            <w:rStyle w:val="Hyperlink"/>
            <w:rFonts w:cstheme="minorHAnsi"/>
            <w:noProof/>
          </w:rPr>
          <w:t>orporate income tax collections in ASEAN</w:t>
        </w:r>
        <w:r>
          <w:rPr>
            <w:noProof/>
            <w:webHidden/>
          </w:rPr>
          <w:tab/>
        </w:r>
        <w:r>
          <w:rPr>
            <w:noProof/>
            <w:webHidden/>
          </w:rPr>
          <w:fldChar w:fldCharType="begin"/>
        </w:r>
        <w:r>
          <w:rPr>
            <w:noProof/>
            <w:webHidden/>
          </w:rPr>
          <w:instrText xml:space="preserve"> PAGEREF _Toc177593054 \h </w:instrText>
        </w:r>
        <w:r>
          <w:rPr>
            <w:noProof/>
            <w:webHidden/>
          </w:rPr>
        </w:r>
        <w:r>
          <w:rPr>
            <w:noProof/>
            <w:webHidden/>
          </w:rPr>
          <w:fldChar w:fldCharType="separate"/>
        </w:r>
        <w:r>
          <w:rPr>
            <w:noProof/>
            <w:webHidden/>
          </w:rPr>
          <w:t>13</w:t>
        </w:r>
        <w:r>
          <w:rPr>
            <w:noProof/>
            <w:webHidden/>
          </w:rPr>
          <w:fldChar w:fldCharType="end"/>
        </w:r>
      </w:hyperlink>
    </w:p>
    <w:p w14:paraId="6F889619" w14:textId="287BD4D7"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55" w:history="1">
        <w:r w:rsidRPr="009C1DDF">
          <w:rPr>
            <w:rStyle w:val="Hyperlink"/>
            <w:rFonts w:cstheme="minorHAnsi"/>
            <w:noProof/>
          </w:rPr>
          <w:t>Figure 2.5: CIT efficiency by country</w:t>
        </w:r>
        <w:r>
          <w:rPr>
            <w:noProof/>
            <w:webHidden/>
          </w:rPr>
          <w:tab/>
        </w:r>
        <w:r>
          <w:rPr>
            <w:noProof/>
            <w:webHidden/>
          </w:rPr>
          <w:fldChar w:fldCharType="begin"/>
        </w:r>
        <w:r>
          <w:rPr>
            <w:noProof/>
            <w:webHidden/>
          </w:rPr>
          <w:instrText xml:space="preserve"> PAGEREF _Toc177593055 \h </w:instrText>
        </w:r>
        <w:r>
          <w:rPr>
            <w:noProof/>
            <w:webHidden/>
          </w:rPr>
        </w:r>
        <w:r>
          <w:rPr>
            <w:noProof/>
            <w:webHidden/>
          </w:rPr>
          <w:fldChar w:fldCharType="separate"/>
        </w:r>
        <w:r>
          <w:rPr>
            <w:noProof/>
            <w:webHidden/>
          </w:rPr>
          <w:t>13</w:t>
        </w:r>
        <w:r>
          <w:rPr>
            <w:noProof/>
            <w:webHidden/>
          </w:rPr>
          <w:fldChar w:fldCharType="end"/>
        </w:r>
      </w:hyperlink>
    </w:p>
    <w:p w14:paraId="65F33CC2" w14:textId="5F0CCA1B"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56" w:history="1">
        <w:r w:rsidRPr="009C1DDF">
          <w:rPr>
            <w:rStyle w:val="Hyperlink"/>
            <w:rFonts w:cstheme="minorHAnsi"/>
            <w:noProof/>
          </w:rPr>
          <w:t>Figure 2.6:</w:t>
        </w:r>
        <w:r w:rsidRPr="009C1DDF">
          <w:rPr>
            <w:rStyle w:val="Hyperlink"/>
            <w:noProof/>
          </w:rPr>
          <w:t xml:space="preserve"> </w:t>
        </w:r>
        <w:r w:rsidRPr="009C1DDF">
          <w:rPr>
            <w:rStyle w:val="Hyperlink"/>
            <w:rFonts w:cstheme="minorHAnsi"/>
            <w:noProof/>
          </w:rPr>
          <w:t>Duration of Indonesia’s CIT holidays</w:t>
        </w:r>
        <w:r>
          <w:rPr>
            <w:noProof/>
            <w:webHidden/>
          </w:rPr>
          <w:tab/>
        </w:r>
        <w:r>
          <w:rPr>
            <w:noProof/>
            <w:webHidden/>
          </w:rPr>
          <w:fldChar w:fldCharType="begin"/>
        </w:r>
        <w:r>
          <w:rPr>
            <w:noProof/>
            <w:webHidden/>
          </w:rPr>
          <w:instrText xml:space="preserve"> PAGEREF _Toc177593056 \h </w:instrText>
        </w:r>
        <w:r>
          <w:rPr>
            <w:noProof/>
            <w:webHidden/>
          </w:rPr>
        </w:r>
        <w:r>
          <w:rPr>
            <w:noProof/>
            <w:webHidden/>
          </w:rPr>
          <w:fldChar w:fldCharType="separate"/>
        </w:r>
        <w:r>
          <w:rPr>
            <w:noProof/>
            <w:webHidden/>
          </w:rPr>
          <w:t>18</w:t>
        </w:r>
        <w:r>
          <w:rPr>
            <w:noProof/>
            <w:webHidden/>
          </w:rPr>
          <w:fldChar w:fldCharType="end"/>
        </w:r>
      </w:hyperlink>
    </w:p>
    <w:p w14:paraId="3F6ECC19" w14:textId="5DB9A70C" w:rsidR="002041C7" w:rsidRDefault="002041C7" w:rsidP="002041C7">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57" w:history="1">
        <w:r w:rsidRPr="009C1DDF">
          <w:rPr>
            <w:rStyle w:val="Hyperlink"/>
            <w:rFonts w:cstheme="minorHAnsi"/>
            <w:noProof/>
          </w:rPr>
          <w:t>Figure 2.7: Duration of tax holidays in ASEAN</w:t>
        </w:r>
        <w:r>
          <w:rPr>
            <w:noProof/>
            <w:webHidden/>
          </w:rPr>
          <w:tab/>
        </w:r>
        <w:r>
          <w:rPr>
            <w:noProof/>
            <w:webHidden/>
          </w:rPr>
          <w:fldChar w:fldCharType="begin"/>
        </w:r>
        <w:r>
          <w:rPr>
            <w:noProof/>
            <w:webHidden/>
          </w:rPr>
          <w:instrText xml:space="preserve"> PAGEREF _Toc177593057 \h </w:instrText>
        </w:r>
        <w:r>
          <w:rPr>
            <w:noProof/>
            <w:webHidden/>
          </w:rPr>
        </w:r>
        <w:r>
          <w:rPr>
            <w:noProof/>
            <w:webHidden/>
          </w:rPr>
          <w:fldChar w:fldCharType="separate"/>
        </w:r>
        <w:r>
          <w:rPr>
            <w:noProof/>
            <w:webHidden/>
          </w:rPr>
          <w:t>18</w:t>
        </w:r>
        <w:r>
          <w:rPr>
            <w:noProof/>
            <w:webHidden/>
          </w:rPr>
          <w:fldChar w:fldCharType="end"/>
        </w:r>
      </w:hyperlink>
    </w:p>
    <w:p w14:paraId="1898AAF5" w14:textId="3F886F10"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58" w:history="1">
        <w:r w:rsidRPr="009C1DDF">
          <w:rPr>
            <w:rStyle w:val="Hyperlink"/>
            <w:rFonts w:cstheme="minorHAnsi"/>
            <w:noProof/>
          </w:rPr>
          <w:t>Figure 2.8: Indonesia’s income tax expenditures</w:t>
        </w:r>
        <w:r>
          <w:rPr>
            <w:noProof/>
            <w:webHidden/>
          </w:rPr>
          <w:tab/>
        </w:r>
        <w:r>
          <w:rPr>
            <w:noProof/>
            <w:webHidden/>
          </w:rPr>
          <w:fldChar w:fldCharType="begin"/>
        </w:r>
        <w:r>
          <w:rPr>
            <w:noProof/>
            <w:webHidden/>
          </w:rPr>
          <w:instrText xml:space="preserve"> PAGEREF _Toc177593058 \h </w:instrText>
        </w:r>
        <w:r>
          <w:rPr>
            <w:noProof/>
            <w:webHidden/>
          </w:rPr>
        </w:r>
        <w:r>
          <w:rPr>
            <w:noProof/>
            <w:webHidden/>
          </w:rPr>
          <w:fldChar w:fldCharType="separate"/>
        </w:r>
        <w:r>
          <w:rPr>
            <w:noProof/>
            <w:webHidden/>
          </w:rPr>
          <w:t>19</w:t>
        </w:r>
        <w:r>
          <w:rPr>
            <w:noProof/>
            <w:webHidden/>
          </w:rPr>
          <w:fldChar w:fldCharType="end"/>
        </w:r>
      </w:hyperlink>
    </w:p>
    <w:p w14:paraId="33E3449C" w14:textId="7D5C748C"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59" w:history="1">
        <w:r w:rsidRPr="009C1DDF">
          <w:rPr>
            <w:rStyle w:val="Hyperlink"/>
            <w:rFonts w:cstheme="minorHAnsi"/>
            <w:noProof/>
          </w:rPr>
          <w:t>Figure 3.1: Distribution of average net profit margins across 94 sectors in EMs</w:t>
        </w:r>
        <w:r>
          <w:rPr>
            <w:noProof/>
            <w:webHidden/>
          </w:rPr>
          <w:tab/>
        </w:r>
        <w:r>
          <w:rPr>
            <w:noProof/>
            <w:webHidden/>
          </w:rPr>
          <w:fldChar w:fldCharType="begin"/>
        </w:r>
        <w:r>
          <w:rPr>
            <w:noProof/>
            <w:webHidden/>
          </w:rPr>
          <w:instrText xml:space="preserve"> PAGEREF _Toc177593059 \h </w:instrText>
        </w:r>
        <w:r>
          <w:rPr>
            <w:noProof/>
            <w:webHidden/>
          </w:rPr>
        </w:r>
        <w:r>
          <w:rPr>
            <w:noProof/>
            <w:webHidden/>
          </w:rPr>
          <w:fldChar w:fldCharType="separate"/>
        </w:r>
        <w:r>
          <w:rPr>
            <w:noProof/>
            <w:webHidden/>
          </w:rPr>
          <w:t>27</w:t>
        </w:r>
        <w:r>
          <w:rPr>
            <w:noProof/>
            <w:webHidden/>
          </w:rPr>
          <w:fldChar w:fldCharType="end"/>
        </w:r>
      </w:hyperlink>
    </w:p>
    <w:p w14:paraId="30CBD2B7" w14:textId="3D3AB6AE" w:rsidR="002041C7" w:rsidRP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60" w:history="1">
        <w:r w:rsidRPr="009F4A1E">
          <w:rPr>
            <w:rStyle w:val="Hyperlink"/>
            <w:rFonts w:eastAsia="Times New Roman" w:cstheme="minorHAnsi"/>
            <w:noProof/>
          </w:rPr>
          <w:t>Figure 4.</w:t>
        </w:r>
        <w:r w:rsidRPr="002041C7">
          <w:rPr>
            <w:rStyle w:val="Hyperlink"/>
            <w:rFonts w:eastAsia="Times New Roman" w:cstheme="minorHAnsi"/>
            <w:noProof/>
          </w:rPr>
          <w:t>1</w:t>
        </w:r>
        <w:r w:rsidRPr="009F4A1E">
          <w:rPr>
            <w:rStyle w:val="Hyperlink"/>
            <w:rFonts w:eastAsia="Times New Roman" w:cstheme="minorHAnsi"/>
            <w:noProof/>
          </w:rPr>
          <w:t>:</w:t>
        </w:r>
        <w:r w:rsidRPr="002041C7">
          <w:rPr>
            <w:rStyle w:val="Hyperlink"/>
            <w:rFonts w:eastAsia="Times New Roman" w:cstheme="minorHAnsi"/>
            <w:noProof/>
          </w:rPr>
          <w:t xml:space="preserve"> </w:t>
        </w:r>
        <w:r w:rsidRPr="009F4A1E">
          <w:rPr>
            <w:rStyle w:val="Hyperlink"/>
            <w:rFonts w:eastAsia="Times New Roman" w:cstheme="minorHAnsi"/>
            <w:noProof/>
          </w:rPr>
          <w:t>Statutory standard VAT rates</w:t>
        </w:r>
        <w:r w:rsidRPr="002041C7">
          <w:rPr>
            <w:noProof/>
            <w:webHidden/>
          </w:rPr>
          <w:tab/>
        </w:r>
        <w:r w:rsidRPr="002041C7">
          <w:rPr>
            <w:noProof/>
            <w:webHidden/>
          </w:rPr>
          <w:fldChar w:fldCharType="begin"/>
        </w:r>
        <w:r w:rsidRPr="002041C7">
          <w:rPr>
            <w:noProof/>
            <w:webHidden/>
          </w:rPr>
          <w:instrText xml:space="preserve"> PAGEREF _Toc177593060 \h </w:instrText>
        </w:r>
        <w:r w:rsidRPr="002041C7">
          <w:rPr>
            <w:noProof/>
            <w:webHidden/>
          </w:rPr>
        </w:r>
        <w:r w:rsidRPr="002041C7">
          <w:rPr>
            <w:noProof/>
            <w:webHidden/>
          </w:rPr>
          <w:fldChar w:fldCharType="separate"/>
        </w:r>
        <w:r w:rsidRPr="002041C7">
          <w:rPr>
            <w:noProof/>
            <w:webHidden/>
          </w:rPr>
          <w:t>34</w:t>
        </w:r>
        <w:r w:rsidRPr="002041C7">
          <w:rPr>
            <w:noProof/>
            <w:webHidden/>
          </w:rPr>
          <w:fldChar w:fldCharType="end"/>
        </w:r>
      </w:hyperlink>
    </w:p>
    <w:p w14:paraId="165F793F" w14:textId="4BB6076D" w:rsidR="002041C7" w:rsidRP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61" w:history="1">
        <w:r w:rsidRPr="009F4A1E">
          <w:rPr>
            <w:rStyle w:val="Hyperlink"/>
            <w:rFonts w:eastAsia="Times New Roman" w:cstheme="minorHAnsi"/>
            <w:noProof/>
          </w:rPr>
          <w:t>Figure 4.2: VAT revenue of UMICs</w:t>
        </w:r>
        <w:r w:rsidRPr="002041C7">
          <w:rPr>
            <w:noProof/>
            <w:webHidden/>
          </w:rPr>
          <w:tab/>
        </w:r>
        <w:r w:rsidRPr="002041C7">
          <w:rPr>
            <w:noProof/>
            <w:webHidden/>
          </w:rPr>
          <w:fldChar w:fldCharType="begin"/>
        </w:r>
        <w:r w:rsidRPr="002041C7">
          <w:rPr>
            <w:noProof/>
            <w:webHidden/>
          </w:rPr>
          <w:instrText xml:space="preserve"> PAGEREF _Toc177593061 \h </w:instrText>
        </w:r>
        <w:r w:rsidRPr="002041C7">
          <w:rPr>
            <w:noProof/>
            <w:webHidden/>
          </w:rPr>
        </w:r>
        <w:r w:rsidRPr="002041C7">
          <w:rPr>
            <w:noProof/>
            <w:webHidden/>
          </w:rPr>
          <w:fldChar w:fldCharType="separate"/>
        </w:r>
        <w:r w:rsidRPr="002041C7">
          <w:rPr>
            <w:noProof/>
            <w:webHidden/>
          </w:rPr>
          <w:t>35</w:t>
        </w:r>
        <w:r w:rsidRPr="002041C7">
          <w:rPr>
            <w:noProof/>
            <w:webHidden/>
          </w:rPr>
          <w:fldChar w:fldCharType="end"/>
        </w:r>
      </w:hyperlink>
    </w:p>
    <w:p w14:paraId="01FA0C29" w14:textId="19888DBE" w:rsidR="006127BC" w:rsidRDefault="006127BC" w:rsidP="002041C7">
      <w:pPr>
        <w:pStyle w:val="TableofFigures"/>
        <w:tabs>
          <w:tab w:val="right" w:leader="dot" w:pos="9016"/>
        </w:tabs>
        <w:ind w:firstLine="0"/>
        <w:rPr>
          <w:noProof/>
          <w:webHidden/>
          <w:color w:val="0563C1" w:themeColor="hyperlink"/>
          <w:u w:val="single"/>
        </w:rPr>
      </w:pPr>
      <w:hyperlink w:anchor="_Toc177593061" w:history="1">
        <w:r w:rsidRPr="006127BC">
          <w:rPr>
            <w:rStyle w:val="Hyperlink"/>
            <w:noProof/>
          </w:rPr>
          <w:t>Figure 4.</w:t>
        </w:r>
        <w:r>
          <w:rPr>
            <w:rStyle w:val="Hyperlink"/>
            <w:noProof/>
          </w:rPr>
          <w:t>3</w:t>
        </w:r>
        <w:r w:rsidRPr="006127BC">
          <w:rPr>
            <w:rStyle w:val="Hyperlink"/>
            <w:noProof/>
          </w:rPr>
          <w:t xml:space="preserve">: </w:t>
        </w:r>
        <w:r w:rsidR="00016358">
          <w:rPr>
            <w:rStyle w:val="Hyperlink"/>
            <w:noProof/>
          </w:rPr>
          <w:t>C-efficiency and VAT revenue to GDP ratio</w:t>
        </w:r>
      </w:hyperlink>
      <w:r w:rsidRPr="009F4A1E">
        <w:rPr>
          <w:noProof/>
          <w:webHidden/>
        </w:rPr>
        <w:tab/>
      </w:r>
      <w:r w:rsidRPr="009F4A1E">
        <w:rPr>
          <w:noProof/>
          <w:webHidden/>
        </w:rPr>
        <w:fldChar w:fldCharType="begin"/>
      </w:r>
      <w:r w:rsidRPr="009F4A1E">
        <w:rPr>
          <w:noProof/>
          <w:webHidden/>
        </w:rPr>
        <w:instrText xml:space="preserve"> PAGEREF _Toc177593061 \h </w:instrText>
      </w:r>
      <w:r w:rsidRPr="009F4A1E">
        <w:rPr>
          <w:noProof/>
          <w:webHidden/>
        </w:rPr>
      </w:r>
      <w:r w:rsidRPr="009F4A1E">
        <w:rPr>
          <w:noProof/>
          <w:webHidden/>
        </w:rPr>
        <w:fldChar w:fldCharType="separate"/>
      </w:r>
      <w:r w:rsidRPr="009F4A1E">
        <w:rPr>
          <w:noProof/>
          <w:webHidden/>
        </w:rPr>
        <w:t>35</w:t>
      </w:r>
      <w:r w:rsidRPr="009F4A1E">
        <w:rPr>
          <w:noProof/>
          <w:webHidden/>
        </w:rPr>
        <w:fldChar w:fldCharType="end"/>
      </w:r>
    </w:p>
    <w:p w14:paraId="67BB134B" w14:textId="4D670214"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62" w:history="1">
        <w:r w:rsidRPr="009C1DDF">
          <w:rPr>
            <w:rStyle w:val="Hyperlink"/>
            <w:rFonts w:cstheme="minorHAnsi"/>
            <w:noProof/>
          </w:rPr>
          <w:t>Figure 4.4: Comparison of VAT thresholds</w:t>
        </w:r>
        <w:r>
          <w:rPr>
            <w:noProof/>
            <w:webHidden/>
          </w:rPr>
          <w:tab/>
        </w:r>
        <w:r>
          <w:rPr>
            <w:noProof/>
            <w:webHidden/>
          </w:rPr>
          <w:fldChar w:fldCharType="begin"/>
        </w:r>
        <w:r>
          <w:rPr>
            <w:noProof/>
            <w:webHidden/>
          </w:rPr>
          <w:instrText xml:space="preserve"> PAGEREF _Toc177593062 \h </w:instrText>
        </w:r>
        <w:r>
          <w:rPr>
            <w:noProof/>
            <w:webHidden/>
          </w:rPr>
        </w:r>
        <w:r>
          <w:rPr>
            <w:noProof/>
            <w:webHidden/>
          </w:rPr>
          <w:fldChar w:fldCharType="separate"/>
        </w:r>
        <w:r>
          <w:rPr>
            <w:noProof/>
            <w:webHidden/>
          </w:rPr>
          <w:t>37</w:t>
        </w:r>
        <w:r>
          <w:rPr>
            <w:noProof/>
            <w:webHidden/>
          </w:rPr>
          <w:fldChar w:fldCharType="end"/>
        </w:r>
      </w:hyperlink>
    </w:p>
    <w:p w14:paraId="0EE000F0" w14:textId="47DD5D1A"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63" w:history="1">
        <w:r w:rsidRPr="009C1DDF">
          <w:rPr>
            <w:rStyle w:val="Hyperlink"/>
            <w:rFonts w:cstheme="minorHAnsi"/>
            <w:noProof/>
          </w:rPr>
          <w:t>Figure 4.5: Estimated excess firms bunching at VAT threshold</w:t>
        </w:r>
        <w:r>
          <w:rPr>
            <w:noProof/>
            <w:webHidden/>
          </w:rPr>
          <w:tab/>
        </w:r>
        <w:r>
          <w:rPr>
            <w:noProof/>
            <w:webHidden/>
          </w:rPr>
          <w:fldChar w:fldCharType="begin"/>
        </w:r>
        <w:r>
          <w:rPr>
            <w:noProof/>
            <w:webHidden/>
          </w:rPr>
          <w:instrText xml:space="preserve"> PAGEREF _Toc177593063 \h </w:instrText>
        </w:r>
        <w:r>
          <w:rPr>
            <w:noProof/>
            <w:webHidden/>
          </w:rPr>
        </w:r>
        <w:r>
          <w:rPr>
            <w:noProof/>
            <w:webHidden/>
          </w:rPr>
          <w:fldChar w:fldCharType="separate"/>
        </w:r>
        <w:r>
          <w:rPr>
            <w:noProof/>
            <w:webHidden/>
          </w:rPr>
          <w:t>37</w:t>
        </w:r>
        <w:r>
          <w:rPr>
            <w:noProof/>
            <w:webHidden/>
          </w:rPr>
          <w:fldChar w:fldCharType="end"/>
        </w:r>
      </w:hyperlink>
    </w:p>
    <w:p w14:paraId="42909EC0" w14:textId="10D6F8BE" w:rsid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64" w:history="1">
        <w:r w:rsidRPr="009C1DDF">
          <w:rPr>
            <w:rStyle w:val="Hyperlink"/>
            <w:rFonts w:cstheme="minorHAnsi"/>
            <w:noProof/>
          </w:rPr>
          <w:t>Figure 4.6: Firm distribution vis-à-vis the VAT threshold</w:t>
        </w:r>
        <w:r>
          <w:rPr>
            <w:noProof/>
            <w:webHidden/>
          </w:rPr>
          <w:tab/>
        </w:r>
        <w:r>
          <w:rPr>
            <w:noProof/>
            <w:webHidden/>
          </w:rPr>
          <w:fldChar w:fldCharType="begin"/>
        </w:r>
        <w:r>
          <w:rPr>
            <w:noProof/>
            <w:webHidden/>
          </w:rPr>
          <w:instrText xml:space="preserve"> PAGEREF _Toc177593064 \h </w:instrText>
        </w:r>
        <w:r>
          <w:rPr>
            <w:noProof/>
            <w:webHidden/>
          </w:rPr>
        </w:r>
        <w:r>
          <w:rPr>
            <w:noProof/>
            <w:webHidden/>
          </w:rPr>
          <w:fldChar w:fldCharType="separate"/>
        </w:r>
        <w:r>
          <w:rPr>
            <w:noProof/>
            <w:webHidden/>
          </w:rPr>
          <w:t>38</w:t>
        </w:r>
        <w:r>
          <w:rPr>
            <w:noProof/>
            <w:webHidden/>
          </w:rPr>
          <w:fldChar w:fldCharType="end"/>
        </w:r>
      </w:hyperlink>
    </w:p>
    <w:p w14:paraId="412701FE" w14:textId="7733D19A" w:rsidR="002041C7" w:rsidRP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65" w:history="1">
        <w:r w:rsidRPr="009F4A1E">
          <w:rPr>
            <w:rStyle w:val="Hyperlink"/>
            <w:rFonts w:eastAsia="Times New Roman" w:cstheme="minorHAnsi"/>
            <w:noProof/>
          </w:rPr>
          <w:t>Figure 4.7: VAT payment relative incidence by consumption decile</w:t>
        </w:r>
        <w:r w:rsidRPr="002041C7">
          <w:rPr>
            <w:noProof/>
            <w:webHidden/>
          </w:rPr>
          <w:tab/>
        </w:r>
        <w:r w:rsidRPr="002041C7">
          <w:rPr>
            <w:noProof/>
            <w:webHidden/>
          </w:rPr>
          <w:fldChar w:fldCharType="begin"/>
        </w:r>
        <w:r w:rsidRPr="002041C7">
          <w:rPr>
            <w:noProof/>
            <w:webHidden/>
          </w:rPr>
          <w:instrText xml:space="preserve"> PAGEREF _Toc177593065 \h </w:instrText>
        </w:r>
        <w:r w:rsidRPr="002041C7">
          <w:rPr>
            <w:noProof/>
            <w:webHidden/>
          </w:rPr>
        </w:r>
        <w:r w:rsidRPr="002041C7">
          <w:rPr>
            <w:noProof/>
            <w:webHidden/>
          </w:rPr>
          <w:fldChar w:fldCharType="separate"/>
        </w:r>
        <w:r w:rsidRPr="002041C7">
          <w:rPr>
            <w:noProof/>
            <w:webHidden/>
          </w:rPr>
          <w:t>39</w:t>
        </w:r>
        <w:r w:rsidRPr="002041C7">
          <w:rPr>
            <w:noProof/>
            <w:webHidden/>
          </w:rPr>
          <w:fldChar w:fldCharType="end"/>
        </w:r>
      </w:hyperlink>
    </w:p>
    <w:p w14:paraId="108449BD" w14:textId="3308D06E" w:rsidR="002041C7" w:rsidRPr="002041C7" w:rsidRDefault="002041C7" w:rsidP="009F4A1E">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93066" w:history="1">
        <w:r w:rsidRPr="009F4A1E">
          <w:rPr>
            <w:rStyle w:val="Hyperlink"/>
            <w:rFonts w:eastAsia="Times New Roman" w:cstheme="minorHAnsi"/>
            <w:noProof/>
          </w:rPr>
          <w:t>Figure 4.8: Consumption of VAT-exempt goods &amp; services, by consumption decile (2019)</w:t>
        </w:r>
        <w:r w:rsidRPr="002041C7">
          <w:rPr>
            <w:noProof/>
            <w:webHidden/>
          </w:rPr>
          <w:tab/>
        </w:r>
        <w:r w:rsidRPr="002041C7">
          <w:rPr>
            <w:noProof/>
            <w:webHidden/>
          </w:rPr>
          <w:fldChar w:fldCharType="begin"/>
        </w:r>
        <w:r w:rsidRPr="002041C7">
          <w:rPr>
            <w:noProof/>
            <w:webHidden/>
          </w:rPr>
          <w:instrText xml:space="preserve"> PAGEREF _Toc177593066 \h </w:instrText>
        </w:r>
        <w:r w:rsidRPr="002041C7">
          <w:rPr>
            <w:noProof/>
            <w:webHidden/>
          </w:rPr>
        </w:r>
        <w:r w:rsidRPr="002041C7">
          <w:rPr>
            <w:noProof/>
            <w:webHidden/>
          </w:rPr>
          <w:fldChar w:fldCharType="separate"/>
        </w:r>
        <w:r w:rsidRPr="002041C7">
          <w:rPr>
            <w:noProof/>
            <w:webHidden/>
          </w:rPr>
          <w:t>39</w:t>
        </w:r>
        <w:r w:rsidRPr="002041C7">
          <w:rPr>
            <w:noProof/>
            <w:webHidden/>
          </w:rPr>
          <w:fldChar w:fldCharType="end"/>
        </w:r>
      </w:hyperlink>
    </w:p>
    <w:p w14:paraId="6A2991DF" w14:textId="77777777" w:rsidR="00C82CFE" w:rsidRDefault="00C82CFE" w:rsidP="002041C7">
      <w:pPr>
        <w:ind w:left="0" w:firstLine="0"/>
      </w:pPr>
      <w:r>
        <w:fldChar w:fldCharType="end"/>
      </w:r>
    </w:p>
    <w:p w14:paraId="1B96ADF7" w14:textId="77777777" w:rsidR="00B0333C" w:rsidRDefault="00C82CFE">
      <w:pPr>
        <w:ind w:left="0" w:firstLine="0"/>
        <w:rPr>
          <w:b/>
          <w:bCs/>
          <w:sz w:val="24"/>
          <w:szCs w:val="24"/>
        </w:rPr>
      </w:pPr>
      <w:r w:rsidRPr="009F4A1E">
        <w:rPr>
          <w:b/>
          <w:bCs/>
          <w:sz w:val="24"/>
          <w:szCs w:val="24"/>
        </w:rPr>
        <w:t>Tables</w:t>
      </w:r>
    </w:p>
    <w:p w14:paraId="30DBDBAE" w14:textId="570C3686" w:rsidR="005B22D1" w:rsidRDefault="00B0333C" w:rsidP="00587D03">
      <w:pPr>
        <w:pStyle w:val="TableofFigures"/>
        <w:tabs>
          <w:tab w:val="right" w:leader="dot" w:pos="9016"/>
        </w:tabs>
        <w:ind w:firstLine="0"/>
        <w:rPr>
          <w:rFonts w:eastAsiaTheme="minorEastAsia"/>
          <w:noProof/>
          <w:kern w:val="2"/>
          <w:sz w:val="24"/>
          <w:szCs w:val="24"/>
          <w:lang w:val="en-AU" w:eastAsia="en-AU"/>
          <w14:ligatures w14:val="standardContextual"/>
        </w:rPr>
      </w:pPr>
      <w:r>
        <w:rPr>
          <w:b/>
          <w:bCs/>
          <w:sz w:val="24"/>
          <w:szCs w:val="24"/>
        </w:rPr>
        <w:fldChar w:fldCharType="begin"/>
      </w:r>
      <w:r>
        <w:rPr>
          <w:b/>
          <w:bCs/>
          <w:sz w:val="24"/>
          <w:szCs w:val="24"/>
        </w:rPr>
        <w:instrText xml:space="preserve"> TOC \h \z \c "Table" </w:instrText>
      </w:r>
      <w:r>
        <w:rPr>
          <w:b/>
          <w:bCs/>
          <w:sz w:val="24"/>
          <w:szCs w:val="24"/>
        </w:rPr>
        <w:fldChar w:fldCharType="separate"/>
      </w:r>
      <w:hyperlink w:anchor="_Toc177576301" w:history="1">
        <w:r w:rsidR="005B22D1" w:rsidRPr="00737990">
          <w:rPr>
            <w:rStyle w:val="Hyperlink"/>
            <w:rFonts w:cstheme="minorHAnsi"/>
            <w:noProof/>
          </w:rPr>
          <w:t>Table 2.1: Deemed net profit rates and effective or final tax rates on gross revenues</w:t>
        </w:r>
        <w:r w:rsidR="005B22D1">
          <w:rPr>
            <w:noProof/>
            <w:webHidden/>
          </w:rPr>
          <w:tab/>
        </w:r>
        <w:r w:rsidR="005B22D1">
          <w:rPr>
            <w:noProof/>
            <w:webHidden/>
          </w:rPr>
          <w:fldChar w:fldCharType="begin"/>
        </w:r>
        <w:r w:rsidR="005B22D1">
          <w:rPr>
            <w:noProof/>
            <w:webHidden/>
          </w:rPr>
          <w:instrText xml:space="preserve"> PAGEREF _Toc177576301 \h </w:instrText>
        </w:r>
        <w:r w:rsidR="005B22D1">
          <w:rPr>
            <w:noProof/>
            <w:webHidden/>
          </w:rPr>
        </w:r>
        <w:r w:rsidR="005B22D1">
          <w:rPr>
            <w:noProof/>
            <w:webHidden/>
          </w:rPr>
          <w:fldChar w:fldCharType="separate"/>
        </w:r>
        <w:r w:rsidR="005B22D1">
          <w:rPr>
            <w:noProof/>
            <w:webHidden/>
          </w:rPr>
          <w:t>15</w:t>
        </w:r>
        <w:r w:rsidR="005B22D1">
          <w:rPr>
            <w:noProof/>
            <w:webHidden/>
          </w:rPr>
          <w:fldChar w:fldCharType="end"/>
        </w:r>
      </w:hyperlink>
    </w:p>
    <w:p w14:paraId="7D87699D" w14:textId="523BDE96" w:rsidR="005B22D1" w:rsidRDefault="005B22D1" w:rsidP="002041C7">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76302" w:history="1">
        <w:r w:rsidRPr="00737990">
          <w:rPr>
            <w:rStyle w:val="Hyperlink"/>
            <w:rFonts w:cstheme="minorHAnsi"/>
            <w:noProof/>
          </w:rPr>
          <w:t>Table 2.2: Registered corporate taxpayers versus filing corporate taxpayers</w:t>
        </w:r>
        <w:r>
          <w:rPr>
            <w:noProof/>
            <w:webHidden/>
          </w:rPr>
          <w:tab/>
        </w:r>
        <w:r>
          <w:rPr>
            <w:noProof/>
            <w:webHidden/>
          </w:rPr>
          <w:fldChar w:fldCharType="begin"/>
        </w:r>
        <w:r>
          <w:rPr>
            <w:noProof/>
            <w:webHidden/>
          </w:rPr>
          <w:instrText xml:space="preserve"> PAGEREF _Toc177576302 \h </w:instrText>
        </w:r>
        <w:r>
          <w:rPr>
            <w:noProof/>
            <w:webHidden/>
          </w:rPr>
        </w:r>
        <w:r>
          <w:rPr>
            <w:noProof/>
            <w:webHidden/>
          </w:rPr>
          <w:fldChar w:fldCharType="separate"/>
        </w:r>
        <w:r>
          <w:rPr>
            <w:noProof/>
            <w:webHidden/>
          </w:rPr>
          <w:t>22</w:t>
        </w:r>
        <w:r>
          <w:rPr>
            <w:noProof/>
            <w:webHidden/>
          </w:rPr>
          <w:fldChar w:fldCharType="end"/>
        </w:r>
      </w:hyperlink>
    </w:p>
    <w:p w14:paraId="4EEBB035" w14:textId="5DD6F070" w:rsidR="005B22D1" w:rsidRDefault="005B22D1" w:rsidP="002041C7">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76303" w:history="1">
        <w:r w:rsidRPr="00737990">
          <w:rPr>
            <w:rStyle w:val="Hyperlink"/>
            <w:rFonts w:cstheme="minorHAnsi"/>
            <w:noProof/>
          </w:rPr>
          <w:t>Table 3.1: Reduced CIT rates for smaller firms in Southeast Asia</w:t>
        </w:r>
        <w:r>
          <w:rPr>
            <w:noProof/>
            <w:webHidden/>
          </w:rPr>
          <w:tab/>
        </w:r>
        <w:r>
          <w:rPr>
            <w:noProof/>
            <w:webHidden/>
          </w:rPr>
          <w:fldChar w:fldCharType="begin"/>
        </w:r>
        <w:r>
          <w:rPr>
            <w:noProof/>
            <w:webHidden/>
          </w:rPr>
          <w:instrText xml:space="preserve"> PAGEREF _Toc177576303 \h </w:instrText>
        </w:r>
        <w:r>
          <w:rPr>
            <w:noProof/>
            <w:webHidden/>
          </w:rPr>
        </w:r>
        <w:r>
          <w:rPr>
            <w:noProof/>
            <w:webHidden/>
          </w:rPr>
          <w:fldChar w:fldCharType="separate"/>
        </w:r>
        <w:r>
          <w:rPr>
            <w:noProof/>
            <w:webHidden/>
          </w:rPr>
          <w:t>28</w:t>
        </w:r>
        <w:r>
          <w:rPr>
            <w:noProof/>
            <w:webHidden/>
          </w:rPr>
          <w:fldChar w:fldCharType="end"/>
        </w:r>
      </w:hyperlink>
    </w:p>
    <w:p w14:paraId="42D3CAFA" w14:textId="5FBC99C5" w:rsidR="005B22D1" w:rsidRDefault="005B22D1" w:rsidP="002041C7">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76304" w:history="1">
        <w:r w:rsidRPr="00737990">
          <w:rPr>
            <w:rStyle w:val="Hyperlink"/>
            <w:noProof/>
          </w:rPr>
          <w:t xml:space="preserve">Table 4.1: </w:t>
        </w:r>
        <w:r w:rsidRPr="00737990">
          <w:rPr>
            <w:rStyle w:val="Hyperlink"/>
            <w:rFonts w:cstheme="minorHAnsi"/>
            <w:noProof/>
          </w:rPr>
          <w:t>Changes in main VAT features through law revisions</w:t>
        </w:r>
        <w:r>
          <w:rPr>
            <w:noProof/>
            <w:webHidden/>
          </w:rPr>
          <w:tab/>
        </w:r>
        <w:r>
          <w:rPr>
            <w:noProof/>
            <w:webHidden/>
          </w:rPr>
          <w:fldChar w:fldCharType="begin"/>
        </w:r>
        <w:r>
          <w:rPr>
            <w:noProof/>
            <w:webHidden/>
          </w:rPr>
          <w:instrText xml:space="preserve"> PAGEREF _Toc177576304 \h </w:instrText>
        </w:r>
        <w:r>
          <w:rPr>
            <w:noProof/>
            <w:webHidden/>
          </w:rPr>
        </w:r>
        <w:r>
          <w:rPr>
            <w:noProof/>
            <w:webHidden/>
          </w:rPr>
          <w:fldChar w:fldCharType="separate"/>
        </w:r>
        <w:r>
          <w:rPr>
            <w:noProof/>
            <w:webHidden/>
          </w:rPr>
          <w:t>34</w:t>
        </w:r>
        <w:r>
          <w:rPr>
            <w:noProof/>
            <w:webHidden/>
          </w:rPr>
          <w:fldChar w:fldCharType="end"/>
        </w:r>
      </w:hyperlink>
    </w:p>
    <w:p w14:paraId="521EBDF9" w14:textId="19D2F1A0" w:rsidR="005B22D1" w:rsidRDefault="005B22D1" w:rsidP="002041C7">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76305" w:history="1">
        <w:r w:rsidRPr="00737990">
          <w:rPr>
            <w:rStyle w:val="Hyperlink"/>
            <w:rFonts w:cstheme="minorHAnsi"/>
            <w:noProof/>
          </w:rPr>
          <w:t>Table 4.2: Policy changes in the VAT registration threshold</w:t>
        </w:r>
        <w:r>
          <w:rPr>
            <w:noProof/>
            <w:webHidden/>
          </w:rPr>
          <w:tab/>
        </w:r>
        <w:r>
          <w:rPr>
            <w:noProof/>
            <w:webHidden/>
          </w:rPr>
          <w:fldChar w:fldCharType="begin"/>
        </w:r>
        <w:r>
          <w:rPr>
            <w:noProof/>
            <w:webHidden/>
          </w:rPr>
          <w:instrText xml:space="preserve"> PAGEREF _Toc177576305 \h </w:instrText>
        </w:r>
        <w:r>
          <w:rPr>
            <w:noProof/>
            <w:webHidden/>
          </w:rPr>
        </w:r>
        <w:r>
          <w:rPr>
            <w:noProof/>
            <w:webHidden/>
          </w:rPr>
          <w:fldChar w:fldCharType="separate"/>
        </w:r>
        <w:r>
          <w:rPr>
            <w:noProof/>
            <w:webHidden/>
          </w:rPr>
          <w:t>36</w:t>
        </w:r>
        <w:r>
          <w:rPr>
            <w:noProof/>
            <w:webHidden/>
          </w:rPr>
          <w:fldChar w:fldCharType="end"/>
        </w:r>
      </w:hyperlink>
    </w:p>
    <w:p w14:paraId="006ADB8B" w14:textId="4C8C410B" w:rsidR="005B22D1" w:rsidRDefault="005B22D1" w:rsidP="002041C7">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76306" w:history="1">
        <w:r w:rsidRPr="00737990">
          <w:rPr>
            <w:rStyle w:val="Hyperlink"/>
            <w:rFonts w:cstheme="minorHAnsi"/>
            <w:noProof/>
          </w:rPr>
          <w:t>Table 4.3: VAT treatment of selected goods &amp; services</w:t>
        </w:r>
        <w:r>
          <w:rPr>
            <w:noProof/>
            <w:webHidden/>
          </w:rPr>
          <w:tab/>
        </w:r>
        <w:r>
          <w:rPr>
            <w:noProof/>
            <w:webHidden/>
          </w:rPr>
          <w:fldChar w:fldCharType="begin"/>
        </w:r>
        <w:r>
          <w:rPr>
            <w:noProof/>
            <w:webHidden/>
          </w:rPr>
          <w:instrText xml:space="preserve"> PAGEREF _Toc177576306 \h </w:instrText>
        </w:r>
        <w:r>
          <w:rPr>
            <w:noProof/>
            <w:webHidden/>
          </w:rPr>
        </w:r>
        <w:r>
          <w:rPr>
            <w:noProof/>
            <w:webHidden/>
          </w:rPr>
          <w:fldChar w:fldCharType="separate"/>
        </w:r>
        <w:r>
          <w:rPr>
            <w:noProof/>
            <w:webHidden/>
          </w:rPr>
          <w:t>39</w:t>
        </w:r>
        <w:r>
          <w:rPr>
            <w:noProof/>
            <w:webHidden/>
          </w:rPr>
          <w:fldChar w:fldCharType="end"/>
        </w:r>
      </w:hyperlink>
    </w:p>
    <w:p w14:paraId="1E750E0F" w14:textId="0343A20D" w:rsidR="005B22D1" w:rsidRDefault="005B22D1" w:rsidP="00944679">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76307" w:history="1">
        <w:r w:rsidRPr="00737990">
          <w:rPr>
            <w:rStyle w:val="Hyperlink"/>
            <w:rFonts w:cstheme="minorHAnsi"/>
            <w:noProof/>
          </w:rPr>
          <w:t>Table 4.4</w:t>
        </w:r>
        <w:r>
          <w:rPr>
            <w:rStyle w:val="Hyperlink"/>
            <w:noProof/>
          </w:rPr>
          <w:t xml:space="preserve">: </w:t>
        </w:r>
        <w:r w:rsidRPr="00737990">
          <w:rPr>
            <w:rStyle w:val="Hyperlink"/>
            <w:rFonts w:cstheme="minorHAnsi"/>
            <w:noProof/>
          </w:rPr>
          <w:t>Different categories of VAT treatments in Indonesia</w:t>
        </w:r>
        <w:r>
          <w:rPr>
            <w:noProof/>
            <w:webHidden/>
          </w:rPr>
          <w:tab/>
        </w:r>
        <w:r>
          <w:rPr>
            <w:noProof/>
            <w:webHidden/>
          </w:rPr>
          <w:fldChar w:fldCharType="begin"/>
        </w:r>
        <w:r>
          <w:rPr>
            <w:noProof/>
            <w:webHidden/>
          </w:rPr>
          <w:instrText xml:space="preserve"> PAGEREF _Toc177576307 \h </w:instrText>
        </w:r>
        <w:r>
          <w:rPr>
            <w:noProof/>
            <w:webHidden/>
          </w:rPr>
        </w:r>
        <w:r>
          <w:rPr>
            <w:noProof/>
            <w:webHidden/>
          </w:rPr>
          <w:fldChar w:fldCharType="separate"/>
        </w:r>
        <w:r>
          <w:rPr>
            <w:noProof/>
            <w:webHidden/>
          </w:rPr>
          <w:t>40</w:t>
        </w:r>
        <w:r>
          <w:rPr>
            <w:noProof/>
            <w:webHidden/>
          </w:rPr>
          <w:fldChar w:fldCharType="end"/>
        </w:r>
      </w:hyperlink>
    </w:p>
    <w:p w14:paraId="0BA90F86" w14:textId="181C8593" w:rsidR="005B22D1" w:rsidRDefault="005B22D1" w:rsidP="00944679">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76308" w:history="1">
        <w:r w:rsidRPr="00737990">
          <w:rPr>
            <w:rStyle w:val="Hyperlink"/>
            <w:rFonts w:cstheme="minorHAnsi"/>
            <w:noProof/>
          </w:rPr>
          <w:t>Table 4.5: Multiple tax rates under the LGST Regime</w:t>
        </w:r>
        <w:r>
          <w:rPr>
            <w:noProof/>
            <w:webHidden/>
          </w:rPr>
          <w:tab/>
        </w:r>
        <w:r>
          <w:rPr>
            <w:noProof/>
            <w:webHidden/>
          </w:rPr>
          <w:fldChar w:fldCharType="begin"/>
        </w:r>
        <w:r>
          <w:rPr>
            <w:noProof/>
            <w:webHidden/>
          </w:rPr>
          <w:instrText xml:space="preserve"> PAGEREF _Toc177576308 \h </w:instrText>
        </w:r>
        <w:r>
          <w:rPr>
            <w:noProof/>
            <w:webHidden/>
          </w:rPr>
        </w:r>
        <w:r>
          <w:rPr>
            <w:noProof/>
            <w:webHidden/>
          </w:rPr>
          <w:fldChar w:fldCharType="separate"/>
        </w:r>
        <w:r>
          <w:rPr>
            <w:noProof/>
            <w:webHidden/>
          </w:rPr>
          <w:t>42</w:t>
        </w:r>
        <w:r>
          <w:rPr>
            <w:noProof/>
            <w:webHidden/>
          </w:rPr>
          <w:fldChar w:fldCharType="end"/>
        </w:r>
      </w:hyperlink>
    </w:p>
    <w:p w14:paraId="6FC53DE3" w14:textId="193D11E0" w:rsidR="005B22D1" w:rsidRDefault="005B22D1" w:rsidP="00944679">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76309" w:history="1">
        <w:r w:rsidRPr="00737990">
          <w:rPr>
            <w:rStyle w:val="Hyperlink"/>
            <w:rFonts w:cstheme="minorHAnsi"/>
            <w:noProof/>
          </w:rPr>
          <w:t>Table 5.1: Varying CIT regimes in Indonesia</w:t>
        </w:r>
        <w:r>
          <w:rPr>
            <w:noProof/>
            <w:webHidden/>
          </w:rPr>
          <w:tab/>
        </w:r>
        <w:r>
          <w:rPr>
            <w:noProof/>
            <w:webHidden/>
          </w:rPr>
          <w:fldChar w:fldCharType="begin"/>
        </w:r>
        <w:r>
          <w:rPr>
            <w:noProof/>
            <w:webHidden/>
          </w:rPr>
          <w:instrText xml:space="preserve"> PAGEREF _Toc177576309 \h </w:instrText>
        </w:r>
        <w:r>
          <w:rPr>
            <w:noProof/>
            <w:webHidden/>
          </w:rPr>
        </w:r>
        <w:r>
          <w:rPr>
            <w:noProof/>
            <w:webHidden/>
          </w:rPr>
          <w:fldChar w:fldCharType="separate"/>
        </w:r>
        <w:r>
          <w:rPr>
            <w:noProof/>
            <w:webHidden/>
          </w:rPr>
          <w:t>44</w:t>
        </w:r>
        <w:r>
          <w:rPr>
            <w:noProof/>
            <w:webHidden/>
          </w:rPr>
          <w:fldChar w:fldCharType="end"/>
        </w:r>
      </w:hyperlink>
    </w:p>
    <w:p w14:paraId="7CE42A7B" w14:textId="56E37E10" w:rsidR="005B22D1" w:rsidRDefault="005B22D1" w:rsidP="00944679">
      <w:pPr>
        <w:pStyle w:val="TableofFigures"/>
        <w:tabs>
          <w:tab w:val="right" w:leader="dot" w:pos="9016"/>
        </w:tabs>
        <w:ind w:firstLine="0"/>
        <w:rPr>
          <w:rFonts w:eastAsiaTheme="minorEastAsia"/>
          <w:noProof/>
          <w:kern w:val="2"/>
          <w:sz w:val="24"/>
          <w:szCs w:val="24"/>
          <w:lang w:val="en-AU" w:eastAsia="en-AU"/>
          <w14:ligatures w14:val="standardContextual"/>
        </w:rPr>
      </w:pPr>
      <w:hyperlink w:anchor="_Toc177576310" w:history="1">
        <w:r w:rsidRPr="00737990">
          <w:rPr>
            <w:rStyle w:val="Hyperlink"/>
            <w:rFonts w:cstheme="minorHAnsi"/>
            <w:noProof/>
          </w:rPr>
          <w:t>Table 5.2: The multi-rate structure of VAT</w:t>
        </w:r>
        <w:r>
          <w:rPr>
            <w:noProof/>
            <w:webHidden/>
          </w:rPr>
          <w:tab/>
        </w:r>
        <w:r>
          <w:rPr>
            <w:noProof/>
            <w:webHidden/>
          </w:rPr>
          <w:fldChar w:fldCharType="begin"/>
        </w:r>
        <w:r>
          <w:rPr>
            <w:noProof/>
            <w:webHidden/>
          </w:rPr>
          <w:instrText xml:space="preserve"> PAGEREF _Toc177576310 \h </w:instrText>
        </w:r>
        <w:r>
          <w:rPr>
            <w:noProof/>
            <w:webHidden/>
          </w:rPr>
        </w:r>
        <w:r>
          <w:rPr>
            <w:noProof/>
            <w:webHidden/>
          </w:rPr>
          <w:fldChar w:fldCharType="separate"/>
        </w:r>
        <w:r>
          <w:rPr>
            <w:noProof/>
            <w:webHidden/>
          </w:rPr>
          <w:t>44</w:t>
        </w:r>
        <w:r>
          <w:rPr>
            <w:noProof/>
            <w:webHidden/>
          </w:rPr>
          <w:fldChar w:fldCharType="end"/>
        </w:r>
      </w:hyperlink>
    </w:p>
    <w:p w14:paraId="0626D8EF" w14:textId="7463568E" w:rsidR="00C82CFE" w:rsidRPr="00944679" w:rsidRDefault="00B0333C" w:rsidP="00944679">
      <w:pPr>
        <w:ind w:left="0" w:firstLine="0"/>
        <w:rPr>
          <w:rFonts w:ascii="Calibri" w:eastAsiaTheme="majorEastAsia" w:hAnsi="Calibri" w:cstheme="majorBidi"/>
          <w:b/>
          <w:bCs/>
          <w:color w:val="2F5496" w:themeColor="accent1" w:themeShade="BF"/>
          <w:sz w:val="24"/>
          <w:szCs w:val="24"/>
        </w:rPr>
      </w:pPr>
      <w:r>
        <w:rPr>
          <w:b/>
          <w:bCs/>
          <w:sz w:val="24"/>
          <w:szCs w:val="24"/>
        </w:rPr>
        <w:fldChar w:fldCharType="end"/>
      </w:r>
      <w:r w:rsidR="00C82CFE" w:rsidRPr="00944679">
        <w:rPr>
          <w:b/>
          <w:bCs/>
          <w:sz w:val="24"/>
          <w:szCs w:val="24"/>
        </w:rPr>
        <w:br w:type="page"/>
      </w:r>
    </w:p>
    <w:p w14:paraId="6FB9CD9E" w14:textId="1D5FFAD7" w:rsidR="002C0078" w:rsidRPr="00620099" w:rsidRDefault="002C0078" w:rsidP="002C0078">
      <w:pPr>
        <w:pStyle w:val="Heading1"/>
        <w:spacing w:after="240"/>
      </w:pPr>
      <w:bookmarkStart w:id="2" w:name="_Toc177819027"/>
      <w:r w:rsidRPr="00620099">
        <w:lastRenderedPageBreak/>
        <w:t>Acknowledgments</w:t>
      </w:r>
      <w:bookmarkEnd w:id="2"/>
    </w:p>
    <w:p w14:paraId="461211C5" w14:textId="77777777" w:rsidR="002C0078" w:rsidRPr="006845BF" w:rsidRDefault="002C0078" w:rsidP="002C0078">
      <w:pPr>
        <w:ind w:left="0" w:firstLine="0"/>
        <w:jc w:val="both"/>
        <w:rPr>
          <w:rFonts w:eastAsiaTheme="majorEastAsia" w:cstheme="minorHAnsi"/>
          <w:highlight w:val="yellow"/>
        </w:rPr>
      </w:pPr>
      <w:r w:rsidRPr="006845BF">
        <w:rPr>
          <w:rFonts w:eastAsiaTheme="majorEastAsia" w:cstheme="minorHAnsi"/>
        </w:rPr>
        <w:t xml:space="preserve">This </w:t>
      </w:r>
      <w:r>
        <w:rPr>
          <w:rFonts w:eastAsiaTheme="majorEastAsia" w:cstheme="minorHAnsi"/>
        </w:rPr>
        <w:t xml:space="preserve">paper </w:t>
      </w:r>
      <w:r w:rsidRPr="006845BF">
        <w:rPr>
          <w:rFonts w:eastAsiaTheme="majorEastAsia" w:cstheme="minorHAnsi"/>
        </w:rPr>
        <w:t xml:space="preserve">is one of several </w:t>
      </w:r>
      <w:r>
        <w:rPr>
          <w:rFonts w:eastAsiaTheme="majorEastAsia" w:cstheme="minorHAnsi"/>
        </w:rPr>
        <w:t>background notes prepared in support of a World Bank flagship report on taxation In Indonesia</w:t>
      </w:r>
      <w:r>
        <w:rPr>
          <w:rFonts w:eastAsiaTheme="majorEastAsia" w:cstheme="minorHAnsi"/>
          <w:i/>
          <w:iCs/>
        </w:rPr>
        <w:t xml:space="preserve">. </w:t>
      </w:r>
    </w:p>
    <w:p w14:paraId="3E4097A5" w14:textId="7D871379" w:rsidR="002C0078" w:rsidRDefault="002C0078" w:rsidP="002C0078">
      <w:pPr>
        <w:ind w:left="0" w:firstLine="0"/>
        <w:jc w:val="both"/>
        <w:rPr>
          <w:rFonts w:eastAsiaTheme="majorEastAsia" w:cstheme="minorHAnsi"/>
        </w:rPr>
      </w:pPr>
      <w:r w:rsidRPr="006845BF">
        <w:rPr>
          <w:rFonts w:eastAsiaTheme="majorEastAsia" w:cstheme="minorHAnsi"/>
        </w:rPr>
        <w:t>The report was prepared by a World Bank team consisting of Anthony Obeyesekere</w:t>
      </w:r>
      <w:r>
        <w:rPr>
          <w:rFonts w:eastAsiaTheme="majorEastAsia" w:cstheme="minorHAnsi"/>
        </w:rPr>
        <w:t xml:space="preserve"> (</w:t>
      </w:r>
      <w:r w:rsidR="00C1295B">
        <w:rPr>
          <w:rFonts w:eastAsiaTheme="majorEastAsia" w:cstheme="minorHAnsi"/>
        </w:rPr>
        <w:t xml:space="preserve">Senior </w:t>
      </w:r>
      <w:r>
        <w:rPr>
          <w:rFonts w:eastAsiaTheme="majorEastAsia" w:cstheme="minorHAnsi"/>
        </w:rPr>
        <w:t xml:space="preserve">Economist) and Ratih Dwi Rahmadanti (Economist), under the guidance of Rong Qian (Senior Economist), </w:t>
      </w:r>
      <w:r w:rsidDel="0087105B">
        <w:rPr>
          <w:rFonts w:eastAsiaTheme="majorEastAsia" w:cstheme="minorHAnsi"/>
        </w:rPr>
        <w:t xml:space="preserve">with </w:t>
      </w:r>
      <w:r>
        <w:rPr>
          <w:rFonts w:eastAsiaTheme="majorEastAsia" w:cstheme="minorHAnsi"/>
        </w:rPr>
        <w:t xml:space="preserve">valuable contributions </w:t>
      </w:r>
      <w:r w:rsidDel="0072402E">
        <w:rPr>
          <w:rFonts w:eastAsiaTheme="majorEastAsia" w:cstheme="minorHAnsi"/>
        </w:rPr>
        <w:t xml:space="preserve">from </w:t>
      </w:r>
      <w:r>
        <w:rPr>
          <w:rFonts w:eastAsiaTheme="majorEastAsia" w:cstheme="minorHAnsi"/>
        </w:rPr>
        <w:t>Grzegorz Poniatowski, Sabrina Gilbert, Frederic Tremblay</w:t>
      </w:r>
      <w:r w:rsidR="003B0E62">
        <w:rPr>
          <w:rFonts w:eastAsiaTheme="majorEastAsia" w:cstheme="minorHAnsi"/>
        </w:rPr>
        <w:t>,</w:t>
      </w:r>
      <w:r w:rsidR="00733E7F">
        <w:rPr>
          <w:rFonts w:eastAsiaTheme="majorEastAsia" w:cstheme="minorHAnsi"/>
        </w:rPr>
        <w:t xml:space="preserve"> </w:t>
      </w:r>
      <w:r w:rsidR="00B448AE" w:rsidRPr="00B448AE">
        <w:rPr>
          <w:rFonts w:eastAsiaTheme="majorEastAsia" w:cstheme="minorHAnsi"/>
        </w:rPr>
        <w:t>William Hutchins Seitz</w:t>
      </w:r>
      <w:r w:rsidR="00733E7F">
        <w:rPr>
          <w:rFonts w:eastAsiaTheme="majorEastAsia" w:cstheme="minorHAnsi"/>
        </w:rPr>
        <w:t>, and Vinaya</w:t>
      </w:r>
      <w:r w:rsidR="00A479B3">
        <w:rPr>
          <w:rFonts w:eastAsiaTheme="majorEastAsia" w:cstheme="minorHAnsi"/>
        </w:rPr>
        <w:t>k Alladi</w:t>
      </w:r>
      <w:r>
        <w:rPr>
          <w:rFonts w:eastAsiaTheme="majorEastAsia" w:cstheme="minorHAnsi"/>
        </w:rPr>
        <w:t>. Dwi Endah Abriningrum provided research assistance.</w:t>
      </w:r>
    </w:p>
    <w:p w14:paraId="4F06700E" w14:textId="77777777" w:rsidR="002C0078" w:rsidRPr="001B0D92" w:rsidRDefault="002C0078" w:rsidP="002C0078">
      <w:pPr>
        <w:ind w:left="0" w:firstLine="0"/>
        <w:jc w:val="both"/>
        <w:rPr>
          <w:rFonts w:eastAsiaTheme="majorEastAsia" w:cstheme="minorHAnsi"/>
        </w:rPr>
      </w:pPr>
      <w:r w:rsidRPr="001B0D92">
        <w:rPr>
          <w:rFonts w:eastAsiaTheme="majorEastAsia" w:cstheme="minorHAnsi"/>
        </w:rPr>
        <w:t xml:space="preserve">The authors would like to thank </w:t>
      </w:r>
      <w:r w:rsidRPr="003407E0">
        <w:rPr>
          <w:rFonts w:eastAsiaTheme="majorEastAsia" w:cstheme="minorHAnsi"/>
        </w:rPr>
        <w:t xml:space="preserve">Lars Christian Moller </w:t>
      </w:r>
      <w:r>
        <w:rPr>
          <w:rFonts w:eastAsiaTheme="majorEastAsia" w:cstheme="minorHAnsi"/>
        </w:rPr>
        <w:t xml:space="preserve">(Practice Manager, World Bank), </w:t>
      </w:r>
      <w:r w:rsidRPr="001B0D92">
        <w:rPr>
          <w:rFonts w:eastAsiaTheme="majorEastAsia" w:cstheme="minorHAnsi"/>
        </w:rPr>
        <w:t>Habib Rab (</w:t>
      </w:r>
      <w:r>
        <w:rPr>
          <w:rFonts w:eastAsiaTheme="majorEastAsia" w:cstheme="minorHAnsi"/>
        </w:rPr>
        <w:t xml:space="preserve">Lead Economist, </w:t>
      </w:r>
      <w:r w:rsidRPr="001B0D92">
        <w:rPr>
          <w:rFonts w:eastAsiaTheme="majorEastAsia" w:cstheme="minorHAnsi"/>
        </w:rPr>
        <w:t xml:space="preserve">World Bank), </w:t>
      </w:r>
      <w:r>
        <w:rPr>
          <w:rFonts w:eastAsiaTheme="majorEastAsia" w:cstheme="minorHAnsi"/>
        </w:rPr>
        <w:t xml:space="preserve">Jaffar Al-Rikabi </w:t>
      </w:r>
      <w:r w:rsidRPr="001B0D92">
        <w:rPr>
          <w:rFonts w:eastAsiaTheme="majorEastAsia" w:cstheme="minorHAnsi"/>
        </w:rPr>
        <w:t>(</w:t>
      </w:r>
      <w:r>
        <w:rPr>
          <w:rFonts w:eastAsiaTheme="majorEastAsia" w:cstheme="minorHAnsi"/>
        </w:rPr>
        <w:t xml:space="preserve">Senior Economist, </w:t>
      </w:r>
      <w:r w:rsidRPr="001B0D92">
        <w:rPr>
          <w:rFonts w:eastAsiaTheme="majorEastAsia" w:cstheme="minorHAnsi"/>
        </w:rPr>
        <w:t>World Bank)</w:t>
      </w:r>
      <w:r>
        <w:rPr>
          <w:rFonts w:eastAsiaTheme="majorEastAsia" w:cstheme="minorHAnsi"/>
        </w:rPr>
        <w:t xml:space="preserve">, Alastair Thomas (Senior Economist, World Bank), Ruth Nikijuluw </w:t>
      </w:r>
      <w:r w:rsidRPr="001B0D92">
        <w:rPr>
          <w:rFonts w:eastAsiaTheme="majorEastAsia" w:cstheme="minorHAnsi"/>
        </w:rPr>
        <w:t>(</w:t>
      </w:r>
      <w:r>
        <w:rPr>
          <w:rFonts w:eastAsiaTheme="majorEastAsia" w:cstheme="minorHAnsi"/>
        </w:rPr>
        <w:t xml:space="preserve">Economist, </w:t>
      </w:r>
      <w:r w:rsidRPr="001B0D92">
        <w:rPr>
          <w:rFonts w:eastAsiaTheme="majorEastAsia" w:cstheme="minorHAnsi"/>
        </w:rPr>
        <w:t>World Bank)</w:t>
      </w:r>
      <w:r>
        <w:rPr>
          <w:rFonts w:eastAsiaTheme="majorEastAsia" w:cstheme="minorHAnsi"/>
        </w:rPr>
        <w:t xml:space="preserve">, </w:t>
      </w:r>
      <w:r w:rsidRPr="001B0D92">
        <w:rPr>
          <w:rFonts w:eastAsiaTheme="majorEastAsia" w:cstheme="minorHAnsi"/>
        </w:rPr>
        <w:t>Rubino Sugana (</w:t>
      </w:r>
      <w:r>
        <w:rPr>
          <w:rFonts w:eastAsiaTheme="majorEastAsia" w:cstheme="minorHAnsi"/>
        </w:rPr>
        <w:t xml:space="preserve">Lead Adviser, </w:t>
      </w:r>
      <w:r w:rsidRPr="001B0D92">
        <w:rPr>
          <w:rFonts w:eastAsiaTheme="majorEastAsia" w:cstheme="minorHAnsi"/>
        </w:rPr>
        <w:t>Prospera), Gran</w:t>
      </w:r>
      <w:r>
        <w:rPr>
          <w:rFonts w:eastAsiaTheme="majorEastAsia" w:cstheme="minorHAnsi"/>
        </w:rPr>
        <w:t>t</w:t>
      </w:r>
      <w:r w:rsidRPr="001B0D92">
        <w:rPr>
          <w:rFonts w:eastAsiaTheme="majorEastAsia" w:cstheme="minorHAnsi"/>
        </w:rPr>
        <w:t xml:space="preserve"> Leader (</w:t>
      </w:r>
      <w:r>
        <w:rPr>
          <w:rFonts w:eastAsiaTheme="majorEastAsia" w:cstheme="minorHAnsi"/>
        </w:rPr>
        <w:t>Senior Adviser, Prospera</w:t>
      </w:r>
      <w:r w:rsidRPr="001B0D92">
        <w:rPr>
          <w:rFonts w:eastAsiaTheme="majorEastAsia" w:cstheme="minorHAnsi"/>
        </w:rPr>
        <w:t xml:space="preserve">) and the staff of the Ministry of Finance’s Directorate of Tax Potency, Compliance and Revenue, Directorate of Tax Regulations I, Directorate of Tax Regulations II, Budget Policy Center, Macroeconomic Policy Center, and State Revenue Policy Center for their valuable feedback. </w:t>
      </w:r>
    </w:p>
    <w:p w14:paraId="3B022024" w14:textId="77777777" w:rsidR="002C0078" w:rsidRDefault="002C0078">
      <w:pPr>
        <w:rPr>
          <w:rFonts w:asciiTheme="majorHAnsi" w:eastAsiaTheme="majorEastAsia" w:hAnsiTheme="majorHAnsi" w:cstheme="majorBidi"/>
          <w:color w:val="2F5496" w:themeColor="accent1" w:themeShade="BF"/>
          <w:sz w:val="32"/>
          <w:szCs w:val="32"/>
        </w:rPr>
      </w:pPr>
      <w:r>
        <w:br w:type="page"/>
      </w:r>
    </w:p>
    <w:p w14:paraId="05A7F676" w14:textId="6347BAC2" w:rsidR="002C0078" w:rsidRPr="002C0078" w:rsidRDefault="002C0078" w:rsidP="003445A0">
      <w:pPr>
        <w:pStyle w:val="Heading1"/>
      </w:pPr>
      <w:bookmarkStart w:id="3" w:name="_Toc177819028"/>
      <w:r w:rsidRPr="002C0078">
        <w:lastRenderedPageBreak/>
        <w:t>Ab</w:t>
      </w:r>
      <w:r>
        <w:t>breviations and Acronyms</w:t>
      </w:r>
      <w:bookmarkEnd w:id="3"/>
    </w:p>
    <w:p w14:paraId="06E653AF" w14:textId="77777777" w:rsidR="00FD66AB" w:rsidRDefault="00FD66AB" w:rsidP="00E05065">
      <w:pPr>
        <w:ind w:left="0" w:firstLine="0"/>
        <w:jc w:val="both"/>
        <w:rPr>
          <w:rFonts w:cstheme="minorHAnsi"/>
          <w:color w:val="000000" w:themeColor="text1"/>
        </w:rPr>
      </w:pPr>
      <w:r>
        <w:rPr>
          <w:rFonts w:cstheme="minorHAnsi"/>
          <w:color w:val="000000" w:themeColor="text1"/>
        </w:rPr>
        <w:t>AFT</w:t>
      </w:r>
      <w:r>
        <w:rPr>
          <w:rFonts w:cstheme="minorHAnsi"/>
          <w:color w:val="000000" w:themeColor="text1"/>
        </w:rPr>
        <w:tab/>
      </w:r>
      <w:r>
        <w:rPr>
          <w:rFonts w:cstheme="minorHAnsi"/>
          <w:color w:val="000000" w:themeColor="text1"/>
        </w:rPr>
        <w:tab/>
        <w:t>Alternative Final Tax</w:t>
      </w:r>
    </w:p>
    <w:p w14:paraId="630CF802" w14:textId="77777777" w:rsidR="00C6011E" w:rsidRDefault="00C6011E" w:rsidP="00E05065">
      <w:pPr>
        <w:ind w:left="0" w:firstLine="0"/>
        <w:jc w:val="both"/>
        <w:rPr>
          <w:rFonts w:cstheme="minorHAnsi"/>
          <w:color w:val="000000" w:themeColor="text1"/>
        </w:rPr>
      </w:pPr>
      <w:r>
        <w:rPr>
          <w:rFonts w:cstheme="minorHAnsi"/>
          <w:color w:val="000000" w:themeColor="text1"/>
        </w:rPr>
        <w:t>AR</w:t>
      </w:r>
      <w:r>
        <w:rPr>
          <w:rFonts w:cstheme="minorHAnsi"/>
          <w:color w:val="000000" w:themeColor="text1"/>
        </w:rPr>
        <w:tab/>
      </w:r>
      <w:r>
        <w:rPr>
          <w:rFonts w:cstheme="minorHAnsi"/>
          <w:color w:val="000000" w:themeColor="text1"/>
        </w:rPr>
        <w:tab/>
        <w:t>Account Representative</w:t>
      </w:r>
    </w:p>
    <w:p w14:paraId="4CDB84CA" w14:textId="5D2EAF6E" w:rsidR="000F629B" w:rsidRDefault="000F629B" w:rsidP="00E05065">
      <w:pPr>
        <w:ind w:left="0" w:firstLine="0"/>
        <w:jc w:val="both"/>
        <w:rPr>
          <w:rFonts w:cstheme="minorHAnsi"/>
          <w:color w:val="000000" w:themeColor="text1"/>
        </w:rPr>
      </w:pPr>
      <w:r>
        <w:rPr>
          <w:rFonts w:cstheme="minorHAnsi"/>
          <w:color w:val="000000" w:themeColor="text1"/>
        </w:rPr>
        <w:t>BEPS</w:t>
      </w:r>
      <w:r>
        <w:rPr>
          <w:rFonts w:cstheme="minorHAnsi"/>
          <w:color w:val="000000" w:themeColor="text1"/>
        </w:rPr>
        <w:tab/>
      </w:r>
      <w:r>
        <w:rPr>
          <w:rFonts w:cstheme="minorHAnsi"/>
          <w:color w:val="000000" w:themeColor="text1"/>
        </w:rPr>
        <w:tab/>
        <w:t>Base Erosion and Profit Sharing</w:t>
      </w:r>
    </w:p>
    <w:p w14:paraId="3F4FF8A0" w14:textId="35B8EE96" w:rsidR="00784869" w:rsidRDefault="00784869" w:rsidP="00E05065">
      <w:pPr>
        <w:ind w:left="0" w:firstLine="0"/>
        <w:jc w:val="both"/>
        <w:rPr>
          <w:rFonts w:cstheme="minorHAnsi"/>
          <w:color w:val="000000" w:themeColor="text1"/>
        </w:rPr>
      </w:pPr>
      <w:r>
        <w:rPr>
          <w:rFonts w:cstheme="minorHAnsi"/>
          <w:color w:val="000000" w:themeColor="text1"/>
        </w:rPr>
        <w:t>CEEC</w:t>
      </w:r>
      <w:r>
        <w:rPr>
          <w:rFonts w:cstheme="minorHAnsi"/>
          <w:color w:val="000000" w:themeColor="text1"/>
        </w:rPr>
        <w:tab/>
      </w:r>
      <w:r>
        <w:rPr>
          <w:rFonts w:cstheme="minorHAnsi"/>
          <w:color w:val="000000" w:themeColor="text1"/>
        </w:rPr>
        <w:tab/>
        <w:t>Central and Eastern European Countries</w:t>
      </w:r>
    </w:p>
    <w:p w14:paraId="7DC20F1C" w14:textId="65E2E797" w:rsidR="00FD66AB" w:rsidRDefault="00FD66AB" w:rsidP="00E05065">
      <w:pPr>
        <w:ind w:left="0" w:firstLine="0"/>
        <w:jc w:val="both"/>
        <w:rPr>
          <w:rFonts w:cstheme="minorHAnsi"/>
          <w:color w:val="000000" w:themeColor="text1"/>
        </w:rPr>
      </w:pPr>
      <w:r>
        <w:rPr>
          <w:rFonts w:cstheme="minorHAnsi"/>
          <w:color w:val="000000" w:themeColor="text1"/>
        </w:rPr>
        <w:t>CIT</w:t>
      </w:r>
      <w:r>
        <w:rPr>
          <w:rFonts w:cstheme="minorHAnsi"/>
          <w:color w:val="000000" w:themeColor="text1"/>
        </w:rPr>
        <w:tab/>
      </w:r>
      <w:r>
        <w:rPr>
          <w:rFonts w:cstheme="minorHAnsi"/>
          <w:color w:val="000000" w:themeColor="text1"/>
        </w:rPr>
        <w:tab/>
        <w:t>Corporate Income Tax</w:t>
      </w:r>
    </w:p>
    <w:p w14:paraId="40BBA03B" w14:textId="0BF4FBED" w:rsidR="00C6011E" w:rsidRDefault="00C6011E" w:rsidP="00E05065">
      <w:pPr>
        <w:ind w:left="0" w:firstLine="0"/>
        <w:jc w:val="both"/>
        <w:rPr>
          <w:rFonts w:cstheme="minorHAnsi"/>
          <w:color w:val="000000" w:themeColor="text1"/>
        </w:rPr>
      </w:pPr>
      <w:r>
        <w:rPr>
          <w:rFonts w:cstheme="minorHAnsi"/>
          <w:color w:val="000000" w:themeColor="text1"/>
        </w:rPr>
        <w:t>CRM</w:t>
      </w:r>
      <w:r>
        <w:rPr>
          <w:rFonts w:cstheme="minorHAnsi"/>
          <w:color w:val="000000" w:themeColor="text1"/>
        </w:rPr>
        <w:tab/>
      </w:r>
      <w:r>
        <w:rPr>
          <w:rFonts w:cstheme="minorHAnsi"/>
          <w:color w:val="000000" w:themeColor="text1"/>
        </w:rPr>
        <w:tab/>
        <w:t>Compliance Risk Management</w:t>
      </w:r>
    </w:p>
    <w:p w14:paraId="50DB93F3" w14:textId="11B85326" w:rsidR="00165956" w:rsidRDefault="00165956" w:rsidP="00E05065">
      <w:pPr>
        <w:ind w:left="0" w:firstLine="0"/>
        <w:jc w:val="both"/>
        <w:rPr>
          <w:rFonts w:cstheme="minorHAnsi"/>
          <w:color w:val="000000" w:themeColor="text1"/>
        </w:rPr>
      </w:pPr>
      <w:r>
        <w:rPr>
          <w:rFonts w:cstheme="minorHAnsi"/>
          <w:color w:val="000000" w:themeColor="text1"/>
        </w:rPr>
        <w:t>CEQ</w:t>
      </w:r>
      <w:r>
        <w:rPr>
          <w:rFonts w:cstheme="minorHAnsi"/>
          <w:color w:val="000000" w:themeColor="text1"/>
        </w:rPr>
        <w:tab/>
      </w:r>
      <w:r>
        <w:rPr>
          <w:rFonts w:cstheme="minorHAnsi"/>
          <w:color w:val="000000" w:themeColor="text1"/>
        </w:rPr>
        <w:tab/>
        <w:t>Commitment to Equity</w:t>
      </w:r>
    </w:p>
    <w:p w14:paraId="761ADCB6" w14:textId="13FDA5E6" w:rsidR="00C6011E" w:rsidRDefault="00C6011E" w:rsidP="00E05065">
      <w:pPr>
        <w:ind w:left="0" w:firstLine="0"/>
        <w:jc w:val="both"/>
        <w:rPr>
          <w:rFonts w:cstheme="minorHAnsi"/>
          <w:color w:val="000000" w:themeColor="text1"/>
        </w:rPr>
      </w:pPr>
      <w:r>
        <w:rPr>
          <w:rFonts w:cstheme="minorHAnsi"/>
          <w:color w:val="000000" w:themeColor="text1"/>
        </w:rPr>
        <w:t>DGT</w:t>
      </w:r>
      <w:r>
        <w:rPr>
          <w:rFonts w:cstheme="minorHAnsi"/>
          <w:color w:val="000000" w:themeColor="text1"/>
        </w:rPr>
        <w:tab/>
      </w:r>
      <w:r>
        <w:rPr>
          <w:rFonts w:cstheme="minorHAnsi"/>
          <w:color w:val="000000" w:themeColor="text1"/>
        </w:rPr>
        <w:tab/>
        <w:t>Directorate General of Taxes</w:t>
      </w:r>
    </w:p>
    <w:p w14:paraId="0999D24E" w14:textId="6DBCC442" w:rsidR="0046438C" w:rsidRDefault="00FD66AB" w:rsidP="00E05065">
      <w:pPr>
        <w:ind w:left="0" w:firstLine="0"/>
        <w:jc w:val="both"/>
        <w:rPr>
          <w:rFonts w:cstheme="minorHAnsi"/>
          <w:color w:val="000000" w:themeColor="text1"/>
        </w:rPr>
      </w:pPr>
      <w:r>
        <w:rPr>
          <w:rFonts w:cstheme="minorHAnsi"/>
          <w:color w:val="000000" w:themeColor="text1"/>
        </w:rPr>
        <w:t>EBIT</w:t>
      </w:r>
      <w:r>
        <w:rPr>
          <w:rFonts w:cstheme="minorHAnsi"/>
          <w:color w:val="000000" w:themeColor="text1"/>
        </w:rPr>
        <w:tab/>
      </w:r>
      <w:r>
        <w:rPr>
          <w:rFonts w:cstheme="minorHAnsi"/>
          <w:color w:val="000000" w:themeColor="text1"/>
        </w:rPr>
        <w:tab/>
        <w:t>Earnings Before Interest and Taxes</w:t>
      </w:r>
    </w:p>
    <w:p w14:paraId="11B5DB2B" w14:textId="0D41DB17" w:rsidR="00587E53" w:rsidRDefault="00587E53" w:rsidP="00E05065">
      <w:pPr>
        <w:ind w:left="0" w:firstLine="0"/>
        <w:jc w:val="both"/>
        <w:rPr>
          <w:rFonts w:cstheme="minorHAnsi"/>
          <w:color w:val="000000" w:themeColor="text1"/>
        </w:rPr>
      </w:pPr>
      <w:r>
        <w:rPr>
          <w:rFonts w:cstheme="minorHAnsi"/>
          <w:color w:val="000000" w:themeColor="text1"/>
        </w:rPr>
        <w:t>EM</w:t>
      </w:r>
      <w:r>
        <w:rPr>
          <w:rFonts w:cstheme="minorHAnsi"/>
          <w:color w:val="000000" w:themeColor="text1"/>
        </w:rPr>
        <w:tab/>
      </w:r>
      <w:r>
        <w:rPr>
          <w:rFonts w:cstheme="minorHAnsi"/>
          <w:color w:val="000000" w:themeColor="text1"/>
        </w:rPr>
        <w:tab/>
        <w:t>Emerging Market</w:t>
      </w:r>
    </w:p>
    <w:p w14:paraId="1BCA474E" w14:textId="7D4A1456" w:rsidR="00C6011E" w:rsidRDefault="00C6011E" w:rsidP="00E05065">
      <w:pPr>
        <w:ind w:left="0" w:firstLine="0"/>
        <w:jc w:val="both"/>
        <w:rPr>
          <w:rFonts w:cstheme="minorHAnsi"/>
          <w:color w:val="000000" w:themeColor="text1"/>
        </w:rPr>
      </w:pPr>
      <w:r>
        <w:rPr>
          <w:rFonts w:cstheme="minorHAnsi"/>
          <w:color w:val="000000" w:themeColor="text1"/>
        </w:rPr>
        <w:t>FDI</w:t>
      </w:r>
      <w:r>
        <w:rPr>
          <w:rFonts w:cstheme="minorHAnsi"/>
          <w:color w:val="000000" w:themeColor="text1"/>
        </w:rPr>
        <w:tab/>
      </w:r>
      <w:r>
        <w:rPr>
          <w:rFonts w:cstheme="minorHAnsi"/>
          <w:color w:val="000000" w:themeColor="text1"/>
        </w:rPr>
        <w:tab/>
        <w:t>Foreign Direct Investment</w:t>
      </w:r>
    </w:p>
    <w:p w14:paraId="4647C5C2" w14:textId="7A9CD00B" w:rsidR="00165956" w:rsidRDefault="00165956" w:rsidP="00E05065">
      <w:pPr>
        <w:ind w:left="0" w:firstLine="0"/>
        <w:jc w:val="both"/>
        <w:rPr>
          <w:rFonts w:cstheme="minorHAnsi"/>
          <w:color w:val="000000" w:themeColor="text1"/>
        </w:rPr>
      </w:pPr>
      <w:r>
        <w:rPr>
          <w:rFonts w:cstheme="minorHAnsi"/>
          <w:color w:val="000000" w:themeColor="text1"/>
        </w:rPr>
        <w:t>FRS</w:t>
      </w:r>
      <w:r>
        <w:rPr>
          <w:rFonts w:cstheme="minorHAnsi"/>
          <w:color w:val="000000" w:themeColor="text1"/>
        </w:rPr>
        <w:tab/>
      </w:r>
      <w:r>
        <w:rPr>
          <w:rFonts w:cstheme="minorHAnsi"/>
          <w:color w:val="000000" w:themeColor="text1"/>
        </w:rPr>
        <w:tab/>
        <w:t>Flat-rate Scheme</w:t>
      </w:r>
    </w:p>
    <w:p w14:paraId="7353690B" w14:textId="3649CC77" w:rsidR="00FD66AB" w:rsidRDefault="00FD66AB" w:rsidP="00E05065">
      <w:pPr>
        <w:ind w:left="0" w:firstLine="0"/>
        <w:jc w:val="both"/>
        <w:rPr>
          <w:rFonts w:cstheme="minorHAnsi"/>
          <w:color w:val="000000" w:themeColor="text1"/>
        </w:rPr>
      </w:pPr>
      <w:r>
        <w:rPr>
          <w:rFonts w:cstheme="minorHAnsi"/>
          <w:color w:val="000000" w:themeColor="text1"/>
        </w:rPr>
        <w:t>GOS</w:t>
      </w:r>
      <w:r>
        <w:rPr>
          <w:rFonts w:cstheme="minorHAnsi"/>
          <w:color w:val="000000" w:themeColor="text1"/>
        </w:rPr>
        <w:tab/>
      </w:r>
      <w:r>
        <w:rPr>
          <w:rFonts w:cstheme="minorHAnsi"/>
          <w:color w:val="000000" w:themeColor="text1"/>
        </w:rPr>
        <w:tab/>
        <w:t>Gross Operating Surplus</w:t>
      </w:r>
    </w:p>
    <w:p w14:paraId="3C91C29E" w14:textId="7F08CC16" w:rsidR="001C2E38" w:rsidRDefault="001C2E38" w:rsidP="00E05065">
      <w:pPr>
        <w:ind w:left="0" w:firstLine="0"/>
        <w:jc w:val="both"/>
        <w:rPr>
          <w:rFonts w:cstheme="minorHAnsi"/>
          <w:color w:val="000000" w:themeColor="text1"/>
        </w:rPr>
      </w:pPr>
      <w:r>
        <w:rPr>
          <w:rFonts w:cstheme="minorHAnsi"/>
          <w:color w:val="000000" w:themeColor="text1"/>
        </w:rPr>
        <w:t>LGST</w:t>
      </w:r>
      <w:r>
        <w:rPr>
          <w:rFonts w:cstheme="minorHAnsi"/>
          <w:color w:val="000000" w:themeColor="text1"/>
        </w:rPr>
        <w:tab/>
      </w:r>
      <w:r>
        <w:rPr>
          <w:rFonts w:cstheme="minorHAnsi"/>
          <w:color w:val="000000" w:themeColor="text1"/>
        </w:rPr>
        <w:tab/>
        <w:t>Luxury Goods Sales Tax</w:t>
      </w:r>
    </w:p>
    <w:p w14:paraId="444C4600" w14:textId="14F91B9A" w:rsidR="00C6011E" w:rsidRDefault="00C6011E" w:rsidP="00E05065">
      <w:pPr>
        <w:ind w:left="0" w:firstLine="0"/>
        <w:jc w:val="both"/>
        <w:rPr>
          <w:rFonts w:cstheme="minorHAnsi"/>
          <w:color w:val="000000" w:themeColor="text1"/>
        </w:rPr>
      </w:pPr>
      <w:r>
        <w:rPr>
          <w:rFonts w:cstheme="minorHAnsi"/>
          <w:color w:val="000000" w:themeColor="text1"/>
        </w:rPr>
        <w:t>LTO</w:t>
      </w:r>
      <w:r>
        <w:rPr>
          <w:rFonts w:cstheme="minorHAnsi"/>
          <w:color w:val="000000" w:themeColor="text1"/>
        </w:rPr>
        <w:tab/>
      </w:r>
      <w:r>
        <w:rPr>
          <w:rFonts w:cstheme="minorHAnsi"/>
          <w:color w:val="000000" w:themeColor="text1"/>
        </w:rPr>
        <w:tab/>
        <w:t>Large Tax Office</w:t>
      </w:r>
    </w:p>
    <w:p w14:paraId="1E021C4A" w14:textId="3BE3DEAA" w:rsidR="00AB635F" w:rsidRDefault="00AB635F" w:rsidP="00E05065">
      <w:pPr>
        <w:ind w:left="0" w:firstLine="0"/>
        <w:jc w:val="both"/>
        <w:rPr>
          <w:rFonts w:cstheme="minorHAnsi"/>
          <w:color w:val="000000" w:themeColor="text1"/>
        </w:rPr>
      </w:pPr>
      <w:r>
        <w:rPr>
          <w:rFonts w:cstheme="minorHAnsi"/>
          <w:color w:val="000000" w:themeColor="text1"/>
        </w:rPr>
        <w:t>MoF</w:t>
      </w:r>
      <w:r>
        <w:rPr>
          <w:rFonts w:cstheme="minorHAnsi"/>
          <w:color w:val="000000" w:themeColor="text1"/>
        </w:rPr>
        <w:tab/>
      </w:r>
      <w:r>
        <w:rPr>
          <w:rFonts w:cstheme="minorHAnsi"/>
          <w:color w:val="000000" w:themeColor="text1"/>
        </w:rPr>
        <w:tab/>
        <w:t>Ministry of Finance</w:t>
      </w:r>
    </w:p>
    <w:p w14:paraId="308D795F" w14:textId="18B5267A" w:rsidR="00FD66AB" w:rsidRDefault="00FD66AB" w:rsidP="00E05065">
      <w:pPr>
        <w:ind w:left="0" w:firstLine="0"/>
        <w:jc w:val="both"/>
        <w:rPr>
          <w:rFonts w:cstheme="minorHAnsi"/>
          <w:color w:val="000000" w:themeColor="text1"/>
        </w:rPr>
      </w:pPr>
      <w:r>
        <w:rPr>
          <w:rFonts w:cstheme="minorHAnsi"/>
          <w:color w:val="000000" w:themeColor="text1"/>
        </w:rPr>
        <w:t>MSME</w:t>
      </w:r>
      <w:r>
        <w:rPr>
          <w:rFonts w:cstheme="minorHAnsi"/>
          <w:color w:val="000000" w:themeColor="text1"/>
        </w:rPr>
        <w:tab/>
      </w:r>
      <w:r>
        <w:rPr>
          <w:rFonts w:cstheme="minorHAnsi"/>
          <w:color w:val="000000" w:themeColor="text1"/>
        </w:rPr>
        <w:tab/>
        <w:t>Micro, Small, and Medium Enterprise</w:t>
      </w:r>
    </w:p>
    <w:p w14:paraId="13A988D8" w14:textId="17693476" w:rsidR="00C6011E" w:rsidRDefault="00C6011E" w:rsidP="00E05065">
      <w:pPr>
        <w:ind w:left="0" w:firstLine="0"/>
        <w:jc w:val="both"/>
        <w:rPr>
          <w:rFonts w:cstheme="minorHAnsi"/>
          <w:color w:val="000000" w:themeColor="text1"/>
        </w:rPr>
      </w:pPr>
      <w:r>
        <w:rPr>
          <w:rFonts w:cstheme="minorHAnsi"/>
          <w:color w:val="000000" w:themeColor="text1"/>
        </w:rPr>
        <w:t>MTO</w:t>
      </w:r>
      <w:r>
        <w:rPr>
          <w:rFonts w:cstheme="minorHAnsi"/>
          <w:color w:val="000000" w:themeColor="text1"/>
        </w:rPr>
        <w:tab/>
      </w:r>
      <w:r>
        <w:rPr>
          <w:rFonts w:cstheme="minorHAnsi"/>
          <w:color w:val="000000" w:themeColor="text1"/>
        </w:rPr>
        <w:tab/>
        <w:t>Medium Tax Office</w:t>
      </w:r>
    </w:p>
    <w:p w14:paraId="3F278E83" w14:textId="60DF2724" w:rsidR="00AB635F" w:rsidRDefault="00AB635F" w:rsidP="00E05065">
      <w:pPr>
        <w:ind w:left="0" w:firstLine="0"/>
        <w:jc w:val="both"/>
        <w:rPr>
          <w:rFonts w:cstheme="minorHAnsi"/>
          <w:color w:val="000000" w:themeColor="text1"/>
        </w:rPr>
      </w:pPr>
      <w:r>
        <w:rPr>
          <w:rFonts w:cstheme="minorHAnsi"/>
          <w:color w:val="000000" w:themeColor="text1"/>
        </w:rPr>
        <w:t>OTT</w:t>
      </w:r>
      <w:r>
        <w:rPr>
          <w:rFonts w:cstheme="minorHAnsi"/>
          <w:color w:val="000000" w:themeColor="text1"/>
        </w:rPr>
        <w:tab/>
      </w:r>
      <w:r>
        <w:rPr>
          <w:rFonts w:cstheme="minorHAnsi"/>
          <w:color w:val="000000" w:themeColor="text1"/>
        </w:rPr>
        <w:tab/>
        <w:t>Over-the-top</w:t>
      </w:r>
    </w:p>
    <w:p w14:paraId="244124D1" w14:textId="0EBAF413" w:rsidR="00C6011E" w:rsidRDefault="00C6011E" w:rsidP="00E05065">
      <w:pPr>
        <w:ind w:left="0" w:firstLine="0"/>
        <w:jc w:val="both"/>
        <w:rPr>
          <w:rFonts w:cstheme="minorHAnsi"/>
          <w:color w:val="000000" w:themeColor="text1"/>
        </w:rPr>
      </w:pPr>
      <w:r>
        <w:rPr>
          <w:rFonts w:cstheme="minorHAnsi"/>
          <w:color w:val="000000" w:themeColor="text1"/>
        </w:rPr>
        <w:t>PE</w:t>
      </w:r>
      <w:r>
        <w:rPr>
          <w:rFonts w:cstheme="minorHAnsi"/>
          <w:color w:val="000000" w:themeColor="text1"/>
        </w:rPr>
        <w:tab/>
      </w:r>
      <w:r>
        <w:rPr>
          <w:rFonts w:cstheme="minorHAnsi"/>
          <w:color w:val="000000" w:themeColor="text1"/>
        </w:rPr>
        <w:tab/>
        <w:t>Permanent Establishment</w:t>
      </w:r>
    </w:p>
    <w:p w14:paraId="462988AA" w14:textId="120E13EC" w:rsidR="00FD66AB" w:rsidRDefault="00FD66AB" w:rsidP="00E05065">
      <w:pPr>
        <w:ind w:left="0" w:firstLine="0"/>
        <w:jc w:val="both"/>
        <w:rPr>
          <w:rFonts w:cstheme="minorHAnsi"/>
          <w:color w:val="000000" w:themeColor="text1"/>
        </w:rPr>
      </w:pPr>
      <w:r>
        <w:rPr>
          <w:rFonts w:cstheme="minorHAnsi"/>
          <w:color w:val="000000" w:themeColor="text1"/>
        </w:rPr>
        <w:t>PIT</w:t>
      </w:r>
      <w:r>
        <w:rPr>
          <w:rFonts w:cstheme="minorHAnsi"/>
          <w:color w:val="000000" w:themeColor="text1"/>
        </w:rPr>
        <w:tab/>
      </w:r>
      <w:r>
        <w:rPr>
          <w:rFonts w:cstheme="minorHAnsi"/>
          <w:color w:val="000000" w:themeColor="text1"/>
        </w:rPr>
        <w:tab/>
        <w:t>Personal Income Tax</w:t>
      </w:r>
    </w:p>
    <w:p w14:paraId="47F606DE" w14:textId="25466197" w:rsidR="00784869" w:rsidRDefault="00784869" w:rsidP="00E05065">
      <w:pPr>
        <w:ind w:left="0" w:firstLine="0"/>
        <w:jc w:val="both"/>
        <w:rPr>
          <w:rFonts w:cstheme="minorHAnsi"/>
          <w:color w:val="000000" w:themeColor="text1"/>
        </w:rPr>
      </w:pPr>
      <w:r>
        <w:rPr>
          <w:rFonts w:cstheme="minorHAnsi"/>
          <w:color w:val="000000" w:themeColor="text1"/>
        </w:rPr>
        <w:t>PMSE</w:t>
      </w:r>
      <w:r>
        <w:rPr>
          <w:rFonts w:cstheme="minorHAnsi"/>
          <w:color w:val="000000" w:themeColor="text1"/>
        </w:rPr>
        <w:tab/>
      </w:r>
      <w:r>
        <w:rPr>
          <w:rFonts w:cstheme="minorHAnsi"/>
          <w:color w:val="000000" w:themeColor="text1"/>
        </w:rPr>
        <w:tab/>
      </w:r>
      <w:proofErr w:type="spellStart"/>
      <w:r>
        <w:rPr>
          <w:rFonts w:cstheme="minorHAnsi"/>
          <w:i/>
          <w:iCs/>
          <w:color w:val="000000" w:themeColor="text1"/>
        </w:rPr>
        <w:t>Perdagangan</w:t>
      </w:r>
      <w:proofErr w:type="spellEnd"/>
      <w:r>
        <w:rPr>
          <w:rFonts w:cstheme="minorHAnsi"/>
          <w:i/>
          <w:iCs/>
          <w:color w:val="000000" w:themeColor="text1"/>
        </w:rPr>
        <w:t xml:space="preserve"> </w:t>
      </w:r>
      <w:proofErr w:type="spellStart"/>
      <w:r>
        <w:rPr>
          <w:rFonts w:cstheme="minorHAnsi"/>
          <w:i/>
          <w:iCs/>
          <w:color w:val="000000" w:themeColor="text1"/>
        </w:rPr>
        <w:t>Melalui</w:t>
      </w:r>
      <w:proofErr w:type="spellEnd"/>
      <w:r>
        <w:rPr>
          <w:rFonts w:cstheme="minorHAnsi"/>
          <w:i/>
          <w:iCs/>
          <w:color w:val="000000" w:themeColor="text1"/>
        </w:rPr>
        <w:t xml:space="preserve"> </w:t>
      </w:r>
      <w:proofErr w:type="spellStart"/>
      <w:r>
        <w:rPr>
          <w:rFonts w:cstheme="minorHAnsi"/>
          <w:i/>
          <w:iCs/>
          <w:color w:val="000000" w:themeColor="text1"/>
        </w:rPr>
        <w:t>Sistem</w:t>
      </w:r>
      <w:proofErr w:type="spellEnd"/>
      <w:r>
        <w:rPr>
          <w:rFonts w:cstheme="minorHAnsi"/>
          <w:i/>
          <w:iCs/>
          <w:color w:val="000000" w:themeColor="text1"/>
        </w:rPr>
        <w:t xml:space="preserve"> Elektronik </w:t>
      </w:r>
      <w:r>
        <w:rPr>
          <w:rFonts w:cstheme="minorHAnsi"/>
          <w:color w:val="000000" w:themeColor="text1"/>
        </w:rPr>
        <w:t xml:space="preserve">(Electronic System-based Trading) </w:t>
      </w:r>
    </w:p>
    <w:p w14:paraId="69C61259" w14:textId="7F6E3E07" w:rsidR="00165956" w:rsidRPr="00784869" w:rsidRDefault="00165956" w:rsidP="00E05065">
      <w:pPr>
        <w:ind w:left="0" w:firstLine="0"/>
        <w:jc w:val="both"/>
        <w:rPr>
          <w:rFonts w:cstheme="minorHAnsi"/>
          <w:color w:val="000000" w:themeColor="text1"/>
        </w:rPr>
      </w:pPr>
      <w:r>
        <w:rPr>
          <w:rFonts w:cstheme="minorHAnsi"/>
          <w:color w:val="000000" w:themeColor="text1"/>
        </w:rPr>
        <w:t>PSC</w:t>
      </w:r>
      <w:r>
        <w:rPr>
          <w:rFonts w:cstheme="minorHAnsi"/>
          <w:color w:val="000000" w:themeColor="text1"/>
        </w:rPr>
        <w:tab/>
      </w:r>
      <w:r>
        <w:rPr>
          <w:rFonts w:cstheme="minorHAnsi"/>
          <w:color w:val="000000" w:themeColor="text1"/>
        </w:rPr>
        <w:tab/>
        <w:t>Production-sharing Contract</w:t>
      </w:r>
    </w:p>
    <w:p w14:paraId="6A2EA08A" w14:textId="56BD12F1" w:rsidR="00C6011E" w:rsidRDefault="00C6011E" w:rsidP="00E05065">
      <w:pPr>
        <w:ind w:left="0" w:firstLine="0"/>
        <w:jc w:val="both"/>
        <w:rPr>
          <w:rFonts w:cstheme="minorHAnsi"/>
          <w:color w:val="000000" w:themeColor="text1"/>
        </w:rPr>
      </w:pPr>
      <w:r>
        <w:rPr>
          <w:rFonts w:cstheme="minorHAnsi"/>
          <w:color w:val="000000" w:themeColor="text1"/>
        </w:rPr>
        <w:t>PTO</w:t>
      </w:r>
      <w:r>
        <w:rPr>
          <w:rFonts w:cstheme="minorHAnsi"/>
          <w:color w:val="000000" w:themeColor="text1"/>
        </w:rPr>
        <w:tab/>
      </w:r>
      <w:r>
        <w:rPr>
          <w:rFonts w:cstheme="minorHAnsi"/>
          <w:color w:val="000000" w:themeColor="text1"/>
        </w:rPr>
        <w:tab/>
        <w:t>Primary Tax Office</w:t>
      </w:r>
    </w:p>
    <w:p w14:paraId="3A4F097C" w14:textId="0DA242CF" w:rsidR="00E03431" w:rsidRDefault="00E03431" w:rsidP="00E05065">
      <w:pPr>
        <w:ind w:left="0" w:firstLine="0"/>
        <w:jc w:val="both"/>
        <w:rPr>
          <w:rFonts w:cstheme="minorHAnsi"/>
          <w:color w:val="000000" w:themeColor="text1"/>
        </w:rPr>
      </w:pPr>
      <w:r>
        <w:rPr>
          <w:rFonts w:cstheme="minorHAnsi"/>
          <w:color w:val="000000" w:themeColor="text1"/>
        </w:rPr>
        <w:t>RCT</w:t>
      </w:r>
      <w:r>
        <w:rPr>
          <w:rFonts w:cstheme="minorHAnsi"/>
          <w:color w:val="000000" w:themeColor="text1"/>
        </w:rPr>
        <w:tab/>
      </w:r>
      <w:r>
        <w:rPr>
          <w:rFonts w:cstheme="minorHAnsi"/>
          <w:color w:val="000000" w:themeColor="text1"/>
        </w:rPr>
        <w:tab/>
        <w:t>Randomized Control Trial</w:t>
      </w:r>
    </w:p>
    <w:p w14:paraId="48B62C12" w14:textId="53FF67F8" w:rsidR="00784869" w:rsidRDefault="00784869" w:rsidP="00E05065">
      <w:pPr>
        <w:ind w:left="0" w:firstLine="0"/>
        <w:jc w:val="both"/>
        <w:rPr>
          <w:rFonts w:cstheme="minorHAnsi"/>
          <w:color w:val="000000" w:themeColor="text1"/>
        </w:rPr>
      </w:pPr>
      <w:r>
        <w:rPr>
          <w:rFonts w:cstheme="minorHAnsi"/>
          <w:color w:val="000000" w:themeColor="text1"/>
        </w:rPr>
        <w:t>RTIR</w:t>
      </w:r>
      <w:r>
        <w:rPr>
          <w:rFonts w:cstheme="minorHAnsi"/>
          <w:color w:val="000000" w:themeColor="text1"/>
        </w:rPr>
        <w:tab/>
      </w:r>
      <w:r>
        <w:rPr>
          <w:rFonts w:cstheme="minorHAnsi"/>
          <w:color w:val="000000" w:themeColor="text1"/>
        </w:rPr>
        <w:tab/>
        <w:t>Real-Time Information Reporting</w:t>
      </w:r>
    </w:p>
    <w:p w14:paraId="3736A5D6" w14:textId="069087D8" w:rsidR="00C6011E" w:rsidRDefault="00C6011E" w:rsidP="00E05065">
      <w:pPr>
        <w:ind w:left="0" w:firstLine="0"/>
        <w:jc w:val="both"/>
        <w:rPr>
          <w:rFonts w:cstheme="minorHAnsi"/>
          <w:color w:val="000000" w:themeColor="text1"/>
        </w:rPr>
      </w:pPr>
      <w:r>
        <w:rPr>
          <w:rFonts w:cstheme="minorHAnsi"/>
          <w:color w:val="000000" w:themeColor="text1"/>
        </w:rPr>
        <w:t>SEZ</w:t>
      </w:r>
      <w:r>
        <w:rPr>
          <w:rFonts w:cstheme="minorHAnsi"/>
          <w:color w:val="000000" w:themeColor="text1"/>
        </w:rPr>
        <w:tab/>
      </w:r>
      <w:r>
        <w:rPr>
          <w:rFonts w:cstheme="minorHAnsi"/>
          <w:color w:val="000000" w:themeColor="text1"/>
        </w:rPr>
        <w:tab/>
        <w:t>Special Economic Zone</w:t>
      </w:r>
    </w:p>
    <w:p w14:paraId="2F56926C" w14:textId="65E95DCE" w:rsidR="00165956" w:rsidRDefault="00165956" w:rsidP="00E05065">
      <w:pPr>
        <w:ind w:left="0" w:firstLine="0"/>
        <w:jc w:val="both"/>
        <w:rPr>
          <w:rFonts w:cstheme="minorHAnsi"/>
          <w:color w:val="000000" w:themeColor="text1"/>
        </w:rPr>
      </w:pPr>
      <w:r>
        <w:rPr>
          <w:rFonts w:cstheme="minorHAnsi"/>
          <w:color w:val="000000" w:themeColor="text1"/>
        </w:rPr>
        <w:t>S-VAT</w:t>
      </w:r>
      <w:r>
        <w:rPr>
          <w:rFonts w:cstheme="minorHAnsi"/>
          <w:color w:val="000000" w:themeColor="text1"/>
        </w:rPr>
        <w:tab/>
      </w:r>
      <w:r>
        <w:rPr>
          <w:rFonts w:cstheme="minorHAnsi"/>
          <w:color w:val="000000" w:themeColor="text1"/>
        </w:rPr>
        <w:tab/>
        <w:t>Simplified VAT</w:t>
      </w:r>
    </w:p>
    <w:p w14:paraId="157F6842" w14:textId="1BA2917B" w:rsidR="00165956" w:rsidRDefault="00165956" w:rsidP="00E05065">
      <w:pPr>
        <w:ind w:left="0" w:firstLine="0"/>
        <w:jc w:val="both"/>
        <w:rPr>
          <w:rFonts w:cstheme="minorHAnsi"/>
          <w:color w:val="000000" w:themeColor="text1"/>
        </w:rPr>
      </w:pPr>
      <w:r>
        <w:rPr>
          <w:rFonts w:cstheme="minorHAnsi"/>
          <w:color w:val="000000" w:themeColor="text1"/>
        </w:rPr>
        <w:t>THL</w:t>
      </w:r>
      <w:r>
        <w:rPr>
          <w:rFonts w:cstheme="minorHAnsi"/>
          <w:color w:val="000000" w:themeColor="text1"/>
        </w:rPr>
        <w:tab/>
      </w:r>
      <w:r>
        <w:rPr>
          <w:rFonts w:cstheme="minorHAnsi"/>
          <w:color w:val="000000" w:themeColor="text1"/>
        </w:rPr>
        <w:tab/>
        <w:t>Tax Harmonization Law</w:t>
      </w:r>
    </w:p>
    <w:p w14:paraId="2171C8F4" w14:textId="3504D974" w:rsidR="00E03431" w:rsidRDefault="00FD66AB" w:rsidP="00E05065">
      <w:pPr>
        <w:ind w:left="0" w:firstLine="0"/>
        <w:jc w:val="both"/>
        <w:rPr>
          <w:rFonts w:cstheme="minorHAnsi"/>
          <w:color w:val="000000" w:themeColor="text1"/>
        </w:rPr>
      </w:pPr>
      <w:r>
        <w:rPr>
          <w:rFonts w:cstheme="minorHAnsi"/>
          <w:color w:val="000000" w:themeColor="text1"/>
        </w:rPr>
        <w:t>VAT</w:t>
      </w:r>
      <w:r>
        <w:rPr>
          <w:rFonts w:cstheme="minorHAnsi"/>
          <w:color w:val="000000" w:themeColor="text1"/>
        </w:rPr>
        <w:tab/>
      </w:r>
      <w:r>
        <w:rPr>
          <w:rFonts w:cstheme="minorHAnsi"/>
          <w:color w:val="000000" w:themeColor="text1"/>
        </w:rPr>
        <w:tab/>
        <w:t>Value-added Tax</w:t>
      </w:r>
    </w:p>
    <w:p w14:paraId="779B93C5" w14:textId="01249EE0" w:rsidR="00C6011E" w:rsidRDefault="00E03431" w:rsidP="00C6011E">
      <w:pPr>
        <w:ind w:left="0" w:firstLine="0"/>
        <w:jc w:val="both"/>
        <w:rPr>
          <w:rFonts w:cstheme="minorHAnsi"/>
          <w:color w:val="000000" w:themeColor="text1"/>
        </w:rPr>
      </w:pPr>
      <w:r>
        <w:rPr>
          <w:rFonts w:cstheme="minorHAnsi"/>
          <w:color w:val="000000" w:themeColor="text1"/>
        </w:rPr>
        <w:t>WBES</w:t>
      </w:r>
      <w:r>
        <w:rPr>
          <w:rFonts w:cstheme="minorHAnsi"/>
          <w:color w:val="000000" w:themeColor="text1"/>
        </w:rPr>
        <w:tab/>
      </w:r>
      <w:r>
        <w:rPr>
          <w:rFonts w:cstheme="minorHAnsi"/>
          <w:color w:val="000000" w:themeColor="text1"/>
        </w:rPr>
        <w:tab/>
        <w:t>World Bank Enterprise Survey</w:t>
      </w:r>
    </w:p>
    <w:p w14:paraId="7494834D" w14:textId="647ECAED" w:rsidR="008C1930" w:rsidRDefault="00C6011E" w:rsidP="003445A0">
      <w:pPr>
        <w:ind w:left="0" w:firstLine="0"/>
        <w:jc w:val="both"/>
        <w:rPr>
          <w:rFonts w:asciiTheme="majorHAnsi" w:eastAsiaTheme="majorEastAsia" w:hAnsiTheme="majorHAnsi" w:cstheme="majorBidi"/>
          <w:color w:val="2F5496" w:themeColor="accent1" w:themeShade="BF"/>
          <w:sz w:val="32"/>
          <w:szCs w:val="32"/>
        </w:rPr>
      </w:pPr>
      <w:r>
        <w:rPr>
          <w:rFonts w:cstheme="minorHAnsi"/>
          <w:color w:val="000000" w:themeColor="text1"/>
        </w:rPr>
        <w:t>XTO</w:t>
      </w:r>
      <w:r>
        <w:rPr>
          <w:rFonts w:cstheme="minorHAnsi"/>
          <w:color w:val="000000" w:themeColor="text1"/>
        </w:rPr>
        <w:tab/>
      </w:r>
      <w:r>
        <w:rPr>
          <w:rFonts w:cstheme="minorHAnsi"/>
          <w:color w:val="000000" w:themeColor="text1"/>
        </w:rPr>
        <w:tab/>
        <w:t>Special Tax Office</w:t>
      </w:r>
      <w:r w:rsidR="008C1930">
        <w:br w:type="page"/>
      </w:r>
    </w:p>
    <w:p w14:paraId="0EEA83F0" w14:textId="30D19D83" w:rsidR="00E05065" w:rsidRDefault="00E05065" w:rsidP="0046438C">
      <w:pPr>
        <w:pStyle w:val="Heading1"/>
      </w:pPr>
      <w:bookmarkStart w:id="4" w:name="_Toc177819029"/>
      <w:r>
        <w:lastRenderedPageBreak/>
        <w:t>Executive Summary</w:t>
      </w:r>
      <w:bookmarkEnd w:id="4"/>
    </w:p>
    <w:p w14:paraId="55D43ED1" w14:textId="4C14A53F" w:rsidR="00E05065" w:rsidRDefault="00E05065" w:rsidP="00E05065">
      <w:pPr>
        <w:ind w:left="0" w:firstLine="0"/>
        <w:jc w:val="both"/>
      </w:pPr>
      <w:r w:rsidRPr="006603F9">
        <w:rPr>
          <w:b/>
          <w:bCs/>
        </w:rPr>
        <w:t xml:space="preserve">Indonesia is a middle-income country with distinctly low tax collections. </w:t>
      </w:r>
      <w:r>
        <w:t>At just 9.1 percent of GDP in 2021, Indonesia’s tax revenues are well below those of peer countries such as Cambodia (16.4 percent), the Philippines (14.1 percent), Viet</w:t>
      </w:r>
      <w:r w:rsidR="003829C2">
        <w:t xml:space="preserve"> N</w:t>
      </w:r>
      <w:r>
        <w:t>am (12.8 percent), Malaysia (11.2 percent), and middle-income countries</w:t>
      </w:r>
      <w:r w:rsidRPr="001E74FF">
        <w:t xml:space="preserve"> more generally (10.9 percent). </w:t>
      </w:r>
      <w:r>
        <w:t>Long-running challenges in raising tax revenues have constrained the government’s fiscal envelope and</w:t>
      </w:r>
      <w:r w:rsidR="003829C2">
        <w:t>,</w:t>
      </w:r>
      <w:r>
        <w:t xml:space="preserve"> there</w:t>
      </w:r>
      <w:r w:rsidR="003829C2">
        <w:t>fore,</w:t>
      </w:r>
      <w:r>
        <w:t xml:space="preserve"> its ability to tackle key impediments to higher long-</w:t>
      </w:r>
      <w:r w:rsidR="003829C2">
        <w:t>term</w:t>
      </w:r>
      <w:r>
        <w:t xml:space="preserve"> growth.</w:t>
      </w:r>
    </w:p>
    <w:p w14:paraId="4A7AAD58" w14:textId="0F4E9841" w:rsidR="00E05065" w:rsidRDefault="00E05065" w:rsidP="00E05065">
      <w:pPr>
        <w:ind w:left="0" w:firstLine="0"/>
        <w:jc w:val="both"/>
      </w:pPr>
      <w:r w:rsidRPr="00D5264B">
        <w:rPr>
          <w:b/>
          <w:bCs/>
        </w:rPr>
        <w:t>A</w:t>
      </w:r>
      <w:r w:rsidR="003829C2">
        <w:rPr>
          <w:b/>
          <w:bCs/>
        </w:rPr>
        <w:t>bout</w:t>
      </w:r>
      <w:r w:rsidRPr="00D5264B">
        <w:rPr>
          <w:b/>
          <w:bCs/>
        </w:rPr>
        <w:t xml:space="preserve"> two</w:t>
      </w:r>
      <w:r w:rsidR="003829C2">
        <w:rPr>
          <w:b/>
          <w:bCs/>
        </w:rPr>
        <w:t>-</w:t>
      </w:r>
      <w:r w:rsidRPr="00D5264B">
        <w:rPr>
          <w:b/>
          <w:bCs/>
        </w:rPr>
        <w:t xml:space="preserve">thirds of Indonesia’s tax take is comprised of business </w:t>
      </w:r>
      <w:r>
        <w:rPr>
          <w:b/>
          <w:bCs/>
        </w:rPr>
        <w:t xml:space="preserve">income </w:t>
      </w:r>
      <w:r w:rsidRPr="00D5264B">
        <w:rPr>
          <w:b/>
          <w:bCs/>
        </w:rPr>
        <w:t>taxes</w:t>
      </w:r>
      <w:r>
        <w:rPr>
          <w:b/>
          <w:bCs/>
        </w:rPr>
        <w:t xml:space="preserve"> and value-added tax</w:t>
      </w:r>
      <w:r w:rsidR="001C2E38">
        <w:rPr>
          <w:b/>
          <w:bCs/>
        </w:rPr>
        <w:t xml:space="preserve"> (VAT)</w:t>
      </w:r>
      <w:r>
        <w:rPr>
          <w:b/>
          <w:bCs/>
        </w:rPr>
        <w:t>,</w:t>
      </w:r>
      <w:r w:rsidRPr="00D5264B">
        <w:rPr>
          <w:b/>
          <w:bCs/>
        </w:rPr>
        <w:t xml:space="preserve"> and </w:t>
      </w:r>
      <w:r>
        <w:rPr>
          <w:b/>
          <w:bCs/>
        </w:rPr>
        <w:t xml:space="preserve">the combined </w:t>
      </w:r>
      <w:r w:rsidRPr="00D5264B">
        <w:rPr>
          <w:b/>
          <w:bCs/>
        </w:rPr>
        <w:t xml:space="preserve">share </w:t>
      </w:r>
      <w:r>
        <w:rPr>
          <w:b/>
          <w:bCs/>
        </w:rPr>
        <w:t xml:space="preserve">of these types of taxes </w:t>
      </w:r>
      <w:r w:rsidRPr="00D5264B">
        <w:rPr>
          <w:b/>
          <w:bCs/>
        </w:rPr>
        <w:t>has grown in recent decades.</w:t>
      </w:r>
      <w:r w:rsidRPr="00BD3593">
        <w:t xml:space="preserve"> Nonetheless, Indonesia collects much less in </w:t>
      </w:r>
      <w:r>
        <w:t xml:space="preserve">these </w:t>
      </w:r>
      <w:r w:rsidRPr="00BD3593">
        <w:t>taxes than it ought to be able to</w:t>
      </w:r>
      <w:r w:rsidR="001C2E38">
        <w:rPr>
          <w:rFonts w:cstheme="minorHAnsi"/>
        </w:rPr>
        <w:t>–</w:t>
      </w:r>
      <w:r>
        <w:t>owing to high eligibility thresholds, generous reduced-rate incentives, and low taxpayer compliance</w:t>
      </w:r>
      <w:r w:rsidRPr="00BD3593">
        <w:t xml:space="preserve">. </w:t>
      </w:r>
      <w:r>
        <w:t xml:space="preserve">Policy </w:t>
      </w:r>
      <w:r w:rsidRPr="00BD3593">
        <w:t xml:space="preserve">and compliance gaps </w:t>
      </w:r>
      <w:r>
        <w:t xml:space="preserve">in corporate income tax (CIT) and VAT alone could be responsible for as much </w:t>
      </w:r>
      <w:r w:rsidRPr="00C7256B">
        <w:t>as 6.</w:t>
      </w:r>
      <w:r>
        <w:t>4</w:t>
      </w:r>
      <w:r w:rsidRPr="00C7256B">
        <w:t xml:space="preserve"> percent</w:t>
      </w:r>
      <w:r w:rsidRPr="00BD3593">
        <w:t xml:space="preserve"> of GDP</w:t>
      </w:r>
      <w:r>
        <w:t xml:space="preserve"> in revenue losses</w:t>
      </w:r>
      <w:r w:rsidRPr="00BD3593">
        <w:t>.</w:t>
      </w:r>
      <w:r>
        <w:t xml:space="preserve"> A close investigation of these taxes is</w:t>
      </w:r>
      <w:r w:rsidR="001C2E38">
        <w:t>,</w:t>
      </w:r>
      <w:r>
        <w:t xml:space="preserve"> therefore</w:t>
      </w:r>
      <w:r w:rsidR="001C2E38">
        <w:t>,</w:t>
      </w:r>
      <w:r>
        <w:t xml:space="preserve"> warranted as a foundation of any strategy aimed at tackling Indonesia’s tax revenue challenges. While a lot has been written on the VAT and CIT in Indonesia over the years, there has been limited effort to provide a consolidated perspective. </w:t>
      </w:r>
    </w:p>
    <w:p w14:paraId="5F58E581" w14:textId="06FF5318" w:rsidR="00E05065" w:rsidRDefault="00E05065" w:rsidP="00E05065">
      <w:pPr>
        <w:ind w:left="0" w:firstLine="0"/>
        <w:jc w:val="both"/>
      </w:pPr>
      <w:r w:rsidRPr="00A77EF5">
        <w:rPr>
          <w:b/>
          <w:bCs/>
        </w:rPr>
        <w:t xml:space="preserve">This paper reviews the policy frameworks of three </w:t>
      </w:r>
      <w:r>
        <w:rPr>
          <w:b/>
          <w:bCs/>
        </w:rPr>
        <w:t>major taxes in Indonesia</w:t>
      </w:r>
      <w:r w:rsidRPr="00A77EF5">
        <w:rPr>
          <w:b/>
          <w:bCs/>
        </w:rPr>
        <w:t>:</w:t>
      </w:r>
      <w:r>
        <w:t xml:space="preserve"> </w:t>
      </w:r>
      <w:r w:rsidR="000F2282">
        <w:t xml:space="preserve">the </w:t>
      </w:r>
      <w:r w:rsidR="001C2E38">
        <w:t>CIT</w:t>
      </w:r>
      <w:r w:rsidRPr="004850D6">
        <w:t xml:space="preserve">, the alternative final tax (AFT) for </w:t>
      </w:r>
      <w:r>
        <w:t>micro, small, and medium enterprises (</w:t>
      </w:r>
      <w:r w:rsidRPr="004850D6">
        <w:t>MSMEs</w:t>
      </w:r>
      <w:r>
        <w:t>)</w:t>
      </w:r>
      <w:r w:rsidRPr="004850D6">
        <w:t xml:space="preserve">, and </w:t>
      </w:r>
      <w:r w:rsidR="000F2282">
        <w:t xml:space="preserve">the </w:t>
      </w:r>
      <w:r w:rsidR="001C2E38">
        <w:t>VAT</w:t>
      </w:r>
      <w:r w:rsidRPr="004850D6">
        <w:t>.</w:t>
      </w:r>
      <w:r>
        <w:t xml:space="preserve"> It serves as a </w:t>
      </w:r>
      <w:proofErr w:type="spellStart"/>
      <w:r>
        <w:t>stocktake</w:t>
      </w:r>
      <w:proofErr w:type="spellEnd"/>
      <w:r>
        <w:t xml:space="preserve"> of existing knowledge on these three taxes. </w:t>
      </w:r>
      <w:r>
        <w:rPr>
          <w:color w:val="000000" w:themeColor="text1"/>
        </w:rPr>
        <w:t>The paper identifies major changes in CIT, AFT, and VAT policies since their first adoption. Next, it reviews the design elements of these instruments by delving into legislative and regulatory details, as well as elements of tax administration and compliance, and by drawing comparisons with peer countries in the region. Finally</w:t>
      </w:r>
      <w:r w:rsidRPr="00390D4E">
        <w:rPr>
          <w:color w:val="000000" w:themeColor="text1"/>
        </w:rPr>
        <w:t xml:space="preserve">, it </w:t>
      </w:r>
      <w:r>
        <w:rPr>
          <w:color w:val="000000" w:themeColor="text1"/>
        </w:rPr>
        <w:t xml:space="preserve">draws on the preceding discussion to outline </w:t>
      </w:r>
      <w:r w:rsidRPr="00390D4E">
        <w:rPr>
          <w:color w:val="000000" w:themeColor="text1"/>
        </w:rPr>
        <w:t>a set of policy</w:t>
      </w:r>
      <w:r>
        <w:rPr>
          <w:color w:val="000000" w:themeColor="text1"/>
        </w:rPr>
        <w:t xml:space="preserve"> recommendations</w:t>
      </w:r>
      <w:r w:rsidRPr="00390D4E">
        <w:t>.</w:t>
      </w:r>
      <w:r>
        <w:t xml:space="preserve"> </w:t>
      </w:r>
    </w:p>
    <w:p w14:paraId="70696C36" w14:textId="5208B951" w:rsidR="00E05065" w:rsidRDefault="00E05065" w:rsidP="00E05065">
      <w:pPr>
        <w:spacing w:after="240"/>
        <w:ind w:left="0" w:firstLine="0"/>
        <w:jc w:val="both"/>
      </w:pPr>
      <w:r w:rsidRPr="002F6EEB">
        <w:rPr>
          <w:b/>
          <w:bCs/>
        </w:rPr>
        <w:t>Indonesia’s CIT is a relatively standard tax on business profits.</w:t>
      </w:r>
      <w:r>
        <w:t xml:space="preserve"> The </w:t>
      </w:r>
      <w:r w:rsidRPr="00307568">
        <w:t xml:space="preserve">statutory CIT rate </w:t>
      </w:r>
      <w:r>
        <w:t xml:space="preserve">of 22 percent </w:t>
      </w:r>
      <w:r w:rsidRPr="00307568">
        <w:t xml:space="preserve">is below the global average but falls within the mid-range among </w:t>
      </w:r>
      <w:r w:rsidRPr="00C82CFE">
        <w:t>Southeast</w:t>
      </w:r>
      <w:r>
        <w:t xml:space="preserve"> Asian </w:t>
      </w:r>
      <w:r w:rsidRPr="00307568">
        <w:t>peer countries</w:t>
      </w:r>
      <w:r>
        <w:t xml:space="preserve">. However, there are several conditions under which firms may pay </w:t>
      </w:r>
      <w:proofErr w:type="gramStart"/>
      <w:r>
        <w:t>less</w:t>
      </w:r>
      <w:r w:rsidR="001C2E38">
        <w:rPr>
          <w:rFonts w:cstheme="minorHAnsi"/>
        </w:rPr>
        <w:t>–</w:t>
      </w:r>
      <w:r>
        <w:t>includ</w:t>
      </w:r>
      <w:r w:rsidR="001C2E38">
        <w:t>ing</w:t>
      </w:r>
      <w:proofErr w:type="gramEnd"/>
      <w:r w:rsidR="001C2E38">
        <w:t xml:space="preserve"> </w:t>
      </w:r>
      <w:r>
        <w:t>via various tax incentives, as well as special alternative regimes for the construction sector, real estate sector, and all MSMEs. Such special arrangements either reduce the CIT rate or narrow the base</w:t>
      </w:r>
      <w:r w:rsidR="001C2E38">
        <w:rPr>
          <w:rFonts w:cstheme="minorHAnsi"/>
        </w:rPr>
        <w:t>–</w:t>
      </w:r>
      <w:r>
        <w:t>thereby eroding public revenues. Some have weak economic justification. These arrangements are also sometimes unnecessarily complex. In addition to these generous provisions of the tax code, there is also considerable evidence of low taxpayer compliance with the CIT.</w:t>
      </w:r>
    </w:p>
    <w:tbl>
      <w:tblPr>
        <w:tblStyle w:val="TableGrid"/>
        <w:tblW w:w="8995" w:type="dxa"/>
        <w:tblLayout w:type="fixed"/>
        <w:tblLook w:val="04A0" w:firstRow="1" w:lastRow="0" w:firstColumn="1" w:lastColumn="0" w:noHBand="0" w:noVBand="1"/>
      </w:tblPr>
      <w:tblGrid>
        <w:gridCol w:w="8995"/>
      </w:tblGrid>
      <w:tr w:rsidR="00E05065" w:rsidRPr="00D40044" w14:paraId="3F73A905" w14:textId="77777777" w:rsidTr="00947F45">
        <w:tc>
          <w:tcPr>
            <w:tcW w:w="8995" w:type="dxa"/>
            <w:tcBorders>
              <w:right w:val="nil"/>
            </w:tcBorders>
            <w:shd w:val="clear" w:color="auto" w:fill="DBDBDB" w:themeFill="accent3" w:themeFillTint="66"/>
            <w:vAlign w:val="center"/>
          </w:tcPr>
          <w:p w14:paraId="17695878" w14:textId="77777777" w:rsidR="00E05065" w:rsidRPr="00D40044" w:rsidRDefault="00E05065" w:rsidP="00947F45">
            <w:pPr>
              <w:spacing w:before="20" w:after="20"/>
              <w:ind w:left="0" w:firstLine="0"/>
              <w:rPr>
                <w:b/>
                <w:bCs/>
                <w:sz w:val="20"/>
                <w:szCs w:val="20"/>
              </w:rPr>
            </w:pPr>
            <w:r>
              <w:rPr>
                <w:b/>
                <w:bCs/>
                <w:sz w:val="20"/>
                <w:szCs w:val="20"/>
              </w:rPr>
              <w:t>Key Recommendations for the CIT</w:t>
            </w:r>
          </w:p>
        </w:tc>
      </w:tr>
      <w:tr w:rsidR="00E05065" w:rsidRPr="00D40044" w14:paraId="3D8FC52A" w14:textId="77777777" w:rsidTr="00947F45">
        <w:tc>
          <w:tcPr>
            <w:tcW w:w="8995" w:type="dxa"/>
            <w:vAlign w:val="center"/>
          </w:tcPr>
          <w:p w14:paraId="5327EBD9" w14:textId="77777777" w:rsidR="00E05065" w:rsidRPr="00D40044" w:rsidRDefault="00E05065" w:rsidP="00E05065">
            <w:pPr>
              <w:pStyle w:val="ListParagraph"/>
              <w:numPr>
                <w:ilvl w:val="0"/>
                <w:numId w:val="30"/>
              </w:numPr>
              <w:spacing w:before="20" w:after="20"/>
              <w:rPr>
                <w:sz w:val="20"/>
                <w:szCs w:val="20"/>
              </w:rPr>
            </w:pPr>
            <w:r w:rsidRPr="00D40044">
              <w:rPr>
                <w:sz w:val="20"/>
                <w:szCs w:val="20"/>
              </w:rPr>
              <w:t>Withdraw special treatment of the construction services sector.</w:t>
            </w:r>
          </w:p>
        </w:tc>
      </w:tr>
      <w:tr w:rsidR="00E05065" w:rsidRPr="00D40044" w14:paraId="3D8DD1FD" w14:textId="77777777" w:rsidTr="00947F45">
        <w:tc>
          <w:tcPr>
            <w:tcW w:w="8995" w:type="dxa"/>
            <w:vAlign w:val="center"/>
          </w:tcPr>
          <w:p w14:paraId="4F8BB439" w14:textId="4A12BA31" w:rsidR="00E05065" w:rsidRPr="00D40044" w:rsidRDefault="00E05065" w:rsidP="00E05065">
            <w:pPr>
              <w:pStyle w:val="ListParagraph"/>
              <w:numPr>
                <w:ilvl w:val="0"/>
                <w:numId w:val="30"/>
              </w:numPr>
              <w:spacing w:before="20" w:after="20"/>
              <w:rPr>
                <w:sz w:val="20"/>
                <w:szCs w:val="20"/>
              </w:rPr>
            </w:pPr>
            <w:r w:rsidRPr="00D40044">
              <w:rPr>
                <w:sz w:val="20"/>
                <w:szCs w:val="20"/>
              </w:rPr>
              <w:t>Withdraw special treatment of publicly</w:t>
            </w:r>
            <w:r w:rsidR="00FD66AB">
              <w:rPr>
                <w:sz w:val="20"/>
                <w:szCs w:val="20"/>
              </w:rPr>
              <w:t xml:space="preserve"> </w:t>
            </w:r>
            <w:r w:rsidRPr="00D40044">
              <w:rPr>
                <w:sz w:val="20"/>
                <w:szCs w:val="20"/>
              </w:rPr>
              <w:t>listed firms.</w:t>
            </w:r>
          </w:p>
        </w:tc>
      </w:tr>
      <w:tr w:rsidR="00E05065" w:rsidRPr="00D40044" w14:paraId="7A527D04" w14:textId="77777777" w:rsidTr="00947F45">
        <w:tc>
          <w:tcPr>
            <w:tcW w:w="8995" w:type="dxa"/>
            <w:vAlign w:val="center"/>
          </w:tcPr>
          <w:p w14:paraId="04BDA43D" w14:textId="77777777" w:rsidR="00E05065" w:rsidRPr="00D40044" w:rsidRDefault="00E05065" w:rsidP="00E05065">
            <w:pPr>
              <w:pStyle w:val="ListParagraph"/>
              <w:numPr>
                <w:ilvl w:val="0"/>
                <w:numId w:val="30"/>
              </w:numPr>
              <w:spacing w:before="20" w:after="20"/>
              <w:rPr>
                <w:sz w:val="20"/>
                <w:szCs w:val="20"/>
              </w:rPr>
            </w:pPr>
            <w:r w:rsidRPr="00D40044">
              <w:rPr>
                <w:sz w:val="20"/>
                <w:szCs w:val="20"/>
              </w:rPr>
              <w:t>Abolish the concessional CIT scheme for MSMEs.</w:t>
            </w:r>
          </w:p>
        </w:tc>
      </w:tr>
      <w:tr w:rsidR="00E05065" w:rsidRPr="00D40044" w14:paraId="276F5DA4" w14:textId="77777777" w:rsidTr="00947F45">
        <w:tc>
          <w:tcPr>
            <w:tcW w:w="8995" w:type="dxa"/>
            <w:vAlign w:val="center"/>
          </w:tcPr>
          <w:p w14:paraId="4992FFE2" w14:textId="1C74AFED" w:rsidR="00E05065" w:rsidRPr="00D40044" w:rsidRDefault="00E05065" w:rsidP="00E05065">
            <w:pPr>
              <w:pStyle w:val="ListParagraph"/>
              <w:numPr>
                <w:ilvl w:val="0"/>
                <w:numId w:val="30"/>
              </w:numPr>
              <w:spacing w:before="20" w:after="20"/>
              <w:rPr>
                <w:sz w:val="20"/>
                <w:szCs w:val="20"/>
              </w:rPr>
            </w:pPr>
            <w:r w:rsidRPr="00D40044">
              <w:rPr>
                <w:sz w:val="20"/>
                <w:szCs w:val="20"/>
              </w:rPr>
              <w:t>Eliminate all tax holidays</w:t>
            </w:r>
            <w:r>
              <w:rPr>
                <w:sz w:val="20"/>
                <w:szCs w:val="20"/>
              </w:rPr>
              <w:t>;</w:t>
            </w:r>
            <w:r w:rsidRPr="00D40044">
              <w:rPr>
                <w:sz w:val="20"/>
                <w:szCs w:val="20"/>
              </w:rPr>
              <w:t xml:space="preserve"> </w:t>
            </w:r>
            <w:proofErr w:type="gramStart"/>
            <w:r w:rsidRPr="00D40044">
              <w:rPr>
                <w:sz w:val="20"/>
                <w:szCs w:val="20"/>
              </w:rPr>
              <w:t>replace</w:t>
            </w:r>
            <w:proofErr w:type="gramEnd"/>
            <w:r w:rsidRPr="00D40044">
              <w:rPr>
                <w:sz w:val="20"/>
                <w:szCs w:val="20"/>
              </w:rPr>
              <w:t xml:space="preserve"> with cost-based incentives</w:t>
            </w:r>
            <w:r>
              <w:rPr>
                <w:sz w:val="20"/>
                <w:szCs w:val="20"/>
              </w:rPr>
              <w:t xml:space="preserve"> where necessary</w:t>
            </w:r>
            <w:r w:rsidR="00FD66AB">
              <w:rPr>
                <w:sz w:val="20"/>
                <w:szCs w:val="20"/>
              </w:rPr>
              <w:t>.</w:t>
            </w:r>
          </w:p>
        </w:tc>
      </w:tr>
    </w:tbl>
    <w:p w14:paraId="76681C90" w14:textId="4D9894A5" w:rsidR="008C1930" w:rsidRDefault="00E05065" w:rsidP="00E05065">
      <w:pPr>
        <w:spacing w:before="240" w:after="240"/>
        <w:ind w:left="0" w:firstLine="0"/>
        <w:jc w:val="both"/>
      </w:pPr>
      <w:r w:rsidRPr="00E275DF">
        <w:rPr>
          <w:b/>
          <w:bCs/>
        </w:rPr>
        <w:t>Indonesia’s AFT is a simplified alternative income tax scheme for new small businesses.</w:t>
      </w:r>
      <w:r>
        <w:t xml:space="preserve"> A final tax with a simple rate of 0.5 percent of gross turnover, and restricted eligibility of 3-4 years, the AFT provides a helping hand to new firms before they face the CIT’s more complex compliance requirements. There is sound justification for providing such simplified tax compliance requirements to the smallest firms and this paper assesses the AFT’s rate as being reasonable. However, a high eligibility threshold of R</w:t>
      </w:r>
      <w:r w:rsidR="00CB262B">
        <w:t>p</w:t>
      </w:r>
      <w:r>
        <w:t xml:space="preserve"> 4.8 billion in annual turnover allows many sizeable firms to also benefit from these provisions and increases the incentives for their abuse. The AFT also does not fully solve the problem of higher compliance burdens for small firms as all firms </w:t>
      </w:r>
      <w:r w:rsidR="001C2E38">
        <w:t>eventually</w:t>
      </w:r>
      <w:r>
        <w:t xml:space="preserve"> enter </w:t>
      </w:r>
      <w:proofErr w:type="gramStart"/>
      <w:r>
        <w:t>the CIT</w:t>
      </w:r>
      <w:proofErr w:type="gramEnd"/>
      <w:r>
        <w:t xml:space="preserve">. </w:t>
      </w:r>
    </w:p>
    <w:p w14:paraId="4AD2DF78" w14:textId="70CFCFF8" w:rsidR="00E05065" w:rsidRDefault="008C1930" w:rsidP="00914875">
      <w:r>
        <w:br w:type="page"/>
      </w:r>
    </w:p>
    <w:tbl>
      <w:tblPr>
        <w:tblStyle w:val="TableGrid"/>
        <w:tblW w:w="8995" w:type="dxa"/>
        <w:tblLayout w:type="fixed"/>
        <w:tblLook w:val="04A0" w:firstRow="1" w:lastRow="0" w:firstColumn="1" w:lastColumn="0" w:noHBand="0" w:noVBand="1"/>
      </w:tblPr>
      <w:tblGrid>
        <w:gridCol w:w="8995"/>
      </w:tblGrid>
      <w:tr w:rsidR="00E05065" w:rsidRPr="00D40044" w14:paraId="51C491AE" w14:textId="77777777" w:rsidTr="00947F45">
        <w:tc>
          <w:tcPr>
            <w:tcW w:w="8995" w:type="dxa"/>
            <w:tcBorders>
              <w:right w:val="nil"/>
            </w:tcBorders>
            <w:shd w:val="clear" w:color="auto" w:fill="DBDBDB" w:themeFill="accent3" w:themeFillTint="66"/>
            <w:vAlign w:val="center"/>
          </w:tcPr>
          <w:p w14:paraId="131CC52A" w14:textId="77777777" w:rsidR="00E05065" w:rsidRPr="00D40044" w:rsidRDefault="00E05065" w:rsidP="00947F45">
            <w:pPr>
              <w:spacing w:before="20" w:after="20"/>
              <w:ind w:left="0" w:firstLine="0"/>
              <w:rPr>
                <w:b/>
                <w:bCs/>
                <w:sz w:val="20"/>
                <w:szCs w:val="20"/>
              </w:rPr>
            </w:pPr>
            <w:r>
              <w:rPr>
                <w:b/>
                <w:bCs/>
                <w:sz w:val="20"/>
                <w:szCs w:val="20"/>
              </w:rPr>
              <w:lastRenderedPageBreak/>
              <w:t>Key Recommendations for the AFT</w:t>
            </w:r>
          </w:p>
        </w:tc>
      </w:tr>
      <w:tr w:rsidR="00E05065" w:rsidRPr="00D40044" w14:paraId="43B1F4A4" w14:textId="77777777" w:rsidTr="00947F45">
        <w:tc>
          <w:tcPr>
            <w:tcW w:w="8995" w:type="dxa"/>
            <w:vAlign w:val="center"/>
          </w:tcPr>
          <w:p w14:paraId="7D15AD9A" w14:textId="77777777" w:rsidR="00E05065" w:rsidRPr="00D40044" w:rsidRDefault="00E05065" w:rsidP="00E05065">
            <w:pPr>
              <w:pStyle w:val="ListParagraph"/>
              <w:numPr>
                <w:ilvl w:val="0"/>
                <w:numId w:val="31"/>
              </w:numPr>
              <w:spacing w:before="20" w:after="20"/>
              <w:ind w:left="429"/>
              <w:rPr>
                <w:sz w:val="20"/>
                <w:szCs w:val="20"/>
              </w:rPr>
            </w:pPr>
            <w:r w:rsidRPr="00D40044">
              <w:rPr>
                <w:sz w:val="20"/>
                <w:szCs w:val="20"/>
              </w:rPr>
              <w:t xml:space="preserve">Replace AFT with a new alternative scheme with </w:t>
            </w:r>
            <w:proofErr w:type="gramStart"/>
            <w:r w:rsidRPr="00D40044">
              <w:rPr>
                <w:sz w:val="20"/>
                <w:szCs w:val="20"/>
              </w:rPr>
              <w:t>lower</w:t>
            </w:r>
            <w:proofErr w:type="gramEnd"/>
            <w:r w:rsidRPr="00D40044">
              <w:rPr>
                <w:sz w:val="20"/>
                <w:szCs w:val="20"/>
              </w:rPr>
              <w:t xml:space="preserve"> eligibility threshold and no time restrictions. </w:t>
            </w:r>
          </w:p>
        </w:tc>
      </w:tr>
      <w:tr w:rsidR="00E05065" w:rsidRPr="00D40044" w14:paraId="197B0AA6" w14:textId="77777777" w:rsidTr="00947F45">
        <w:tc>
          <w:tcPr>
            <w:tcW w:w="8995" w:type="dxa"/>
            <w:vAlign w:val="center"/>
          </w:tcPr>
          <w:p w14:paraId="1D030F9F" w14:textId="77777777" w:rsidR="00E05065" w:rsidRPr="00D40044" w:rsidRDefault="00E05065" w:rsidP="00E05065">
            <w:pPr>
              <w:pStyle w:val="ListParagraph"/>
              <w:numPr>
                <w:ilvl w:val="0"/>
                <w:numId w:val="31"/>
              </w:numPr>
              <w:spacing w:before="20" w:after="20"/>
              <w:ind w:left="429"/>
              <w:rPr>
                <w:sz w:val="20"/>
                <w:szCs w:val="20"/>
              </w:rPr>
            </w:pPr>
            <w:r w:rsidRPr="00D40044">
              <w:rPr>
                <w:sz w:val="20"/>
                <w:szCs w:val="20"/>
              </w:rPr>
              <w:t>Withdraw the eligibility of incorporated firms.</w:t>
            </w:r>
          </w:p>
        </w:tc>
      </w:tr>
    </w:tbl>
    <w:p w14:paraId="20544B83" w14:textId="307C9622" w:rsidR="00E05065" w:rsidRDefault="00E05065" w:rsidP="00E05065">
      <w:pPr>
        <w:spacing w:before="240" w:after="240"/>
        <w:ind w:left="0" w:firstLine="0"/>
        <w:jc w:val="both"/>
      </w:pPr>
      <w:r w:rsidRPr="00555CEF">
        <w:rPr>
          <w:b/>
          <w:bCs/>
        </w:rPr>
        <w:t>At its core, Indonesia’s VAT is a standard tax on businesses’ value-added</w:t>
      </w:r>
      <w:r w:rsidR="00FC0968">
        <w:rPr>
          <w:b/>
          <w:bCs/>
        </w:rPr>
        <w:t>,</w:t>
      </w:r>
      <w:r w:rsidRPr="001C2E38">
        <w:rPr>
          <w:rStyle w:val="FootnoteReference"/>
          <w:b/>
          <w:bCs/>
        </w:rPr>
        <w:footnoteReference w:id="2"/>
      </w:r>
      <w:r w:rsidRPr="00FC0968">
        <w:rPr>
          <w:b/>
          <w:bCs/>
        </w:rPr>
        <w:t xml:space="preserve"> </w:t>
      </w:r>
      <w:r w:rsidR="00FC0968">
        <w:rPr>
          <w:b/>
          <w:bCs/>
        </w:rPr>
        <w:t xml:space="preserve">but </w:t>
      </w:r>
      <w:r w:rsidRPr="00FC0968">
        <w:rPr>
          <w:b/>
          <w:bCs/>
        </w:rPr>
        <w:t>several design choices add complexity, lower efficiency, and weaken revenue potential.</w:t>
      </w:r>
      <w:r>
        <w:t xml:space="preserve"> </w:t>
      </w:r>
      <w:r w:rsidRPr="00FA15CA">
        <w:t xml:space="preserve">At 11 percent, </w:t>
      </w:r>
      <w:r>
        <w:t xml:space="preserve">the VAT’s </w:t>
      </w:r>
      <w:r w:rsidRPr="00FA15CA">
        <w:t>statutory rate is below the average of middle-income countries.</w:t>
      </w:r>
      <w:r>
        <w:t xml:space="preserve"> </w:t>
      </w:r>
      <w:r w:rsidRPr="00E503F9">
        <w:t>The current VAT registration threshold is one of the highest in the world</w:t>
      </w:r>
      <w:r w:rsidR="001C2E38">
        <w:rPr>
          <w:rFonts w:cstheme="minorHAnsi"/>
        </w:rPr>
        <w:t>–</w:t>
      </w:r>
      <w:r w:rsidRPr="00E503F9">
        <w:t>creating incentives for firms to artificially reduce their business turnov</w:t>
      </w:r>
      <w:r>
        <w:t>er and remain outside the system</w:t>
      </w:r>
      <w:r w:rsidRPr="00E503F9">
        <w:t>.</w:t>
      </w:r>
      <w:r>
        <w:t xml:space="preserve"> A few </w:t>
      </w:r>
      <w:r w:rsidRPr="00FA15CA">
        <w:t xml:space="preserve">hard-to-tax sectors </w:t>
      </w:r>
      <w:r>
        <w:t xml:space="preserve">are subject to an alternative final VAT scheme where </w:t>
      </w:r>
      <w:proofErr w:type="gramStart"/>
      <w:r>
        <w:t>input VAT</w:t>
      </w:r>
      <w:proofErr w:type="gramEnd"/>
      <w:r>
        <w:t xml:space="preserve"> cannot be credited. Several other </w:t>
      </w:r>
      <w:r w:rsidRPr="0066041C">
        <w:t xml:space="preserve">categories of goods and services </w:t>
      </w:r>
      <w:r>
        <w:t xml:space="preserve">are also either excluded or exempted </w:t>
      </w:r>
      <w:r w:rsidRPr="0066041C">
        <w:t>from the VAT base</w:t>
      </w:r>
      <w:r>
        <w:t xml:space="preserve"> in a practice that is more far reaching than in </w:t>
      </w:r>
      <w:r w:rsidRPr="0066041C">
        <w:t>regional peers</w:t>
      </w:r>
      <w:r>
        <w:t xml:space="preserve">. All these special provisions </w:t>
      </w:r>
      <w:r w:rsidRPr="0066041C">
        <w:t>erode the VAT base and create cascading effect</w:t>
      </w:r>
      <w:r>
        <w:t>s</w:t>
      </w:r>
      <w:r w:rsidRPr="0066041C">
        <w:t xml:space="preserve"> by breaking VAT chains. </w:t>
      </w:r>
      <w:r>
        <w:t xml:space="preserve">Moreover, </w:t>
      </w:r>
      <w:r w:rsidRPr="0066041C">
        <w:t>VAT exemptions</w:t>
      </w:r>
      <w:r>
        <w:t xml:space="preserve"> are found to </w:t>
      </w:r>
      <w:r w:rsidRPr="0066041C">
        <w:t>disproportionately benefit richer households.</w:t>
      </w:r>
    </w:p>
    <w:tbl>
      <w:tblPr>
        <w:tblStyle w:val="TableGrid"/>
        <w:tblW w:w="8995" w:type="dxa"/>
        <w:tblLayout w:type="fixed"/>
        <w:tblLook w:val="04A0" w:firstRow="1" w:lastRow="0" w:firstColumn="1" w:lastColumn="0" w:noHBand="0" w:noVBand="1"/>
      </w:tblPr>
      <w:tblGrid>
        <w:gridCol w:w="8995"/>
      </w:tblGrid>
      <w:tr w:rsidR="00E05065" w:rsidRPr="00D40044" w14:paraId="57A36332" w14:textId="77777777" w:rsidTr="00947F45">
        <w:tc>
          <w:tcPr>
            <w:tcW w:w="8995" w:type="dxa"/>
            <w:tcBorders>
              <w:right w:val="nil"/>
            </w:tcBorders>
            <w:shd w:val="clear" w:color="auto" w:fill="DBDBDB" w:themeFill="accent3" w:themeFillTint="66"/>
            <w:vAlign w:val="center"/>
          </w:tcPr>
          <w:p w14:paraId="5CE1A5D2" w14:textId="77777777" w:rsidR="00E05065" w:rsidRPr="00D40044" w:rsidRDefault="00E05065" w:rsidP="00947F45">
            <w:pPr>
              <w:spacing w:before="20" w:after="20"/>
              <w:ind w:left="0" w:firstLine="0"/>
              <w:rPr>
                <w:b/>
                <w:bCs/>
                <w:sz w:val="20"/>
                <w:szCs w:val="20"/>
              </w:rPr>
            </w:pPr>
            <w:r>
              <w:rPr>
                <w:b/>
                <w:bCs/>
                <w:sz w:val="20"/>
                <w:szCs w:val="20"/>
              </w:rPr>
              <w:t xml:space="preserve">Key Recommendations for the </w:t>
            </w:r>
            <w:r w:rsidRPr="00D40044">
              <w:rPr>
                <w:b/>
                <w:bCs/>
                <w:sz w:val="20"/>
                <w:szCs w:val="20"/>
              </w:rPr>
              <w:t>VAT</w:t>
            </w:r>
          </w:p>
        </w:tc>
      </w:tr>
      <w:tr w:rsidR="00E05065" w:rsidRPr="00D40044" w14:paraId="45EBA7FD" w14:textId="77777777" w:rsidTr="00947F45">
        <w:tc>
          <w:tcPr>
            <w:tcW w:w="8995" w:type="dxa"/>
            <w:vAlign w:val="center"/>
          </w:tcPr>
          <w:p w14:paraId="3221634F" w14:textId="77777777" w:rsidR="00E05065" w:rsidRPr="00D40044" w:rsidRDefault="00E05065" w:rsidP="00E05065">
            <w:pPr>
              <w:pStyle w:val="ListParagraph"/>
              <w:numPr>
                <w:ilvl w:val="0"/>
                <w:numId w:val="34"/>
              </w:numPr>
              <w:spacing w:before="20" w:after="20"/>
              <w:ind w:left="421"/>
              <w:rPr>
                <w:sz w:val="20"/>
                <w:szCs w:val="20"/>
              </w:rPr>
            </w:pPr>
            <w:r>
              <w:rPr>
                <w:sz w:val="20"/>
                <w:szCs w:val="20"/>
              </w:rPr>
              <w:t>Reduce</w:t>
            </w:r>
            <w:r w:rsidRPr="00D40044">
              <w:rPr>
                <w:sz w:val="20"/>
                <w:szCs w:val="20"/>
              </w:rPr>
              <w:t xml:space="preserve"> the registration threshold.</w:t>
            </w:r>
          </w:p>
        </w:tc>
      </w:tr>
      <w:tr w:rsidR="00E05065" w:rsidRPr="00D40044" w14:paraId="7E287591" w14:textId="77777777" w:rsidTr="00947F45">
        <w:tc>
          <w:tcPr>
            <w:tcW w:w="8995" w:type="dxa"/>
            <w:vAlign w:val="center"/>
          </w:tcPr>
          <w:p w14:paraId="7C986A06" w14:textId="77777777" w:rsidR="00E05065" w:rsidRPr="00D40044" w:rsidRDefault="00E05065" w:rsidP="00E05065">
            <w:pPr>
              <w:pStyle w:val="ListParagraph"/>
              <w:numPr>
                <w:ilvl w:val="0"/>
                <w:numId w:val="34"/>
              </w:numPr>
              <w:spacing w:before="20" w:after="20"/>
              <w:ind w:left="420"/>
              <w:rPr>
                <w:sz w:val="20"/>
                <w:szCs w:val="20"/>
              </w:rPr>
            </w:pPr>
            <w:r>
              <w:rPr>
                <w:sz w:val="20"/>
                <w:szCs w:val="20"/>
              </w:rPr>
              <w:t>Limit</w:t>
            </w:r>
            <w:r w:rsidRPr="00D40044">
              <w:rPr>
                <w:sz w:val="20"/>
                <w:szCs w:val="20"/>
              </w:rPr>
              <w:t xml:space="preserve"> VAT exemptions.</w:t>
            </w:r>
          </w:p>
        </w:tc>
      </w:tr>
      <w:tr w:rsidR="00E05065" w:rsidRPr="00D40044" w14:paraId="54288885" w14:textId="77777777" w:rsidTr="00947F45">
        <w:tc>
          <w:tcPr>
            <w:tcW w:w="8995" w:type="dxa"/>
            <w:vAlign w:val="center"/>
          </w:tcPr>
          <w:p w14:paraId="71333296" w14:textId="1E213A95" w:rsidR="00E05065" w:rsidRPr="00D40044" w:rsidRDefault="00E05065" w:rsidP="00E05065">
            <w:pPr>
              <w:pStyle w:val="ListParagraph"/>
              <w:numPr>
                <w:ilvl w:val="0"/>
                <w:numId w:val="34"/>
              </w:numPr>
              <w:spacing w:before="20" w:after="20"/>
              <w:ind w:left="420"/>
              <w:rPr>
                <w:sz w:val="20"/>
                <w:szCs w:val="20"/>
              </w:rPr>
            </w:pPr>
            <w:r w:rsidRPr="00D40044">
              <w:rPr>
                <w:sz w:val="20"/>
                <w:szCs w:val="20"/>
              </w:rPr>
              <w:t>Increase the VAT rate in the medium</w:t>
            </w:r>
            <w:r w:rsidR="001C2E38">
              <w:rPr>
                <w:sz w:val="20"/>
                <w:szCs w:val="20"/>
              </w:rPr>
              <w:t xml:space="preserve"> </w:t>
            </w:r>
            <w:r w:rsidRPr="00D40044">
              <w:rPr>
                <w:sz w:val="20"/>
                <w:szCs w:val="20"/>
              </w:rPr>
              <w:t>term, while improving tax compliance measures.</w:t>
            </w:r>
          </w:p>
        </w:tc>
      </w:tr>
      <w:tr w:rsidR="00E05065" w:rsidRPr="00D40044" w14:paraId="4EBA9F9D" w14:textId="77777777" w:rsidTr="00947F45">
        <w:tc>
          <w:tcPr>
            <w:tcW w:w="8995" w:type="dxa"/>
            <w:vAlign w:val="center"/>
          </w:tcPr>
          <w:p w14:paraId="320A430A" w14:textId="3AB5FE5D" w:rsidR="00E05065" w:rsidRPr="00D40044" w:rsidRDefault="00E05065" w:rsidP="00E05065">
            <w:pPr>
              <w:pStyle w:val="ListParagraph"/>
              <w:numPr>
                <w:ilvl w:val="0"/>
                <w:numId w:val="34"/>
              </w:numPr>
              <w:spacing w:before="20" w:after="20"/>
              <w:ind w:left="420"/>
              <w:rPr>
                <w:sz w:val="20"/>
                <w:szCs w:val="20"/>
              </w:rPr>
            </w:pPr>
            <w:r w:rsidRPr="00D40044">
              <w:rPr>
                <w:sz w:val="20"/>
                <w:szCs w:val="20"/>
              </w:rPr>
              <w:t xml:space="preserve">Remove zero-rating for </w:t>
            </w:r>
            <w:proofErr w:type="spellStart"/>
            <w:r w:rsidRPr="00D40044">
              <w:rPr>
                <w:sz w:val="20"/>
                <w:szCs w:val="20"/>
              </w:rPr>
              <w:t>nonexports</w:t>
            </w:r>
            <w:proofErr w:type="spellEnd"/>
            <w:r w:rsidRPr="00D40044">
              <w:rPr>
                <w:sz w:val="20"/>
                <w:szCs w:val="20"/>
              </w:rPr>
              <w:t>.</w:t>
            </w:r>
          </w:p>
        </w:tc>
      </w:tr>
      <w:tr w:rsidR="00E05065" w:rsidRPr="00D40044" w14:paraId="16165F7B" w14:textId="77777777" w:rsidTr="00947F45">
        <w:tc>
          <w:tcPr>
            <w:tcW w:w="8995" w:type="dxa"/>
            <w:vAlign w:val="center"/>
          </w:tcPr>
          <w:p w14:paraId="688A20BA" w14:textId="77777777" w:rsidR="00E05065" w:rsidRPr="00D40044" w:rsidRDefault="00E05065" w:rsidP="00E05065">
            <w:pPr>
              <w:pStyle w:val="ListParagraph"/>
              <w:numPr>
                <w:ilvl w:val="0"/>
                <w:numId w:val="34"/>
              </w:numPr>
              <w:spacing w:before="20" w:after="20"/>
              <w:ind w:left="420"/>
              <w:rPr>
                <w:sz w:val="20"/>
                <w:szCs w:val="20"/>
              </w:rPr>
            </w:pPr>
            <w:r w:rsidRPr="00D40044">
              <w:rPr>
                <w:sz w:val="20"/>
                <w:szCs w:val="20"/>
              </w:rPr>
              <w:t xml:space="preserve">Remove the final VAT </w:t>
            </w:r>
            <w:r>
              <w:rPr>
                <w:sz w:val="20"/>
                <w:szCs w:val="20"/>
              </w:rPr>
              <w:t>regime</w:t>
            </w:r>
            <w:r w:rsidRPr="00D40044">
              <w:rPr>
                <w:sz w:val="20"/>
                <w:szCs w:val="20"/>
              </w:rPr>
              <w:t>.</w:t>
            </w:r>
          </w:p>
        </w:tc>
      </w:tr>
      <w:tr w:rsidR="00E05065" w:rsidRPr="00D40044" w14:paraId="5401C675" w14:textId="77777777" w:rsidTr="00947F45">
        <w:tc>
          <w:tcPr>
            <w:tcW w:w="8995" w:type="dxa"/>
            <w:vAlign w:val="center"/>
          </w:tcPr>
          <w:p w14:paraId="7359B857" w14:textId="40FB795A" w:rsidR="00E05065" w:rsidRPr="00D40044" w:rsidRDefault="00E05065" w:rsidP="00E05065">
            <w:pPr>
              <w:pStyle w:val="ListParagraph"/>
              <w:numPr>
                <w:ilvl w:val="0"/>
                <w:numId w:val="34"/>
              </w:numPr>
              <w:spacing w:before="20" w:after="20"/>
              <w:ind w:left="420"/>
              <w:rPr>
                <w:sz w:val="20"/>
                <w:szCs w:val="20"/>
              </w:rPr>
            </w:pPr>
            <w:r>
              <w:rPr>
                <w:sz w:val="20"/>
                <w:szCs w:val="20"/>
              </w:rPr>
              <w:t xml:space="preserve">Simplify the multi-rate </w:t>
            </w:r>
            <w:r w:rsidR="001C2E38">
              <w:rPr>
                <w:sz w:val="20"/>
                <w:szCs w:val="20"/>
              </w:rPr>
              <w:t>luxury goods sales tax (</w:t>
            </w:r>
            <w:r w:rsidRPr="00D40044">
              <w:rPr>
                <w:sz w:val="20"/>
                <w:szCs w:val="20"/>
              </w:rPr>
              <w:t>LGST</w:t>
            </w:r>
            <w:r w:rsidR="001C2E38">
              <w:rPr>
                <w:sz w:val="20"/>
                <w:szCs w:val="20"/>
              </w:rPr>
              <w:t>)</w:t>
            </w:r>
            <w:r w:rsidRPr="00D40044">
              <w:rPr>
                <w:sz w:val="20"/>
                <w:szCs w:val="20"/>
              </w:rPr>
              <w:t xml:space="preserve"> into a single rate</w:t>
            </w:r>
            <w:r>
              <w:rPr>
                <w:sz w:val="20"/>
                <w:szCs w:val="20"/>
              </w:rPr>
              <w:t xml:space="preserve"> system and keep it outside of the VAT regime</w:t>
            </w:r>
            <w:r w:rsidRPr="00D40044">
              <w:rPr>
                <w:sz w:val="20"/>
                <w:szCs w:val="20"/>
              </w:rPr>
              <w:t>.</w:t>
            </w:r>
          </w:p>
        </w:tc>
      </w:tr>
    </w:tbl>
    <w:p w14:paraId="03E524B1" w14:textId="02A68895" w:rsidR="007674D7" w:rsidRPr="00E05065" w:rsidRDefault="007674D7" w:rsidP="00E05065">
      <w:pPr>
        <w:ind w:left="0" w:firstLine="0"/>
        <w:rPr>
          <w:rFonts w:asciiTheme="majorHAnsi" w:eastAsiaTheme="majorEastAsia" w:hAnsiTheme="majorHAnsi" w:cstheme="majorBidi"/>
          <w:color w:val="2F5496" w:themeColor="accent1" w:themeShade="BF"/>
          <w:sz w:val="32"/>
          <w:szCs w:val="32"/>
        </w:rPr>
      </w:pPr>
      <w:r>
        <w:rPr>
          <w:rFonts w:eastAsiaTheme="minorEastAsia"/>
          <w:b/>
        </w:rPr>
        <w:br w:type="page"/>
      </w:r>
    </w:p>
    <w:p w14:paraId="4BAFEF1E" w14:textId="350B690A" w:rsidR="00B80F8E" w:rsidRPr="00B71B7B" w:rsidRDefault="002C0078" w:rsidP="00A765BB">
      <w:pPr>
        <w:pStyle w:val="Heading1"/>
        <w:spacing w:after="240"/>
      </w:pPr>
      <w:bookmarkStart w:id="5" w:name="_Toc177819030"/>
      <w:r>
        <w:lastRenderedPageBreak/>
        <w:t xml:space="preserve">Section </w:t>
      </w:r>
      <w:r w:rsidR="00B80F8E" w:rsidRPr="00B71B7B">
        <w:t>1. Introduction</w:t>
      </w:r>
      <w:bookmarkEnd w:id="5"/>
    </w:p>
    <w:p w14:paraId="70BD3F11" w14:textId="31A2155A" w:rsidR="00F21B36" w:rsidRDefault="00F21B36" w:rsidP="00F21B36">
      <w:pPr>
        <w:pStyle w:val="ListParagraph"/>
        <w:numPr>
          <w:ilvl w:val="0"/>
          <w:numId w:val="12"/>
        </w:numPr>
        <w:spacing w:before="120"/>
        <w:ind w:left="0" w:firstLine="0"/>
        <w:contextualSpacing w:val="0"/>
        <w:jc w:val="both"/>
      </w:pPr>
      <w:r w:rsidRPr="006603F9">
        <w:rPr>
          <w:b/>
          <w:bCs/>
        </w:rPr>
        <w:t xml:space="preserve">Indonesia is a middle-income country with distinctly low tax collections. </w:t>
      </w:r>
      <w:r>
        <w:t xml:space="preserve">At just 9.1 percent of </w:t>
      </w:r>
      <w:r w:rsidRPr="00125ABE">
        <w:t>GDP in 202</w:t>
      </w:r>
      <w:r w:rsidR="006A2B5D" w:rsidRPr="00E01473">
        <w:t>1</w:t>
      </w:r>
      <w:r w:rsidRPr="00125ABE">
        <w:t>, Indonesia’s</w:t>
      </w:r>
      <w:r>
        <w:t xml:space="preserve"> tax revenues are well below those of regional peer countries such as Cambodia (16.4 percent), the Philippines (14.1 percent), Viet</w:t>
      </w:r>
      <w:r w:rsidR="002C0078">
        <w:t xml:space="preserve"> N</w:t>
      </w:r>
      <w:r>
        <w:t>am (12.</w:t>
      </w:r>
      <w:r w:rsidR="00BD1DF2">
        <w:t>4</w:t>
      </w:r>
      <w:r>
        <w:t xml:space="preserve"> percent), Malaysia (11.2 percent), and middle-income countries</w:t>
      </w:r>
      <w:r w:rsidRPr="001E74FF">
        <w:t xml:space="preserve"> more generally (10.9 percent). </w:t>
      </w:r>
      <w:r>
        <w:t>Internal World Bank estimates</w:t>
      </w:r>
      <w:r>
        <w:rPr>
          <w:rStyle w:val="FootnoteReference"/>
        </w:rPr>
        <w:footnoteReference w:id="3"/>
      </w:r>
      <w:r>
        <w:t xml:space="preserve"> suggest that t</w:t>
      </w:r>
      <w:r w:rsidRPr="003A54E2">
        <w:t xml:space="preserve">ax collections </w:t>
      </w:r>
      <w:r>
        <w:t xml:space="preserve">may be as much as </w:t>
      </w:r>
      <w:r w:rsidRPr="003A54E2">
        <w:t xml:space="preserve">7 percentage points below </w:t>
      </w:r>
      <w:r>
        <w:t xml:space="preserve">Indonesia’s </w:t>
      </w:r>
      <w:r w:rsidRPr="003A54E2">
        <w:t xml:space="preserve">full tax potential. </w:t>
      </w:r>
      <w:r>
        <w:t>Long-running challenges in raising tax revenues have constrained the government’s fiscal envelope and</w:t>
      </w:r>
      <w:r w:rsidR="00EB5F2B">
        <w:t>,</w:t>
      </w:r>
      <w:r>
        <w:t xml:space="preserve"> there</w:t>
      </w:r>
      <w:r w:rsidR="00EB5F2B">
        <w:t>fore,</w:t>
      </w:r>
      <w:r>
        <w:t xml:space="preserve"> its ability to tackle key impediments to higher long-</w:t>
      </w:r>
      <w:r w:rsidR="00EB5F2B">
        <w:t>term</w:t>
      </w:r>
      <w:r>
        <w:t xml:space="preserve"> growth. They may have also imposed a constraint on Indonesia’s sovereign credit rating, with rating agencies regularly drawing attention to Indonesia’s lackluster domestic revenue mobilization. </w:t>
      </w:r>
    </w:p>
    <w:p w14:paraId="5D35CDB7" w14:textId="485AC618" w:rsidR="00FE05E1" w:rsidRPr="00FE05E1" w:rsidRDefault="00DF3F73" w:rsidP="006D1A6B">
      <w:pPr>
        <w:pStyle w:val="ListParagraph"/>
        <w:numPr>
          <w:ilvl w:val="0"/>
          <w:numId w:val="12"/>
        </w:numPr>
        <w:spacing w:before="120"/>
        <w:ind w:left="0" w:firstLine="0"/>
        <w:contextualSpacing w:val="0"/>
        <w:jc w:val="both"/>
      </w:pPr>
      <w:r w:rsidRPr="006D1A6B">
        <w:rPr>
          <w:b/>
        </w:rPr>
        <w:t xml:space="preserve">Over </w:t>
      </w:r>
      <w:r w:rsidR="000B4B15" w:rsidRPr="006D1A6B">
        <w:rPr>
          <w:b/>
        </w:rPr>
        <w:t>the past three decades,</w:t>
      </w:r>
      <w:r w:rsidR="00DF1F3F">
        <w:t xml:space="preserve"> </w:t>
      </w:r>
      <w:r w:rsidR="00B8481C" w:rsidRPr="00C95A18">
        <w:rPr>
          <w:b/>
          <w:bCs/>
        </w:rPr>
        <w:t>business</w:t>
      </w:r>
      <w:r w:rsidR="00C57A44" w:rsidRPr="006D1A6B">
        <w:rPr>
          <w:b/>
        </w:rPr>
        <w:t xml:space="preserve"> </w:t>
      </w:r>
      <w:r w:rsidR="00F567E3">
        <w:rPr>
          <w:b/>
          <w:bCs/>
        </w:rPr>
        <w:t>income taxes</w:t>
      </w:r>
      <w:r w:rsidR="00BB3E03">
        <w:rPr>
          <w:rStyle w:val="FootnoteReference"/>
          <w:b/>
          <w:bCs/>
        </w:rPr>
        <w:footnoteReference w:id="4"/>
      </w:r>
      <w:r w:rsidR="00BB3E03">
        <w:rPr>
          <w:b/>
          <w:bCs/>
        </w:rPr>
        <w:t xml:space="preserve"> </w:t>
      </w:r>
      <w:r w:rsidR="008728E0">
        <w:rPr>
          <w:b/>
          <w:bCs/>
        </w:rPr>
        <w:t xml:space="preserve">and </w:t>
      </w:r>
      <w:r w:rsidR="00F567E3">
        <w:rPr>
          <w:b/>
          <w:bCs/>
        </w:rPr>
        <w:t xml:space="preserve">sales </w:t>
      </w:r>
      <w:r w:rsidR="00514D0A">
        <w:rPr>
          <w:b/>
          <w:bCs/>
        </w:rPr>
        <w:t>and</w:t>
      </w:r>
      <w:r w:rsidR="00F567E3">
        <w:rPr>
          <w:b/>
          <w:bCs/>
        </w:rPr>
        <w:t xml:space="preserve"> value-added taxes</w:t>
      </w:r>
      <w:r w:rsidR="00B8481C">
        <w:rPr>
          <w:b/>
          <w:bCs/>
        </w:rPr>
        <w:t xml:space="preserve"> </w:t>
      </w:r>
      <w:r w:rsidRPr="006D1A6B">
        <w:rPr>
          <w:b/>
        </w:rPr>
        <w:t xml:space="preserve">have </w:t>
      </w:r>
      <w:r w:rsidR="00234239" w:rsidRPr="006D1A6B">
        <w:rPr>
          <w:b/>
        </w:rPr>
        <w:t xml:space="preserve">gained </w:t>
      </w:r>
      <w:r w:rsidRPr="006D1A6B">
        <w:rPr>
          <w:b/>
        </w:rPr>
        <w:t xml:space="preserve">increased </w:t>
      </w:r>
      <w:r w:rsidR="00234239" w:rsidRPr="006D1A6B">
        <w:rPr>
          <w:b/>
        </w:rPr>
        <w:t>significance in Indonesia’s domestic tax revenue composition</w:t>
      </w:r>
      <w:r w:rsidR="00FE05E1" w:rsidRPr="006D1A6B">
        <w:rPr>
          <w:b/>
        </w:rPr>
        <w:t xml:space="preserve"> (Figure 1</w:t>
      </w:r>
      <w:r w:rsidR="00FF27E5" w:rsidRPr="006D1A6B">
        <w:rPr>
          <w:b/>
        </w:rPr>
        <w:t>.1</w:t>
      </w:r>
      <w:r w:rsidR="00FE05E1" w:rsidRPr="006D1A6B">
        <w:rPr>
          <w:b/>
        </w:rPr>
        <w:t>)</w:t>
      </w:r>
      <w:r w:rsidR="00234239" w:rsidRPr="006D1A6B">
        <w:rPr>
          <w:b/>
        </w:rPr>
        <w:t>.</w:t>
      </w:r>
      <w:r w:rsidR="00DF1F3F" w:rsidRPr="006D1A6B">
        <w:rPr>
          <w:b/>
        </w:rPr>
        <w:t xml:space="preserve"> </w:t>
      </w:r>
      <w:r w:rsidR="00134C03" w:rsidRPr="00E01473">
        <w:rPr>
          <w:bCs/>
        </w:rPr>
        <w:t xml:space="preserve">Combined, </w:t>
      </w:r>
      <w:r w:rsidR="00134C03" w:rsidRPr="005B6055">
        <w:rPr>
          <w:bCs/>
        </w:rPr>
        <w:t>t</w:t>
      </w:r>
      <w:r w:rsidR="00B971AF" w:rsidRPr="005B6055">
        <w:rPr>
          <w:bCs/>
        </w:rPr>
        <w:t>hese taxes</w:t>
      </w:r>
      <w:r w:rsidR="00134C03" w:rsidRPr="005B6055">
        <w:rPr>
          <w:bCs/>
        </w:rPr>
        <w:t xml:space="preserve"> </w:t>
      </w:r>
      <w:r w:rsidR="001B64BE" w:rsidRPr="00CF3684">
        <w:t xml:space="preserve">increased from </w:t>
      </w:r>
      <w:r w:rsidR="008623D3">
        <w:t>5</w:t>
      </w:r>
      <w:r w:rsidR="00AD1899">
        <w:t>6</w:t>
      </w:r>
      <w:r w:rsidR="00C41A8B">
        <w:t xml:space="preserve"> percent </w:t>
      </w:r>
      <w:r w:rsidR="007F7B1C">
        <w:t xml:space="preserve">of total </w:t>
      </w:r>
      <w:r w:rsidR="00963B73">
        <w:t xml:space="preserve">tax </w:t>
      </w:r>
      <w:r w:rsidR="007F7B1C">
        <w:t xml:space="preserve">revenue </w:t>
      </w:r>
      <w:r w:rsidR="00C41A8B">
        <w:t xml:space="preserve">in the 1990s to </w:t>
      </w:r>
      <w:r w:rsidR="00C46E22">
        <w:t>6</w:t>
      </w:r>
      <w:r w:rsidR="007A7E30">
        <w:t>6</w:t>
      </w:r>
      <w:r w:rsidR="00C46E22">
        <w:t xml:space="preserve"> percent </w:t>
      </w:r>
      <w:r w:rsidR="000E2929">
        <w:t>in 2019</w:t>
      </w:r>
      <w:r w:rsidR="00155CB8">
        <w:t xml:space="preserve">. </w:t>
      </w:r>
      <w:r w:rsidR="000803FA">
        <w:t>As countries develop</w:t>
      </w:r>
      <w:r w:rsidR="004F5C96">
        <w:t xml:space="preserve">, </w:t>
      </w:r>
      <w:r w:rsidR="000803FA">
        <w:t>it is common for the composition of their tax revenues to change</w:t>
      </w:r>
      <w:r w:rsidR="00591C1A">
        <w:t xml:space="preserve">. Developing countries typically transition away from </w:t>
      </w:r>
      <w:r w:rsidR="00217BD2">
        <w:t>foreign trade taxes</w:t>
      </w:r>
      <w:r w:rsidR="00C41F4E">
        <w:t xml:space="preserve"> as they undergo </w:t>
      </w:r>
      <w:r w:rsidR="000460AE">
        <w:t xml:space="preserve">trade </w:t>
      </w:r>
      <w:r w:rsidR="00114FA0">
        <w:t>liberalization and</w:t>
      </w:r>
      <w:r w:rsidR="000460AE">
        <w:t xml:space="preserve"> </w:t>
      </w:r>
      <w:r w:rsidR="00C41F4E">
        <w:t xml:space="preserve">increasingly come to rely </w:t>
      </w:r>
      <w:r w:rsidR="00114FA0">
        <w:t xml:space="preserve">on </w:t>
      </w:r>
      <w:r w:rsidR="008E1CA7">
        <w:t xml:space="preserve">the taxation of income and </w:t>
      </w:r>
      <w:r w:rsidR="003326E9">
        <w:t xml:space="preserve">domestic </w:t>
      </w:r>
      <w:r w:rsidR="008E1CA7">
        <w:t>consumption</w:t>
      </w:r>
      <w:r w:rsidR="00114FA0">
        <w:t xml:space="preserve">. </w:t>
      </w:r>
      <w:r w:rsidR="00755855">
        <w:t xml:space="preserve">Indonesia </w:t>
      </w:r>
      <w:r w:rsidR="003326E9">
        <w:t xml:space="preserve">exhibits </w:t>
      </w:r>
      <w:r w:rsidR="00755855">
        <w:t>the</w:t>
      </w:r>
      <w:r w:rsidR="00624851">
        <w:t>se</w:t>
      </w:r>
      <w:r w:rsidR="00755855">
        <w:t xml:space="preserve"> same trend</w:t>
      </w:r>
      <w:r w:rsidR="00624851">
        <w:t>s</w:t>
      </w:r>
      <w:r w:rsidR="000F5F7F">
        <w:t xml:space="preserve">. </w:t>
      </w:r>
      <w:r w:rsidR="004F49F5">
        <w:t>I</w:t>
      </w:r>
      <w:r w:rsidR="00D90709">
        <w:t xml:space="preserve">ts </w:t>
      </w:r>
      <w:r w:rsidR="00755855">
        <w:t>international trade t</w:t>
      </w:r>
      <w:r w:rsidR="00624851">
        <w:t xml:space="preserve">axes </w:t>
      </w:r>
      <w:r w:rsidR="00D90709">
        <w:t xml:space="preserve">have represented a declining share </w:t>
      </w:r>
      <w:r w:rsidR="00D90709" w:rsidRPr="00FD66AB">
        <w:t>of total tax revenues</w:t>
      </w:r>
      <w:r w:rsidR="007D1DD6" w:rsidRPr="00FD66AB">
        <w:rPr>
          <w:rFonts w:cstheme="minorHAnsi"/>
        </w:rPr>
        <w:t>–</w:t>
      </w:r>
      <w:r w:rsidR="00B144CC" w:rsidRPr="00FD66AB">
        <w:t>declin</w:t>
      </w:r>
      <w:r w:rsidR="003326E9" w:rsidRPr="00FD66AB">
        <w:t xml:space="preserve">ing </w:t>
      </w:r>
      <w:r w:rsidR="00B144CC" w:rsidRPr="00FD66AB">
        <w:t xml:space="preserve">from </w:t>
      </w:r>
      <w:r w:rsidR="00A411FF">
        <w:t>3.6</w:t>
      </w:r>
      <w:r w:rsidR="00B144CC" w:rsidRPr="00FD66AB">
        <w:t xml:space="preserve"> to </w:t>
      </w:r>
      <w:r w:rsidR="00A411FF">
        <w:t>3.3</w:t>
      </w:r>
      <w:r w:rsidR="00B144CC" w:rsidRPr="00FD66AB">
        <w:t xml:space="preserve"> percent </w:t>
      </w:r>
      <w:r w:rsidR="007D1DD6" w:rsidRPr="00FD66AB">
        <w:t>since 1991</w:t>
      </w:r>
      <w:r w:rsidR="00577473" w:rsidRPr="00FD66AB">
        <w:t>.</w:t>
      </w:r>
      <w:r w:rsidR="0027358A" w:rsidRPr="00FD66AB">
        <w:t xml:space="preserve"> While </w:t>
      </w:r>
      <w:r w:rsidR="007D1DD6" w:rsidRPr="00A30983">
        <w:t>v</w:t>
      </w:r>
      <w:r w:rsidR="00831310" w:rsidRPr="00FD66AB">
        <w:t xml:space="preserve">alue-added </w:t>
      </w:r>
      <w:r w:rsidR="007D1DD6" w:rsidRPr="00A30983">
        <w:t>t</w:t>
      </w:r>
      <w:r w:rsidR="00831310" w:rsidRPr="00FD66AB">
        <w:t>ax (</w:t>
      </w:r>
      <w:r w:rsidR="0027358A" w:rsidRPr="00FD66AB">
        <w:t>VAT</w:t>
      </w:r>
      <w:r w:rsidR="00831310" w:rsidRPr="00FD66AB">
        <w:t>)</w:t>
      </w:r>
      <w:r w:rsidR="0027358A" w:rsidRPr="00FD66AB">
        <w:t xml:space="preserve"> </w:t>
      </w:r>
      <w:r w:rsidR="0099245C" w:rsidRPr="00FD66AB">
        <w:t>revenues have</w:t>
      </w:r>
      <w:r w:rsidR="008A0E9E" w:rsidRPr="00FD66AB">
        <w:t xml:space="preserve"> hovered </w:t>
      </w:r>
      <w:r w:rsidR="003829C2" w:rsidRPr="00FD66AB">
        <w:t>about</w:t>
      </w:r>
      <w:r w:rsidR="008A0E9E" w:rsidRPr="00FD66AB">
        <w:t xml:space="preserve"> 30 percent of total tax</w:t>
      </w:r>
      <w:r w:rsidR="0099245C" w:rsidRPr="00FD66AB">
        <w:t>es</w:t>
      </w:r>
      <w:r w:rsidR="008A0E9E" w:rsidRPr="00FD66AB">
        <w:t xml:space="preserve">, </w:t>
      </w:r>
      <w:r w:rsidR="006863DF" w:rsidRPr="00FD66AB">
        <w:t xml:space="preserve">the relative share of </w:t>
      </w:r>
      <w:r w:rsidR="0099245C" w:rsidRPr="00FD66AB">
        <w:t xml:space="preserve">business income taxes has </w:t>
      </w:r>
      <w:r w:rsidR="006863DF" w:rsidRPr="00FD66AB">
        <w:t>increased</w:t>
      </w:r>
      <w:r w:rsidR="00831310" w:rsidRPr="00FD66AB">
        <w:rPr>
          <w:rFonts w:cstheme="minorHAnsi"/>
        </w:rPr>
        <w:t>–</w:t>
      </w:r>
      <w:r w:rsidR="0030471B" w:rsidRPr="00FD66AB">
        <w:t xml:space="preserve">partly </w:t>
      </w:r>
      <w:r w:rsidR="00FE05E1" w:rsidRPr="00FD66AB">
        <w:t xml:space="preserve">offsetting </w:t>
      </w:r>
      <w:r w:rsidR="0099245C" w:rsidRPr="00FD66AB">
        <w:t xml:space="preserve">a </w:t>
      </w:r>
      <w:r w:rsidR="00FE05E1" w:rsidRPr="00FD66AB">
        <w:t>declin</w:t>
      </w:r>
      <w:r w:rsidR="00617F06" w:rsidRPr="00FD66AB">
        <w:t>ing</w:t>
      </w:r>
      <w:r w:rsidR="00FE05E1" w:rsidRPr="00FD66AB">
        <w:t xml:space="preserve"> </w:t>
      </w:r>
      <w:r w:rsidR="00617F06" w:rsidRPr="00FD66AB">
        <w:t>role for personal income tax (PIT)</w:t>
      </w:r>
      <w:r w:rsidR="00FE05E1" w:rsidRPr="00FD66AB">
        <w:t>.</w:t>
      </w:r>
    </w:p>
    <w:tbl>
      <w:tblPr>
        <w:tblStyle w:val="TableGrid1"/>
        <w:tblW w:w="9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5"/>
      </w:tblGrid>
      <w:tr w:rsidR="00E44359" w:rsidRPr="00B10EEC" w14:paraId="176EE279" w14:textId="6CFBE925" w:rsidTr="000B6FB4">
        <w:tc>
          <w:tcPr>
            <w:tcW w:w="9265" w:type="dxa"/>
          </w:tcPr>
          <w:p w14:paraId="547E6D71" w14:textId="0B606658" w:rsidR="00DA3BF5" w:rsidRPr="00B10EEC" w:rsidRDefault="00DA3BF5" w:rsidP="00A30983">
            <w:pPr>
              <w:jc w:val="center"/>
              <w:rPr>
                <w:rFonts w:asciiTheme="minorHAnsi" w:eastAsia="Times New Roman" w:hAnsiTheme="minorHAnsi" w:cstheme="minorHAnsi"/>
                <w:b/>
                <w:color w:val="0C4DA2"/>
              </w:rPr>
            </w:pPr>
            <w:bookmarkStart w:id="6" w:name="_Toc177593050"/>
            <w:r w:rsidRPr="00B10EEC">
              <w:rPr>
                <w:rFonts w:eastAsia="Times New Roman" w:cstheme="minorHAnsi"/>
                <w:b/>
                <w:noProof/>
                <w:color w:val="0C4DA2"/>
              </w:rPr>
              <mc:AlternateContent>
                <mc:Choice Requires="wps">
                  <w:drawing>
                    <wp:anchor distT="0" distB="0" distL="114300" distR="114300" simplePos="0" relativeHeight="251658242" behindDoc="0" locked="0" layoutInCell="1" allowOverlap="1" wp14:anchorId="7A582DEC" wp14:editId="23E6B0A5">
                      <wp:simplePos x="0" y="0"/>
                      <wp:positionH relativeFrom="column">
                        <wp:posOffset>1837690</wp:posOffset>
                      </wp:positionH>
                      <wp:positionV relativeFrom="paragraph">
                        <wp:posOffset>-19365264</wp:posOffset>
                      </wp:positionV>
                      <wp:extent cx="584200" cy="247650"/>
                      <wp:effectExtent l="0" t="0" r="0" b="0"/>
                      <wp:wrapNone/>
                      <wp:docPr id="42" name="Text Box 42"/>
                      <wp:cNvGraphicFramePr/>
                      <a:graphic xmlns:a="http://schemas.openxmlformats.org/drawingml/2006/main">
                        <a:graphicData uri="http://schemas.microsoft.com/office/word/2010/wordprocessingShape">
                          <wps:wsp>
                            <wps:cNvSpPr txBox="1"/>
                            <wps:spPr>
                              <a:xfrm>
                                <a:off x="0" y="0"/>
                                <a:ext cx="584200" cy="247650"/>
                              </a:xfrm>
                              <a:prstGeom prst="rect">
                                <a:avLst/>
                              </a:prstGeom>
                              <a:noFill/>
                              <a:ln w="6350">
                                <a:noFill/>
                              </a:ln>
                            </wps:spPr>
                            <wps:txbx>
                              <w:txbxContent>
                                <w:p w14:paraId="13EE97B6" w14:textId="77777777" w:rsidR="00DA3BF5" w:rsidRPr="009333B6" w:rsidRDefault="00DA3BF5" w:rsidP="00697FC9">
                                  <w:pPr>
                                    <w:rPr>
                                      <w:rFonts w:ascii="Arial" w:hAnsi="Arial" w:cs="Arial"/>
                                      <w:sz w:val="16"/>
                                      <w:szCs w:val="16"/>
                                    </w:rPr>
                                  </w:pPr>
                                  <w:r>
                                    <w:rPr>
                                      <w:rFonts w:ascii="Arial" w:hAnsi="Arial" w:cs="Arial"/>
                                      <w:sz w:val="16"/>
                                      <w:szCs w:val="16"/>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82DEC" id="Text Box 42" o:spid="_x0000_s1027" type="#_x0000_t202" style="position:absolute;left:0;text-align:left;margin-left:144.7pt;margin-top:-1524.8pt;width:46pt;height:1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" filled="f" stroked="f" strokeweight=".5pt">
                      <v:textbox>
                        <w:txbxContent>
                          <w:p w14:paraId="13EE97B6" w14:textId="77777777" w:rsidR="00DA3BF5" w:rsidRPr="009333B6" w:rsidRDefault="00DA3BF5" w:rsidP="00697FC9">
                            <w:pPr>
                              <w:rPr>
                                <w:rFonts w:ascii="Arial" w:hAnsi="Arial" w:cs="Arial"/>
                                <w:sz w:val="16"/>
                                <w:szCs w:val="16"/>
                              </w:rPr>
                            </w:pPr>
                            <w:r>
                              <w:rPr>
                                <w:rFonts w:ascii="Arial" w:hAnsi="Arial" w:cs="Arial"/>
                                <w:sz w:val="16"/>
                                <w:szCs w:val="16"/>
                              </w:rPr>
                              <w:t>Baseline</w:t>
                            </w:r>
                          </w:p>
                        </w:txbxContent>
                      </v:textbox>
                    </v:shape>
                  </w:pict>
                </mc:Fallback>
              </mc:AlternateContent>
            </w:r>
            <w:r w:rsidRPr="00B10EEC">
              <w:rPr>
                <w:rFonts w:asciiTheme="minorHAnsi" w:eastAsia="Times New Roman" w:hAnsiTheme="minorHAnsi" w:cstheme="minorHAnsi"/>
                <w:b/>
                <w:color w:val="0C4DA2"/>
              </w:rPr>
              <w:t xml:space="preserve">Figure </w:t>
            </w:r>
            <w:r>
              <w:rPr>
                <w:rFonts w:asciiTheme="minorHAnsi" w:eastAsia="Times New Roman" w:hAnsiTheme="minorHAnsi" w:cstheme="minorHAnsi"/>
                <w:b/>
                <w:color w:val="0C4DA2"/>
              </w:rPr>
              <w:t>1.1</w:t>
            </w:r>
            <w:r w:rsidRPr="00B10EEC">
              <w:rPr>
                <w:rFonts w:asciiTheme="minorHAnsi" w:eastAsia="Times New Roman" w:hAnsiTheme="minorHAnsi" w:cstheme="minorHAnsi"/>
                <w:b/>
                <w:color w:val="0C4DA2"/>
              </w:rPr>
              <w:t xml:space="preserve">: </w:t>
            </w:r>
            <w:r>
              <w:rPr>
                <w:rFonts w:asciiTheme="minorHAnsi" w:eastAsia="Times New Roman" w:hAnsiTheme="minorHAnsi" w:cstheme="minorHAnsi"/>
                <w:b/>
                <w:color w:val="0C4DA2"/>
              </w:rPr>
              <w:t xml:space="preserve">Changes in </w:t>
            </w:r>
            <w:r w:rsidR="00197379">
              <w:rPr>
                <w:rFonts w:asciiTheme="minorHAnsi" w:eastAsia="Times New Roman" w:hAnsiTheme="minorHAnsi" w:cstheme="minorHAnsi"/>
                <w:b/>
                <w:color w:val="0C4DA2"/>
              </w:rPr>
              <w:t>D</w:t>
            </w:r>
            <w:r>
              <w:rPr>
                <w:rFonts w:asciiTheme="minorHAnsi" w:eastAsia="Times New Roman" w:hAnsiTheme="minorHAnsi" w:cstheme="minorHAnsi"/>
                <w:b/>
                <w:color w:val="0C4DA2"/>
              </w:rPr>
              <w:t xml:space="preserve">omestic </w:t>
            </w:r>
            <w:r w:rsidR="00197379">
              <w:rPr>
                <w:rFonts w:asciiTheme="minorHAnsi" w:eastAsia="Times New Roman" w:hAnsiTheme="minorHAnsi" w:cstheme="minorHAnsi"/>
                <w:b/>
                <w:color w:val="0C4DA2"/>
              </w:rPr>
              <w:t>T</w:t>
            </w:r>
            <w:r>
              <w:rPr>
                <w:rFonts w:asciiTheme="minorHAnsi" w:eastAsia="Times New Roman" w:hAnsiTheme="minorHAnsi" w:cstheme="minorHAnsi"/>
                <w:b/>
                <w:color w:val="0C4DA2"/>
              </w:rPr>
              <w:t xml:space="preserve">ax </w:t>
            </w:r>
            <w:r w:rsidR="00197379">
              <w:rPr>
                <w:rFonts w:asciiTheme="minorHAnsi" w:eastAsia="Times New Roman" w:hAnsiTheme="minorHAnsi" w:cstheme="minorHAnsi"/>
                <w:b/>
                <w:color w:val="0C4DA2"/>
              </w:rPr>
              <w:t>R</w:t>
            </w:r>
            <w:r>
              <w:rPr>
                <w:rFonts w:asciiTheme="minorHAnsi" w:eastAsia="Times New Roman" w:hAnsiTheme="minorHAnsi" w:cstheme="minorHAnsi"/>
                <w:b/>
                <w:color w:val="0C4DA2"/>
              </w:rPr>
              <w:t xml:space="preserve">evenue </w:t>
            </w:r>
            <w:r w:rsidR="00197379">
              <w:rPr>
                <w:rFonts w:asciiTheme="minorHAnsi" w:eastAsia="Times New Roman" w:hAnsiTheme="minorHAnsi" w:cstheme="minorHAnsi"/>
                <w:b/>
                <w:color w:val="0C4DA2"/>
              </w:rPr>
              <w:t>C</w:t>
            </w:r>
            <w:r>
              <w:rPr>
                <w:rFonts w:asciiTheme="minorHAnsi" w:eastAsia="Times New Roman" w:hAnsiTheme="minorHAnsi" w:cstheme="minorHAnsi"/>
                <w:b/>
                <w:color w:val="0C4DA2"/>
              </w:rPr>
              <w:t>omposition</w:t>
            </w:r>
            <w:bookmarkEnd w:id="6"/>
          </w:p>
          <w:p w14:paraId="12FD9977" w14:textId="4D92E215" w:rsidR="00B14441" w:rsidRPr="00E9485B" w:rsidRDefault="00DA3BF5" w:rsidP="00A30983">
            <w:pPr>
              <w:keepLines/>
              <w:jc w:val="center"/>
              <w:rPr>
                <w:rFonts w:cstheme="minorHAnsi"/>
                <w:i/>
                <w:color w:val="FF0000"/>
                <w:sz w:val="18"/>
                <w:szCs w:val="18"/>
              </w:rPr>
            </w:pPr>
            <w:r w:rsidRPr="00B10EEC">
              <w:rPr>
                <w:rFonts w:asciiTheme="minorHAnsi" w:hAnsiTheme="minorHAnsi" w:cstheme="minorHAnsi"/>
                <w:i/>
                <w:sz w:val="18"/>
                <w:szCs w:val="18"/>
              </w:rPr>
              <w:t>(</w:t>
            </w:r>
            <w:r>
              <w:rPr>
                <w:rFonts w:asciiTheme="minorHAnsi" w:hAnsiTheme="minorHAnsi" w:cstheme="minorHAnsi"/>
                <w:i/>
                <w:sz w:val="18"/>
                <w:szCs w:val="18"/>
              </w:rPr>
              <w:t>percent of tax revenue</w:t>
            </w:r>
            <w:r w:rsidRPr="00B10EEC">
              <w:rPr>
                <w:rFonts w:asciiTheme="minorHAnsi" w:hAnsiTheme="minorHAnsi" w:cstheme="minorHAnsi"/>
                <w:i/>
                <w:sz w:val="18"/>
                <w:szCs w:val="18"/>
              </w:rPr>
              <w:t>)</w:t>
            </w:r>
          </w:p>
        </w:tc>
      </w:tr>
      <w:tr w:rsidR="00E44359" w:rsidRPr="00B10EEC" w14:paraId="0CE49748" w14:textId="644AEBD1" w:rsidTr="000B6FB4">
        <w:trPr>
          <w:trHeight w:val="233"/>
        </w:trPr>
        <w:tc>
          <w:tcPr>
            <w:tcW w:w="9265" w:type="dxa"/>
          </w:tcPr>
          <w:p w14:paraId="04A760B8" w14:textId="20931BF7" w:rsidR="00B14441" w:rsidRPr="00B10EEC" w:rsidRDefault="00460B26" w:rsidP="00174276">
            <w:pPr>
              <w:keepNext/>
              <w:ind w:left="-30" w:right="144"/>
              <w:jc w:val="center"/>
              <w:rPr>
                <w:rFonts w:cstheme="minorHAnsi"/>
                <w:bCs/>
                <w:color w:val="000000" w:themeColor="text1"/>
                <w:sz w:val="16"/>
                <w:szCs w:val="16"/>
              </w:rPr>
            </w:pPr>
            <w:r>
              <w:rPr>
                <w:noProof/>
              </w:rPr>
              <w:drawing>
                <wp:inline distT="0" distB="0" distL="0" distR="0" wp14:anchorId="629FEB5B" wp14:editId="23BF0CC1">
                  <wp:extent cx="4938395" cy="3009014"/>
                  <wp:effectExtent l="0" t="0" r="0" b="1270"/>
                  <wp:docPr id="29" name="Chart 29">
                    <a:extLst xmlns:a="http://schemas.openxmlformats.org/drawingml/2006/main">
                      <a:ext uri="{FF2B5EF4-FFF2-40B4-BE49-F238E27FC236}">
                        <a16:creationId xmlns:a16="http://schemas.microsoft.com/office/drawing/2014/main" id="{3042A863-2B28-42D3-BFF4-30E38D0ED4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4F2FB2" w:rsidRPr="004B44C5" w14:paraId="331CFE65" w14:textId="50418578" w:rsidTr="000B6FB4">
        <w:trPr>
          <w:trHeight w:val="233"/>
        </w:trPr>
        <w:tc>
          <w:tcPr>
            <w:tcW w:w="9265" w:type="dxa"/>
          </w:tcPr>
          <w:p w14:paraId="1D477618" w14:textId="5069938B" w:rsidR="00174276" w:rsidRPr="00A30983" w:rsidRDefault="00DA3BF5" w:rsidP="00A30983">
            <w:pPr>
              <w:keepNext/>
              <w:ind w:right="144"/>
              <w:jc w:val="both"/>
              <w:rPr>
                <w:rFonts w:asciiTheme="minorHAnsi" w:hAnsiTheme="minorHAnsi" w:cstheme="minorHAnsi"/>
                <w:bCs/>
                <w:color w:val="000000" w:themeColor="text1"/>
                <w:sz w:val="18"/>
                <w:szCs w:val="18"/>
              </w:rPr>
            </w:pPr>
            <w:r w:rsidRPr="00A30983">
              <w:rPr>
                <w:rFonts w:cstheme="minorHAnsi"/>
                <w:bCs/>
                <w:i/>
                <w:iCs/>
                <w:color w:val="000000" w:themeColor="text1"/>
                <w:sz w:val="18"/>
                <w:szCs w:val="18"/>
              </w:rPr>
              <w:t>Source</w:t>
            </w:r>
            <w:r w:rsidRPr="00A30983">
              <w:rPr>
                <w:rFonts w:cstheme="minorHAnsi"/>
                <w:bCs/>
                <w:color w:val="000000" w:themeColor="text1"/>
                <w:sz w:val="18"/>
                <w:szCs w:val="18"/>
              </w:rPr>
              <w:t>: World Bank staff calculation</w:t>
            </w:r>
            <w:r w:rsidR="00174276" w:rsidRPr="00A30983">
              <w:rPr>
                <w:rFonts w:cstheme="minorHAnsi"/>
                <w:bCs/>
                <w:color w:val="000000" w:themeColor="text1"/>
                <w:sz w:val="18"/>
                <w:szCs w:val="18"/>
              </w:rPr>
              <w:t>s</w:t>
            </w:r>
            <w:r w:rsidRPr="00A30983">
              <w:rPr>
                <w:rFonts w:cstheme="minorHAnsi"/>
                <w:bCs/>
                <w:color w:val="000000" w:themeColor="text1"/>
                <w:sz w:val="18"/>
                <w:szCs w:val="18"/>
              </w:rPr>
              <w:t xml:space="preserve"> using IMF </w:t>
            </w:r>
            <w:proofErr w:type="spellStart"/>
            <w:r w:rsidRPr="00A30983">
              <w:rPr>
                <w:rFonts w:cstheme="minorHAnsi"/>
                <w:bCs/>
                <w:color w:val="000000" w:themeColor="text1"/>
                <w:sz w:val="18"/>
                <w:szCs w:val="18"/>
              </w:rPr>
              <w:t>WoRLD</w:t>
            </w:r>
            <w:proofErr w:type="spellEnd"/>
            <w:r w:rsidRPr="00A30983">
              <w:rPr>
                <w:rFonts w:cstheme="minorHAnsi"/>
                <w:bCs/>
                <w:color w:val="000000" w:themeColor="text1"/>
                <w:sz w:val="18"/>
                <w:szCs w:val="18"/>
              </w:rPr>
              <w:t xml:space="preserve"> dataset</w:t>
            </w:r>
            <w:r w:rsidR="00F64FB9" w:rsidRPr="00A30983">
              <w:rPr>
                <w:rFonts w:cstheme="minorHAnsi"/>
                <w:bCs/>
                <w:color w:val="000000" w:themeColor="text1"/>
                <w:sz w:val="18"/>
                <w:szCs w:val="18"/>
              </w:rPr>
              <w:t xml:space="preserve"> and Indonesia</w:t>
            </w:r>
            <w:r w:rsidR="00831310" w:rsidRPr="004B44C5">
              <w:rPr>
                <w:rFonts w:asciiTheme="minorHAnsi" w:hAnsiTheme="minorHAnsi" w:cstheme="minorHAnsi"/>
                <w:bCs/>
                <w:color w:val="000000" w:themeColor="text1"/>
                <w:sz w:val="18"/>
                <w:szCs w:val="18"/>
              </w:rPr>
              <w:t>n</w:t>
            </w:r>
            <w:r w:rsidR="00F64FB9" w:rsidRPr="00A30983">
              <w:rPr>
                <w:rFonts w:cstheme="minorHAnsi"/>
                <w:bCs/>
                <w:color w:val="000000" w:themeColor="text1"/>
                <w:sz w:val="18"/>
                <w:szCs w:val="18"/>
              </w:rPr>
              <w:t xml:space="preserve"> Ministry of Finance </w:t>
            </w:r>
            <w:r w:rsidR="009543FA" w:rsidRPr="004B44C5">
              <w:rPr>
                <w:rFonts w:cstheme="minorHAnsi"/>
                <w:bCs/>
                <w:color w:val="000000" w:themeColor="text1"/>
                <w:sz w:val="18"/>
                <w:szCs w:val="18"/>
              </w:rPr>
              <w:t>(MoF)</w:t>
            </w:r>
            <w:r w:rsidR="009543FA" w:rsidRPr="004B44C5">
              <w:rPr>
                <w:rFonts w:asciiTheme="minorHAnsi" w:hAnsiTheme="minorHAnsi" w:cstheme="minorHAnsi"/>
                <w:bCs/>
                <w:color w:val="000000" w:themeColor="text1"/>
                <w:sz w:val="18"/>
                <w:szCs w:val="18"/>
              </w:rPr>
              <w:t xml:space="preserve"> </w:t>
            </w:r>
            <w:r w:rsidR="00F64FB9" w:rsidRPr="00A30983">
              <w:rPr>
                <w:rFonts w:cstheme="minorHAnsi"/>
                <w:bCs/>
                <w:color w:val="000000" w:themeColor="text1"/>
                <w:sz w:val="18"/>
                <w:szCs w:val="18"/>
              </w:rPr>
              <w:t>data.</w:t>
            </w:r>
          </w:p>
          <w:p w14:paraId="7EF3906E" w14:textId="79A5AC43" w:rsidR="00B14441" w:rsidRPr="001F754A" w:rsidRDefault="00DA3BF5" w:rsidP="00A30983">
            <w:pPr>
              <w:keepNext/>
              <w:ind w:right="144"/>
              <w:jc w:val="both"/>
              <w:rPr>
                <w:rFonts w:asciiTheme="minorHAnsi" w:hAnsiTheme="minorHAnsi" w:cstheme="minorHAnsi"/>
                <w:bCs/>
                <w:color w:val="000000" w:themeColor="text1"/>
                <w:sz w:val="16"/>
                <w:szCs w:val="16"/>
              </w:rPr>
            </w:pPr>
            <w:r w:rsidRPr="00A30983">
              <w:rPr>
                <w:rFonts w:cstheme="minorHAnsi"/>
                <w:bCs/>
                <w:i/>
                <w:iCs/>
                <w:color w:val="000000" w:themeColor="text1"/>
                <w:sz w:val="18"/>
                <w:szCs w:val="18"/>
              </w:rPr>
              <w:t>Note</w:t>
            </w:r>
            <w:r w:rsidRPr="00A30983">
              <w:rPr>
                <w:rFonts w:cstheme="minorHAnsi"/>
                <w:bCs/>
                <w:color w:val="000000" w:themeColor="text1"/>
                <w:sz w:val="18"/>
                <w:szCs w:val="18"/>
              </w:rPr>
              <w:t xml:space="preserve">: Business income taxes refer to the standard </w:t>
            </w:r>
            <w:r w:rsidR="00FA66D3" w:rsidRPr="004B44C5">
              <w:rPr>
                <w:rFonts w:asciiTheme="minorHAnsi" w:hAnsiTheme="minorHAnsi" w:cstheme="minorHAnsi"/>
                <w:bCs/>
                <w:color w:val="000000" w:themeColor="text1"/>
                <w:sz w:val="18"/>
                <w:szCs w:val="18"/>
              </w:rPr>
              <w:t>corporate income tax (</w:t>
            </w:r>
            <w:r w:rsidRPr="00A30983">
              <w:rPr>
                <w:rFonts w:cstheme="minorHAnsi"/>
                <w:bCs/>
                <w:color w:val="000000" w:themeColor="text1"/>
                <w:sz w:val="18"/>
                <w:szCs w:val="18"/>
              </w:rPr>
              <w:t>CIT</w:t>
            </w:r>
            <w:r w:rsidR="00FA66D3" w:rsidRPr="004B44C5">
              <w:rPr>
                <w:rFonts w:asciiTheme="minorHAnsi" w:hAnsiTheme="minorHAnsi" w:cstheme="minorHAnsi"/>
                <w:bCs/>
                <w:color w:val="000000" w:themeColor="text1"/>
                <w:sz w:val="18"/>
                <w:szCs w:val="18"/>
              </w:rPr>
              <w:t>)</w:t>
            </w:r>
            <w:r w:rsidRPr="001F754A">
              <w:rPr>
                <w:rFonts w:cstheme="minorHAnsi"/>
                <w:bCs/>
                <w:color w:val="000000" w:themeColor="text1"/>
                <w:sz w:val="18"/>
                <w:szCs w:val="18"/>
              </w:rPr>
              <w:t xml:space="preserve"> regime as well as all other alternative business income tax schemes. </w:t>
            </w:r>
            <w:proofErr w:type="gramStart"/>
            <w:r w:rsidR="008E448F" w:rsidRPr="001F754A">
              <w:rPr>
                <w:rFonts w:cstheme="minorHAnsi"/>
                <w:bCs/>
                <w:color w:val="000000" w:themeColor="text1"/>
                <w:sz w:val="18"/>
                <w:szCs w:val="18"/>
              </w:rPr>
              <w:t>Other include</w:t>
            </w:r>
            <w:r w:rsidR="00ED5265" w:rsidRPr="001F754A">
              <w:rPr>
                <w:rFonts w:cstheme="minorHAnsi"/>
                <w:bCs/>
                <w:color w:val="000000" w:themeColor="text1"/>
                <w:sz w:val="18"/>
                <w:szCs w:val="18"/>
              </w:rPr>
              <w:t>s</w:t>
            </w:r>
            <w:proofErr w:type="gramEnd"/>
            <w:r w:rsidR="00831310" w:rsidRPr="004B44C5">
              <w:rPr>
                <w:rFonts w:asciiTheme="minorHAnsi" w:hAnsiTheme="minorHAnsi" w:cstheme="minorHAnsi"/>
                <w:bCs/>
                <w:color w:val="000000" w:themeColor="text1"/>
                <w:sz w:val="18"/>
                <w:szCs w:val="18"/>
              </w:rPr>
              <w:t>, among others,</w:t>
            </w:r>
            <w:r w:rsidR="008E448F" w:rsidRPr="001F754A">
              <w:rPr>
                <w:rFonts w:cstheme="minorHAnsi"/>
                <w:bCs/>
                <w:color w:val="000000" w:themeColor="text1"/>
                <w:sz w:val="18"/>
                <w:szCs w:val="18"/>
              </w:rPr>
              <w:t xml:space="preserve"> </w:t>
            </w:r>
            <w:r w:rsidR="008E448F" w:rsidRPr="001F754A">
              <w:rPr>
                <w:rFonts w:cstheme="minorHAnsi"/>
                <w:color w:val="000000" w:themeColor="text1"/>
                <w:sz w:val="18"/>
                <w:szCs w:val="18"/>
              </w:rPr>
              <w:t>pro</w:t>
            </w:r>
            <w:r w:rsidR="007467ED" w:rsidRPr="001F754A">
              <w:rPr>
                <w:rFonts w:cstheme="minorHAnsi"/>
                <w:color w:val="000000" w:themeColor="text1"/>
                <w:sz w:val="18"/>
                <w:szCs w:val="18"/>
              </w:rPr>
              <w:t>perty tax</w:t>
            </w:r>
            <w:r w:rsidR="00B83D29" w:rsidRPr="001F754A">
              <w:rPr>
                <w:rFonts w:cstheme="minorHAnsi"/>
                <w:color w:val="000000" w:themeColor="text1"/>
                <w:sz w:val="18"/>
                <w:szCs w:val="18"/>
              </w:rPr>
              <w:t>es</w:t>
            </w:r>
            <w:r w:rsidR="00831310" w:rsidRPr="004B44C5">
              <w:rPr>
                <w:rFonts w:asciiTheme="minorHAnsi" w:hAnsiTheme="minorHAnsi" w:cstheme="minorHAnsi"/>
                <w:color w:val="000000" w:themeColor="text1"/>
                <w:sz w:val="18"/>
                <w:szCs w:val="18"/>
              </w:rPr>
              <w:t xml:space="preserve"> and</w:t>
            </w:r>
            <w:r w:rsidR="007467ED" w:rsidRPr="001F754A">
              <w:rPr>
                <w:rFonts w:cstheme="minorHAnsi"/>
                <w:color w:val="000000" w:themeColor="text1"/>
                <w:sz w:val="18"/>
                <w:szCs w:val="18"/>
              </w:rPr>
              <w:t xml:space="preserve"> </w:t>
            </w:r>
            <w:r w:rsidR="00B83D29" w:rsidRPr="001F754A">
              <w:rPr>
                <w:rFonts w:cstheme="minorHAnsi"/>
                <w:color w:val="000000" w:themeColor="text1"/>
                <w:sz w:val="18"/>
                <w:szCs w:val="18"/>
              </w:rPr>
              <w:t>social security contributions</w:t>
            </w:r>
            <w:r w:rsidR="007467ED" w:rsidRPr="001F754A">
              <w:rPr>
                <w:rFonts w:cstheme="minorHAnsi"/>
                <w:color w:val="000000" w:themeColor="text1"/>
                <w:sz w:val="18"/>
                <w:szCs w:val="18"/>
              </w:rPr>
              <w:t>.</w:t>
            </w:r>
          </w:p>
        </w:tc>
      </w:tr>
    </w:tbl>
    <w:p w14:paraId="0F3D46E4" w14:textId="42631184" w:rsidR="00A423C8" w:rsidRPr="00FD66AB" w:rsidRDefault="00A423C8" w:rsidP="00E01473">
      <w:pPr>
        <w:pStyle w:val="ListParagraph"/>
        <w:numPr>
          <w:ilvl w:val="0"/>
          <w:numId w:val="12"/>
        </w:numPr>
        <w:spacing w:before="120"/>
        <w:ind w:left="0" w:firstLine="0"/>
        <w:contextualSpacing w:val="0"/>
        <w:jc w:val="both"/>
        <w:rPr>
          <w:b/>
          <w:bCs/>
          <w:color w:val="000000" w:themeColor="text1"/>
        </w:rPr>
      </w:pPr>
      <w:r w:rsidRPr="004B44C5">
        <w:rPr>
          <w:rFonts w:cstheme="minorHAnsi"/>
          <w:b/>
          <w:bCs/>
          <w:color w:val="000000" w:themeColor="text1"/>
        </w:rPr>
        <w:t xml:space="preserve">Recent research </w:t>
      </w:r>
      <w:r w:rsidR="006C5552" w:rsidRPr="004B44C5">
        <w:rPr>
          <w:rFonts w:cstheme="minorHAnsi"/>
          <w:b/>
          <w:bCs/>
          <w:color w:val="000000" w:themeColor="text1"/>
        </w:rPr>
        <w:t xml:space="preserve">points to </w:t>
      </w:r>
      <w:r w:rsidR="0067204A" w:rsidRPr="004B44C5">
        <w:rPr>
          <w:rFonts w:cstheme="minorHAnsi"/>
          <w:b/>
          <w:bCs/>
          <w:color w:val="000000" w:themeColor="text1"/>
        </w:rPr>
        <w:t xml:space="preserve">underperformance in </w:t>
      </w:r>
      <w:r w:rsidR="00507180" w:rsidRPr="004B44C5">
        <w:rPr>
          <w:rFonts w:cstheme="minorHAnsi"/>
          <w:b/>
          <w:bCs/>
          <w:color w:val="000000" w:themeColor="text1"/>
        </w:rPr>
        <w:t>revenue collections from Ind</w:t>
      </w:r>
      <w:r w:rsidR="00E34110" w:rsidRPr="004B44C5">
        <w:rPr>
          <w:rFonts w:cstheme="minorHAnsi"/>
          <w:b/>
          <w:bCs/>
          <w:color w:val="000000" w:themeColor="text1"/>
        </w:rPr>
        <w:t>o</w:t>
      </w:r>
      <w:r w:rsidR="00507180" w:rsidRPr="004B44C5">
        <w:rPr>
          <w:rFonts w:cstheme="minorHAnsi"/>
          <w:b/>
          <w:bCs/>
          <w:color w:val="000000" w:themeColor="text1"/>
        </w:rPr>
        <w:t>nesia’s</w:t>
      </w:r>
      <w:r w:rsidR="00507180">
        <w:rPr>
          <w:b/>
          <w:bCs/>
          <w:color w:val="000000" w:themeColor="text1"/>
        </w:rPr>
        <w:t xml:space="preserve"> </w:t>
      </w:r>
      <w:r w:rsidR="00E34110">
        <w:rPr>
          <w:b/>
          <w:bCs/>
          <w:color w:val="000000" w:themeColor="text1"/>
        </w:rPr>
        <w:t xml:space="preserve">CIT and VAT. </w:t>
      </w:r>
      <w:r w:rsidR="00E34110" w:rsidRPr="00E01473">
        <w:rPr>
          <w:color w:val="000000" w:themeColor="text1"/>
        </w:rPr>
        <w:t xml:space="preserve">Policy and compliance gaps in these two taxes could be responsible for as much as </w:t>
      </w:r>
      <w:r w:rsidR="00E34110" w:rsidRPr="00E01473">
        <w:rPr>
          <w:color w:val="000000" w:themeColor="text1"/>
        </w:rPr>
        <w:lastRenderedPageBreak/>
        <w:t>6.</w:t>
      </w:r>
      <w:r w:rsidR="00D223E5">
        <w:rPr>
          <w:color w:val="000000" w:themeColor="text1"/>
        </w:rPr>
        <w:t>4</w:t>
      </w:r>
      <w:r w:rsidR="00652E57">
        <w:rPr>
          <w:color w:val="000000" w:themeColor="text1"/>
        </w:rPr>
        <w:t> </w:t>
      </w:r>
      <w:r w:rsidR="00E34110" w:rsidRPr="00E01473">
        <w:rPr>
          <w:color w:val="000000" w:themeColor="text1"/>
        </w:rPr>
        <w:t>percent of GDP in revenue losses (</w:t>
      </w:r>
      <w:r w:rsidR="00225A3A" w:rsidRPr="00225A3A">
        <w:rPr>
          <w:color w:val="000000" w:themeColor="text1"/>
        </w:rPr>
        <w:t>Qian</w:t>
      </w:r>
      <w:r w:rsidR="00225A3A">
        <w:rPr>
          <w:color w:val="000000" w:themeColor="text1"/>
        </w:rPr>
        <w:t xml:space="preserve"> </w:t>
      </w:r>
      <w:r w:rsidR="00225A3A" w:rsidRPr="00225A3A">
        <w:rPr>
          <w:color w:val="000000" w:themeColor="text1"/>
        </w:rPr>
        <w:t>and Poniatowski</w:t>
      </w:r>
      <w:r w:rsidR="00E34110" w:rsidRPr="00E01473">
        <w:rPr>
          <w:color w:val="000000" w:themeColor="text1"/>
        </w:rPr>
        <w:t xml:space="preserve"> 2024).</w:t>
      </w:r>
      <w:r w:rsidR="008779C8">
        <w:rPr>
          <w:rStyle w:val="FootnoteReference"/>
          <w:color w:val="000000" w:themeColor="text1"/>
        </w:rPr>
        <w:footnoteReference w:id="5"/>
      </w:r>
      <w:r w:rsidR="00E34110" w:rsidRPr="00E01473">
        <w:rPr>
          <w:color w:val="000000" w:themeColor="text1"/>
        </w:rPr>
        <w:t xml:space="preserve"> </w:t>
      </w:r>
      <w:r w:rsidR="00C86F51">
        <w:rPr>
          <w:color w:val="000000" w:themeColor="text1"/>
        </w:rPr>
        <w:t xml:space="preserve">While it is impractical for any country to expect to fully close its policy and compliance gaps, the </w:t>
      </w:r>
      <w:r w:rsidR="00FA2B22">
        <w:rPr>
          <w:color w:val="000000" w:themeColor="text1"/>
        </w:rPr>
        <w:t xml:space="preserve">potential </w:t>
      </w:r>
      <w:r w:rsidR="00C86F51">
        <w:rPr>
          <w:color w:val="000000" w:themeColor="text1"/>
        </w:rPr>
        <w:t>magnitude of the</w:t>
      </w:r>
      <w:r w:rsidR="00FA2B22">
        <w:rPr>
          <w:color w:val="000000" w:themeColor="text1"/>
        </w:rPr>
        <w:t xml:space="preserve">se foregone revenues in Indonesia </w:t>
      </w:r>
      <w:r w:rsidR="00CA4ADA">
        <w:rPr>
          <w:color w:val="000000" w:themeColor="text1"/>
        </w:rPr>
        <w:t xml:space="preserve">strongly suggests that more can be done. </w:t>
      </w:r>
      <w:r w:rsidRPr="00E01473">
        <w:rPr>
          <w:color w:val="000000" w:themeColor="text1"/>
        </w:rPr>
        <w:t xml:space="preserve">Efforts to tackle Indonesia’s </w:t>
      </w:r>
      <w:r w:rsidR="00645CA1">
        <w:rPr>
          <w:color w:val="000000" w:themeColor="text1"/>
        </w:rPr>
        <w:t xml:space="preserve">low </w:t>
      </w:r>
      <w:r w:rsidRPr="00E01473">
        <w:rPr>
          <w:color w:val="000000" w:themeColor="text1"/>
        </w:rPr>
        <w:t>tax challenge would</w:t>
      </w:r>
      <w:r w:rsidR="00FA66D3">
        <w:rPr>
          <w:color w:val="000000" w:themeColor="text1"/>
        </w:rPr>
        <w:t>,</w:t>
      </w:r>
      <w:r w:rsidRPr="00E01473">
        <w:rPr>
          <w:color w:val="000000" w:themeColor="text1"/>
        </w:rPr>
        <w:t xml:space="preserve"> </w:t>
      </w:r>
      <w:r w:rsidR="00645CA1">
        <w:rPr>
          <w:color w:val="000000" w:themeColor="text1"/>
        </w:rPr>
        <w:t>therefore</w:t>
      </w:r>
      <w:r w:rsidR="00FA66D3">
        <w:rPr>
          <w:color w:val="000000" w:themeColor="text1"/>
        </w:rPr>
        <w:t>,</w:t>
      </w:r>
      <w:r w:rsidR="00645CA1">
        <w:rPr>
          <w:color w:val="000000" w:themeColor="text1"/>
        </w:rPr>
        <w:t xml:space="preserve"> </w:t>
      </w:r>
      <w:r w:rsidRPr="00E01473">
        <w:rPr>
          <w:color w:val="000000" w:themeColor="text1"/>
        </w:rPr>
        <w:t xml:space="preserve">benefit from a closer understanding of </w:t>
      </w:r>
      <w:r w:rsidR="00645CA1">
        <w:rPr>
          <w:color w:val="000000" w:themeColor="text1"/>
        </w:rPr>
        <w:t>the</w:t>
      </w:r>
      <w:r w:rsidR="00645CA1">
        <w:rPr>
          <w:color w:val="000000" w:themeColor="text1"/>
          <w:vertAlign w:val="subscript"/>
        </w:rPr>
        <w:t xml:space="preserve"> </w:t>
      </w:r>
      <w:r w:rsidR="00645CA1">
        <w:rPr>
          <w:color w:val="000000" w:themeColor="text1"/>
        </w:rPr>
        <w:t xml:space="preserve">VAT, the CIT, and the </w:t>
      </w:r>
      <w:r w:rsidR="00FA66D3" w:rsidRPr="00FD66AB">
        <w:rPr>
          <w:color w:val="000000" w:themeColor="text1"/>
        </w:rPr>
        <w:t>alternative final tax (</w:t>
      </w:r>
      <w:r w:rsidR="00645CA1" w:rsidRPr="00FD66AB">
        <w:rPr>
          <w:color w:val="000000" w:themeColor="text1"/>
        </w:rPr>
        <w:t>AFT</w:t>
      </w:r>
      <w:r w:rsidR="00FA66D3" w:rsidRPr="00FD66AB">
        <w:rPr>
          <w:color w:val="000000" w:themeColor="text1"/>
        </w:rPr>
        <w:t>)</w:t>
      </w:r>
      <w:r w:rsidR="00645CA1" w:rsidRPr="00FD66AB">
        <w:rPr>
          <w:color w:val="000000" w:themeColor="text1"/>
        </w:rPr>
        <w:t xml:space="preserve"> that is directly linked to the latter</w:t>
      </w:r>
      <w:r w:rsidRPr="00FD66AB">
        <w:rPr>
          <w:color w:val="000000" w:themeColor="text1"/>
        </w:rPr>
        <w:t>.</w:t>
      </w:r>
      <w:r w:rsidRPr="00FD66AB">
        <w:rPr>
          <w:b/>
          <w:bCs/>
          <w:color w:val="000000" w:themeColor="text1"/>
        </w:rPr>
        <w:t xml:space="preserve"> </w:t>
      </w:r>
    </w:p>
    <w:p w14:paraId="5E3A36F6" w14:textId="0A7699FD" w:rsidR="00D75506" w:rsidRDefault="00D367DD" w:rsidP="008C5E36">
      <w:pPr>
        <w:pStyle w:val="ListParagraph"/>
        <w:numPr>
          <w:ilvl w:val="0"/>
          <w:numId w:val="12"/>
        </w:numPr>
        <w:spacing w:before="120"/>
        <w:ind w:left="0" w:firstLine="0"/>
        <w:contextualSpacing w:val="0"/>
        <w:jc w:val="both"/>
      </w:pPr>
      <w:r w:rsidRPr="00FD66AB" w:rsidDel="00050D6A">
        <w:rPr>
          <w:b/>
          <w:bCs/>
          <w:color w:val="000000" w:themeColor="text1"/>
        </w:rPr>
        <w:t>T</w:t>
      </w:r>
      <w:r w:rsidRPr="00FD66AB">
        <w:rPr>
          <w:b/>
          <w:bCs/>
          <w:color w:val="000000" w:themeColor="text1"/>
        </w:rPr>
        <w:t xml:space="preserve">his paper reviews the policy frameworks of CIT, the AFT for </w:t>
      </w:r>
      <w:r w:rsidR="00165256" w:rsidRPr="00FD66AB">
        <w:rPr>
          <w:b/>
          <w:bCs/>
          <w:color w:val="000000" w:themeColor="text1"/>
        </w:rPr>
        <w:t>micro, small, and medium enterprises (</w:t>
      </w:r>
      <w:r w:rsidRPr="00FD66AB">
        <w:rPr>
          <w:b/>
          <w:bCs/>
          <w:color w:val="000000" w:themeColor="text1"/>
        </w:rPr>
        <w:t>MSMEs</w:t>
      </w:r>
      <w:r w:rsidR="00165256" w:rsidRPr="00FD66AB">
        <w:rPr>
          <w:b/>
          <w:bCs/>
          <w:color w:val="000000" w:themeColor="text1"/>
        </w:rPr>
        <w:t>)</w:t>
      </w:r>
      <w:r w:rsidRPr="00FD66AB">
        <w:rPr>
          <w:b/>
          <w:bCs/>
          <w:color w:val="000000" w:themeColor="text1"/>
        </w:rPr>
        <w:t>, and VAT in Indonesia.</w:t>
      </w:r>
      <w:r w:rsidRPr="00FD66AB">
        <w:rPr>
          <w:color w:val="000000" w:themeColor="text1"/>
        </w:rPr>
        <w:t xml:space="preserve"> First, it identifies major changes in CIT, AFT, and VAT</w:t>
      </w:r>
      <w:r>
        <w:rPr>
          <w:color w:val="000000" w:themeColor="text1"/>
        </w:rPr>
        <w:t xml:space="preserve"> policies since their first adoption. Second, it reviews the design elements of these instruments by delving into their finer legislative and regulatory details</w:t>
      </w:r>
      <w:r w:rsidR="00781A41">
        <w:rPr>
          <w:rFonts w:cstheme="minorHAnsi"/>
          <w:color w:val="000000" w:themeColor="text1"/>
        </w:rPr>
        <w:t>–</w:t>
      </w:r>
      <w:r>
        <w:rPr>
          <w:color w:val="000000" w:themeColor="text1"/>
        </w:rPr>
        <w:t>considering key issues in administration and compliance and drawing comparisons with peer</w:t>
      </w:r>
      <w:r w:rsidR="008C5E36">
        <w:rPr>
          <w:color w:val="000000" w:themeColor="text1"/>
        </w:rPr>
        <w:t>s in Southeast Asia</w:t>
      </w:r>
      <w:r w:rsidR="00781A41">
        <w:rPr>
          <w:color w:val="000000" w:themeColor="text1"/>
        </w:rPr>
        <w:t>.</w:t>
      </w:r>
      <w:r w:rsidR="007C121D">
        <w:rPr>
          <w:rStyle w:val="FootnoteReference"/>
          <w:color w:val="000000" w:themeColor="text1"/>
        </w:rPr>
        <w:footnoteReference w:id="6"/>
      </w:r>
      <w:r>
        <w:rPr>
          <w:color w:val="000000" w:themeColor="text1"/>
        </w:rPr>
        <w:t xml:space="preserve"> </w:t>
      </w:r>
      <w:r w:rsidRPr="00390D4E">
        <w:rPr>
          <w:color w:val="000000" w:themeColor="text1"/>
        </w:rPr>
        <w:t xml:space="preserve">Third, </w:t>
      </w:r>
      <w:r w:rsidR="008C5E36" w:rsidRPr="00390D4E">
        <w:rPr>
          <w:color w:val="000000" w:themeColor="text1"/>
        </w:rPr>
        <w:t xml:space="preserve">it </w:t>
      </w:r>
      <w:r w:rsidR="008C5E36">
        <w:rPr>
          <w:color w:val="000000" w:themeColor="text1"/>
        </w:rPr>
        <w:t xml:space="preserve">draws on the preceding discussion to outline </w:t>
      </w:r>
      <w:r w:rsidR="008C5E36" w:rsidRPr="00390D4E">
        <w:rPr>
          <w:color w:val="000000" w:themeColor="text1"/>
        </w:rPr>
        <w:t>a set of policy</w:t>
      </w:r>
      <w:r w:rsidR="008C5E36">
        <w:rPr>
          <w:color w:val="000000" w:themeColor="text1"/>
        </w:rPr>
        <w:t xml:space="preserve"> recommendations</w:t>
      </w:r>
      <w:r w:rsidR="008C5E36" w:rsidRPr="00390D4E">
        <w:t>.</w:t>
      </w:r>
      <w:r w:rsidR="007F57C0">
        <w:t xml:space="preserve"> </w:t>
      </w:r>
    </w:p>
    <w:p w14:paraId="3D9CDEBF" w14:textId="2E480A63" w:rsidR="00D367DD" w:rsidRDefault="00C541C3" w:rsidP="008C5E36">
      <w:pPr>
        <w:pStyle w:val="ListParagraph"/>
        <w:numPr>
          <w:ilvl w:val="0"/>
          <w:numId w:val="12"/>
        </w:numPr>
        <w:spacing w:before="120"/>
        <w:ind w:left="0" w:firstLine="0"/>
        <w:contextualSpacing w:val="0"/>
        <w:jc w:val="both"/>
      </w:pPr>
      <w:r w:rsidRPr="00E01473">
        <w:rPr>
          <w:b/>
          <w:bCs/>
        </w:rPr>
        <w:t>Overall, t</w:t>
      </w:r>
      <w:r w:rsidR="007F57C0" w:rsidRPr="00E01473">
        <w:rPr>
          <w:b/>
          <w:bCs/>
        </w:rPr>
        <w:t xml:space="preserve">he paper </w:t>
      </w:r>
      <w:r w:rsidR="004C52AE" w:rsidRPr="00E01473">
        <w:rPr>
          <w:b/>
          <w:bCs/>
        </w:rPr>
        <w:t>aims to c</w:t>
      </w:r>
      <w:r w:rsidR="007F57C0" w:rsidRPr="00E01473">
        <w:rPr>
          <w:b/>
          <w:bCs/>
        </w:rPr>
        <w:t xml:space="preserve">onsolidate </w:t>
      </w:r>
      <w:r w:rsidR="007631C6" w:rsidRPr="00E01473">
        <w:rPr>
          <w:b/>
          <w:bCs/>
        </w:rPr>
        <w:t xml:space="preserve">the latest </w:t>
      </w:r>
      <w:r w:rsidR="008F5B4A" w:rsidRPr="00E01473">
        <w:rPr>
          <w:b/>
          <w:bCs/>
        </w:rPr>
        <w:t xml:space="preserve">World Bank </w:t>
      </w:r>
      <w:r w:rsidR="007631C6" w:rsidRPr="00E01473">
        <w:rPr>
          <w:b/>
          <w:bCs/>
        </w:rPr>
        <w:t>thinking on these Indonesian taxes</w:t>
      </w:r>
      <w:r w:rsidR="005B00D1" w:rsidRPr="00E01473">
        <w:rPr>
          <w:b/>
          <w:bCs/>
        </w:rPr>
        <w:t xml:space="preserve">, inform </w:t>
      </w:r>
      <w:r w:rsidR="005C7004" w:rsidRPr="00E01473">
        <w:rPr>
          <w:b/>
          <w:bCs/>
        </w:rPr>
        <w:t xml:space="preserve">an updated </w:t>
      </w:r>
      <w:r w:rsidR="007F57C0" w:rsidRPr="00E01473">
        <w:rPr>
          <w:b/>
          <w:bCs/>
        </w:rPr>
        <w:t>tax reform agenda</w:t>
      </w:r>
      <w:r w:rsidR="0085274D" w:rsidRPr="00E01473">
        <w:rPr>
          <w:b/>
          <w:bCs/>
        </w:rPr>
        <w:t xml:space="preserve"> for Indonesia’s</w:t>
      </w:r>
      <w:r w:rsidR="008B437E" w:rsidRPr="00E01473">
        <w:rPr>
          <w:b/>
          <w:bCs/>
        </w:rPr>
        <w:t xml:space="preserve"> incoming government </w:t>
      </w:r>
      <w:r w:rsidR="00FA4BE4" w:rsidRPr="00E01473">
        <w:rPr>
          <w:b/>
          <w:bCs/>
        </w:rPr>
        <w:t>in 2024</w:t>
      </w:r>
      <w:r w:rsidR="003B1F22" w:rsidRPr="00E01473">
        <w:rPr>
          <w:b/>
          <w:bCs/>
        </w:rPr>
        <w:t>,</w:t>
      </w:r>
      <w:r w:rsidR="007F57C0" w:rsidRPr="00E01473">
        <w:rPr>
          <w:b/>
          <w:bCs/>
        </w:rPr>
        <w:t xml:space="preserve"> and </w:t>
      </w:r>
      <w:r w:rsidR="00475631" w:rsidRPr="00E01473">
        <w:rPr>
          <w:b/>
          <w:bCs/>
        </w:rPr>
        <w:t xml:space="preserve">identify knowledge </w:t>
      </w:r>
      <w:r w:rsidR="007F57C0" w:rsidRPr="00E01473">
        <w:rPr>
          <w:b/>
          <w:bCs/>
        </w:rPr>
        <w:t xml:space="preserve">gaps that could be filled by future </w:t>
      </w:r>
      <w:r w:rsidR="008F5B4A" w:rsidRPr="00E01473">
        <w:rPr>
          <w:b/>
          <w:bCs/>
        </w:rPr>
        <w:t>analytical and research work</w:t>
      </w:r>
      <w:r w:rsidR="007F57C0" w:rsidRPr="00E01473">
        <w:rPr>
          <w:b/>
          <w:bCs/>
        </w:rPr>
        <w:t>.</w:t>
      </w:r>
      <w:r w:rsidR="00973CB0" w:rsidRPr="00E01473">
        <w:rPr>
          <w:b/>
          <w:bCs/>
        </w:rPr>
        <w:t xml:space="preserve"> </w:t>
      </w:r>
      <w:r w:rsidR="00973CB0">
        <w:t xml:space="preserve">Tax systems are highly complex, with instruments </w:t>
      </w:r>
      <w:r w:rsidR="006B1994">
        <w:t>that interact both directly and indirectly (such as through taxpayer behavioral responses), as well as intentionally and unintentionally</w:t>
      </w:r>
      <w:r w:rsidR="00973CB0">
        <w:t xml:space="preserve">. </w:t>
      </w:r>
      <w:r w:rsidR="006B1994">
        <w:t>I</w:t>
      </w:r>
      <w:r w:rsidR="00973CB0">
        <w:t xml:space="preserve">t </w:t>
      </w:r>
      <w:r w:rsidR="006B1994">
        <w:t>is</w:t>
      </w:r>
      <w:r w:rsidR="00165256">
        <w:t>,</w:t>
      </w:r>
      <w:r w:rsidR="006B1994">
        <w:t xml:space="preserve"> </w:t>
      </w:r>
      <w:r w:rsidR="0089401F">
        <w:t>th</w:t>
      </w:r>
      <w:r w:rsidR="00165256">
        <w:t>erefore,</w:t>
      </w:r>
      <w:r w:rsidR="0089401F">
        <w:t xml:space="preserve"> </w:t>
      </w:r>
      <w:r w:rsidR="00973CB0">
        <w:t xml:space="preserve">impossible to provide an exhaustive </w:t>
      </w:r>
      <w:r w:rsidR="006B1994">
        <w:t xml:space="preserve">review of the CIT, AFT, </w:t>
      </w:r>
      <w:r w:rsidR="00165256">
        <w:t xml:space="preserve">and </w:t>
      </w:r>
      <w:r w:rsidR="006B1994">
        <w:t>VAT without also delving into the many other instruments that interact with them</w:t>
      </w:r>
      <w:r w:rsidR="00165256">
        <w:rPr>
          <w:rFonts w:cstheme="minorHAnsi"/>
        </w:rPr>
        <w:t>–</w:t>
      </w:r>
      <w:r w:rsidR="0089401F">
        <w:t xml:space="preserve">particularly the </w:t>
      </w:r>
      <w:r w:rsidR="00165256">
        <w:t>PIT</w:t>
      </w:r>
      <w:r w:rsidR="0089401F">
        <w:t>, international tax</w:t>
      </w:r>
      <w:r w:rsidR="000B3E9F">
        <w:t xml:space="preserve">es, </w:t>
      </w:r>
      <w:r w:rsidR="00C50649">
        <w:t>natural resource ta</w:t>
      </w:r>
      <w:r w:rsidR="004F491B">
        <w:t>xes</w:t>
      </w:r>
      <w:r w:rsidR="00C50649">
        <w:t xml:space="preserve">, </w:t>
      </w:r>
      <w:r w:rsidR="000B3E9F">
        <w:t>and other capital income taxes (</w:t>
      </w:r>
      <w:r w:rsidR="00165256">
        <w:t>such as</w:t>
      </w:r>
      <w:r w:rsidR="000B3E9F">
        <w:t xml:space="preserve"> dividend income)</w:t>
      </w:r>
      <w:r w:rsidR="006B1994">
        <w:t xml:space="preserve">. Nonetheless, to </w:t>
      </w:r>
      <w:r w:rsidR="002B0F95">
        <w:t xml:space="preserve">ensure a pragmatic </w:t>
      </w:r>
      <w:r w:rsidR="006B1994">
        <w:t xml:space="preserve">scope </w:t>
      </w:r>
      <w:r w:rsidR="002B0F95">
        <w:t xml:space="preserve">for </w:t>
      </w:r>
      <w:r w:rsidR="006B1994">
        <w:t xml:space="preserve">this exercise and focus </w:t>
      </w:r>
      <w:r w:rsidR="002B0F95">
        <w:t xml:space="preserve">on the key revenue-relevant gaps in the system, these other instruments have been ruled out of scope. </w:t>
      </w:r>
    </w:p>
    <w:p w14:paraId="55D573BB" w14:textId="5C57E9D0" w:rsidR="009724FE" w:rsidRPr="0081187B" w:rsidRDefault="00CA665D" w:rsidP="00E01473">
      <w:pPr>
        <w:pStyle w:val="ListParagraph"/>
        <w:numPr>
          <w:ilvl w:val="0"/>
          <w:numId w:val="12"/>
        </w:numPr>
        <w:spacing w:before="120"/>
        <w:ind w:left="0" w:firstLine="0"/>
        <w:contextualSpacing w:val="0"/>
        <w:jc w:val="both"/>
        <w:rPr>
          <w:rFonts w:asciiTheme="majorHAnsi" w:eastAsiaTheme="majorEastAsia" w:hAnsiTheme="majorHAnsi" w:cstheme="majorBidi"/>
          <w:color w:val="2F5496" w:themeColor="accent1" w:themeShade="BF"/>
          <w:sz w:val="32"/>
          <w:szCs w:val="32"/>
        </w:rPr>
      </w:pPr>
      <w:r w:rsidRPr="0081187B">
        <w:rPr>
          <w:b/>
          <w:bCs/>
          <w:color w:val="000000" w:themeColor="text1"/>
        </w:rPr>
        <w:t xml:space="preserve">The remainder of this paper is structured </w:t>
      </w:r>
      <w:r w:rsidR="00A34EAD" w:rsidRPr="0081187B">
        <w:rPr>
          <w:b/>
          <w:bCs/>
          <w:color w:val="000000" w:themeColor="text1"/>
        </w:rPr>
        <w:t>as follows</w:t>
      </w:r>
      <w:r w:rsidR="00A34EAD">
        <w:t>. S</w:t>
      </w:r>
      <w:r w:rsidR="00670504">
        <w:t xml:space="preserve">ection 2 discusses </w:t>
      </w:r>
      <w:r w:rsidR="002912B6">
        <w:t xml:space="preserve">the history, design, </w:t>
      </w:r>
      <w:r w:rsidR="00645D9C">
        <w:t xml:space="preserve">and tax expenditures of the CIT, as well as </w:t>
      </w:r>
      <w:r w:rsidR="00216F84">
        <w:t xml:space="preserve">issues of administration and compliance. </w:t>
      </w:r>
      <w:r w:rsidR="00943A56">
        <w:t xml:space="preserve">Section 3 </w:t>
      </w:r>
      <w:r w:rsidR="00B86430">
        <w:t xml:space="preserve">offers a similar discussion for the AFT, while </w:t>
      </w:r>
      <w:r w:rsidR="00D57EB5">
        <w:t xml:space="preserve">also </w:t>
      </w:r>
      <w:r w:rsidR="0099049D">
        <w:t>presenting a stylized</w:t>
      </w:r>
      <w:r w:rsidR="00571F69">
        <w:t xml:space="preserve"> framework </w:t>
      </w:r>
      <w:r w:rsidR="00D57EB5">
        <w:t xml:space="preserve">for comparing tax </w:t>
      </w:r>
      <w:r w:rsidR="001C3B5A">
        <w:t xml:space="preserve">burdens </w:t>
      </w:r>
      <w:r w:rsidR="00B361E4">
        <w:t xml:space="preserve">under the AFT </w:t>
      </w:r>
      <w:r w:rsidR="009050BF">
        <w:t xml:space="preserve">relative to </w:t>
      </w:r>
      <w:r w:rsidR="00B361E4">
        <w:t>the concessional arrangements available for MSMEs under the CIT.</w:t>
      </w:r>
      <w:r w:rsidR="004A7629">
        <w:t xml:space="preserve"> Section 4 </w:t>
      </w:r>
      <w:r w:rsidR="0081187B">
        <w:t xml:space="preserve">discusses </w:t>
      </w:r>
      <w:proofErr w:type="gramStart"/>
      <w:r w:rsidR="0081187B">
        <w:t>the VAT</w:t>
      </w:r>
      <w:proofErr w:type="gramEnd"/>
      <w:r w:rsidR="00AC324B">
        <w:t>.</w:t>
      </w:r>
      <w:r w:rsidR="00030BEA">
        <w:t xml:space="preserve"> </w:t>
      </w:r>
      <w:r w:rsidR="0081187B">
        <w:t xml:space="preserve">Section 5 concludes </w:t>
      </w:r>
      <w:r w:rsidR="00030BEA">
        <w:t xml:space="preserve">with recommendations </w:t>
      </w:r>
      <w:r w:rsidR="00AC324B">
        <w:t>and a brief discussion of caveats and knowledge gaps</w:t>
      </w:r>
      <w:r w:rsidR="00E63EA4">
        <w:t>.</w:t>
      </w:r>
      <w:r w:rsidR="009724FE">
        <w:br w:type="page"/>
      </w:r>
    </w:p>
    <w:p w14:paraId="4039CCD8" w14:textId="4EC78F28" w:rsidR="00130BE0" w:rsidRPr="00B71B7B" w:rsidRDefault="00165256" w:rsidP="00130BE0">
      <w:pPr>
        <w:pStyle w:val="Heading1"/>
        <w:spacing w:after="240"/>
      </w:pPr>
      <w:bookmarkStart w:id="7" w:name="_1qrx3fmemz98" w:colFirst="0" w:colLast="0"/>
      <w:bookmarkStart w:id="8" w:name="_Toc177819031"/>
      <w:bookmarkEnd w:id="7"/>
      <w:r>
        <w:lastRenderedPageBreak/>
        <w:t xml:space="preserve">Section </w:t>
      </w:r>
      <w:r w:rsidR="00130BE0" w:rsidRPr="00B71B7B">
        <w:t>2. Corporate Income Tax</w:t>
      </w:r>
      <w:r>
        <w:t xml:space="preserve"> (CIT)</w:t>
      </w:r>
      <w:bookmarkEnd w:id="8"/>
    </w:p>
    <w:p w14:paraId="04745D14" w14:textId="73EA2043" w:rsidR="00130BE0" w:rsidRDefault="00130BE0" w:rsidP="00130BE0">
      <w:pPr>
        <w:pStyle w:val="ListParagraph"/>
        <w:numPr>
          <w:ilvl w:val="0"/>
          <w:numId w:val="12"/>
        </w:numPr>
        <w:spacing w:before="120"/>
        <w:ind w:left="0" w:firstLine="0"/>
        <w:contextualSpacing w:val="0"/>
        <w:jc w:val="both"/>
      </w:pPr>
      <w:proofErr w:type="gramStart"/>
      <w:r w:rsidRPr="00A84A08">
        <w:rPr>
          <w:b/>
        </w:rPr>
        <w:t>The CIT</w:t>
      </w:r>
      <w:proofErr w:type="gramEnd"/>
      <w:r w:rsidRPr="00A84A08">
        <w:rPr>
          <w:b/>
        </w:rPr>
        <w:t xml:space="preserve"> is an important source of revenue for most governments around the </w:t>
      </w:r>
      <w:r w:rsidRPr="00832F36">
        <w:rPr>
          <w:b/>
        </w:rPr>
        <w:t>world.</w:t>
      </w:r>
      <w:r w:rsidRPr="00832F36">
        <w:t xml:space="preserve"> It is </w:t>
      </w:r>
      <w:r w:rsidR="00832F36" w:rsidRPr="004B21CC">
        <w:t xml:space="preserve">an important </w:t>
      </w:r>
      <w:r w:rsidRPr="00832F36">
        <w:t>instrument employed by governments for taxing the earnings of capital.</w:t>
      </w:r>
      <w:r>
        <w:t xml:space="preserve"> However, as with any policy instrument, it has tradeoffs. It is considered a relatively efficient tax instrument when compared to direct taxes on turnover or capital assets</w:t>
      </w:r>
      <w:r w:rsidR="00165256">
        <w:t>,</w:t>
      </w:r>
      <w:r w:rsidR="005212E1">
        <w:rPr>
          <w:rStyle w:val="FootnoteReference"/>
        </w:rPr>
        <w:footnoteReference w:id="7"/>
      </w:r>
      <w:r>
        <w:t xml:space="preserve"> as it allows for deductions of various business costs</w:t>
      </w:r>
      <w:r w:rsidR="00971A82">
        <w:rPr>
          <w:rFonts w:cstheme="minorHAnsi"/>
        </w:rPr>
        <w:t>–</w:t>
      </w:r>
      <w:r>
        <w:t xml:space="preserve">thereby directly targeting profits earned by corporations. By contrast, it is typically considered less efficient than </w:t>
      </w:r>
      <w:proofErr w:type="gramStart"/>
      <w:r>
        <w:t>excise</w:t>
      </w:r>
      <w:proofErr w:type="gramEnd"/>
      <w:r>
        <w:t>, carbon</w:t>
      </w:r>
      <w:r w:rsidR="00971A82">
        <w:t xml:space="preserve"> taxes</w:t>
      </w:r>
      <w:r>
        <w:t xml:space="preserve">, and </w:t>
      </w:r>
      <w:r w:rsidR="00971A82">
        <w:t>VAT</w:t>
      </w:r>
      <w:r>
        <w:t>.</w:t>
      </w:r>
      <w:r>
        <w:rPr>
          <w:rStyle w:val="FootnoteReference"/>
        </w:rPr>
        <w:footnoteReference w:id="8"/>
      </w:r>
      <w:r>
        <w:t xml:space="preserve"> Nonetheless, a broad-based low-rate CIT regime also offers the advantage of some automatic countercyclical fiscal stabilization. During economic downturns, when profits contract, CIT allows businesses to retain proportionately more of their earnings compared to, say, a turnover tax. This helps to alleviate financial strain and moderates economic volatility.</w:t>
      </w:r>
      <w:r>
        <w:rPr>
          <w:rStyle w:val="FootnoteReference"/>
        </w:rPr>
        <w:footnoteReference w:id="9"/>
      </w:r>
      <w:r>
        <w:t xml:space="preserve"> </w:t>
      </w:r>
    </w:p>
    <w:p w14:paraId="7F237D3D" w14:textId="77777777" w:rsidR="00130BE0" w:rsidRPr="0050606C" w:rsidRDefault="00130BE0" w:rsidP="00130BE0">
      <w:pPr>
        <w:pStyle w:val="Heading2"/>
        <w:rPr>
          <w:rFonts w:asciiTheme="minorHAnsi" w:hAnsiTheme="minorHAnsi" w:cstheme="minorHAnsi"/>
          <w:color w:val="4472C4" w:themeColor="accent1"/>
          <w:sz w:val="24"/>
          <w:szCs w:val="24"/>
        </w:rPr>
      </w:pPr>
      <w:bookmarkStart w:id="9" w:name="_Toc177819032"/>
      <w:r w:rsidRPr="0050606C">
        <w:rPr>
          <w:rFonts w:asciiTheme="minorHAnsi" w:hAnsiTheme="minorHAnsi" w:cstheme="minorHAnsi"/>
          <w:color w:val="4472C4" w:themeColor="accent1"/>
          <w:sz w:val="24"/>
          <w:szCs w:val="24"/>
        </w:rPr>
        <w:t>History of Indonesia’s corporate taxation</w:t>
      </w:r>
      <w:bookmarkEnd w:id="9"/>
    </w:p>
    <w:p w14:paraId="0F88771D" w14:textId="2BBBA97E" w:rsidR="00130BE0" w:rsidRDefault="00130BE0" w:rsidP="00130BE0">
      <w:pPr>
        <w:pStyle w:val="ListParagraph"/>
        <w:numPr>
          <w:ilvl w:val="0"/>
          <w:numId w:val="12"/>
        </w:numPr>
        <w:spacing w:before="120"/>
        <w:ind w:left="0" w:firstLine="0"/>
        <w:contextualSpacing w:val="0"/>
        <w:jc w:val="both"/>
      </w:pPr>
      <w:r w:rsidRPr="006009FA">
        <w:rPr>
          <w:b/>
          <w:bCs/>
        </w:rPr>
        <w:t xml:space="preserve">Indonesia’s corporate taxation </w:t>
      </w:r>
      <w:r w:rsidR="00971A82">
        <w:rPr>
          <w:b/>
          <w:bCs/>
        </w:rPr>
        <w:t xml:space="preserve">regime </w:t>
      </w:r>
      <w:r w:rsidRPr="006009FA">
        <w:rPr>
          <w:b/>
          <w:bCs/>
        </w:rPr>
        <w:t>has gone through several phases of development and reform since the nation received its independence in 194</w:t>
      </w:r>
      <w:r>
        <w:rPr>
          <w:b/>
          <w:bCs/>
        </w:rPr>
        <w:t>5</w:t>
      </w:r>
      <w:r w:rsidRPr="006009FA">
        <w:rPr>
          <w:b/>
          <w:bCs/>
        </w:rPr>
        <w:t>.</w:t>
      </w:r>
      <w:r>
        <w:t xml:space="preserve"> Early on, corporate taxation was largely based on a Dutch corporate tax law from 1925.</w:t>
      </w:r>
      <w:r>
        <w:rPr>
          <w:rStyle w:val="FootnoteReference"/>
        </w:rPr>
        <w:footnoteReference w:id="10"/>
      </w:r>
      <w:r>
        <w:t xml:space="preserve"> Registration and compliance with income taxes was minimal and most public revenues were raised through indirect taxes such as exports taxes. During the 1970s, a global commodities boom saw resources revenues take over as the core driver of revenues</w:t>
      </w:r>
      <w:r w:rsidR="00971A82">
        <w:rPr>
          <w:rFonts w:cstheme="minorHAnsi"/>
        </w:rPr>
        <w:t>–</w:t>
      </w:r>
      <w:r>
        <w:t>with oil and gas revenues reaching as high as 10 percent of GDP.</w:t>
      </w:r>
      <w:r>
        <w:rPr>
          <w:rStyle w:val="FootnoteReference"/>
        </w:rPr>
        <w:footnoteReference w:id="11"/>
      </w:r>
      <w:r>
        <w:t xml:space="preserve"> To diversify the revenue base and try to mitigate </w:t>
      </w:r>
      <w:r w:rsidR="00162B8E">
        <w:t>‘</w:t>
      </w:r>
      <w:r>
        <w:t>Dutch disease</w:t>
      </w:r>
      <w:r w:rsidR="00162B8E">
        <w:t>’</w:t>
      </w:r>
      <w:r>
        <w:t>, the government started considering income tax reforms. By this point, Indonesia had an overall progressive tax structure: corporate taxation with increasing statutory rates of 20, 30</w:t>
      </w:r>
      <w:r w:rsidR="00971A82">
        <w:t>,</w:t>
      </w:r>
      <w:r>
        <w:t xml:space="preserve"> and 45 percent, and personal income taxation with </w:t>
      </w:r>
      <w:r w:rsidRPr="009D7312">
        <w:t>19 rates</w:t>
      </w:r>
      <w:r>
        <w:t xml:space="preserve"> increasing from 5 to 50 percent.</w:t>
      </w:r>
      <w:r>
        <w:rPr>
          <w:rStyle w:val="FootnoteReference"/>
        </w:rPr>
        <w:footnoteReference w:id="12"/>
      </w:r>
      <w:r>
        <w:t xml:space="preserve"> Despite the progressive structure, generous corporate tax incentives were so ubiquitous that private sector firms accounted for less than </w:t>
      </w:r>
      <w:r w:rsidR="00A256A8">
        <w:t>one-</w:t>
      </w:r>
      <w:r>
        <w:t>third of corporate tax collections. Almost two</w:t>
      </w:r>
      <w:r w:rsidR="00A256A8">
        <w:t>-</w:t>
      </w:r>
      <w:r>
        <w:t xml:space="preserve">thirds of corporate taxes were accounted for by the largest 25 state-owned enterprises (excluding Pertamina, the state-owned oil company). </w:t>
      </w:r>
    </w:p>
    <w:p w14:paraId="014E4105" w14:textId="233841DF" w:rsidR="00130BE0" w:rsidRDefault="00130BE0" w:rsidP="00130BE0">
      <w:pPr>
        <w:pStyle w:val="ListParagraph"/>
        <w:numPr>
          <w:ilvl w:val="0"/>
          <w:numId w:val="12"/>
        </w:numPr>
        <w:spacing w:before="120"/>
        <w:ind w:left="0" w:firstLine="0"/>
        <w:contextualSpacing w:val="0"/>
        <w:jc w:val="both"/>
      </w:pPr>
      <w:r w:rsidRPr="00A84A08">
        <w:rPr>
          <w:b/>
        </w:rPr>
        <w:t>A spate of major reforms introduced in 1983 merged personal and corporate income taxation into a single regime, lowered rates, and introduced a system of withholding tax arrangements.</w:t>
      </w:r>
      <w:r>
        <w:t xml:space="preserve"> The tax system was fundamentally altered from one in which the government generated assessments for eligible taxpayers, to a self-assessment framework wherein calculation, reporting, and payment became the obligation of taxpayers. Personal and corporate income taxation were combined under one statutory rate structure: a three-tier progressive structure with rates of 15 percent on the first R</w:t>
      </w:r>
      <w:r w:rsidR="00CB262B">
        <w:t>p</w:t>
      </w:r>
      <w:r>
        <w:t xml:space="preserve"> 10 million, 25 percent on the next R</w:t>
      </w:r>
      <w:r w:rsidR="00CB262B">
        <w:t>p</w:t>
      </w:r>
      <w:r>
        <w:t xml:space="preserve"> 40 million, and then 35 percent for all remaining income above R</w:t>
      </w:r>
      <w:r w:rsidR="00CB262B">
        <w:t>p</w:t>
      </w:r>
      <w:r>
        <w:t xml:space="preserve"> 50 million.</w:t>
      </w:r>
      <w:r>
        <w:rPr>
          <w:rStyle w:val="FootnoteReference"/>
        </w:rPr>
        <w:footnoteReference w:id="13"/>
      </w:r>
      <w:r>
        <w:t xml:space="preserve"> All </w:t>
      </w:r>
      <w:r w:rsidR="00A256A8">
        <w:t>CIT</w:t>
      </w:r>
      <w:r>
        <w:t xml:space="preserve"> incentives without a strict sunset date were also abolished. At the time, among Southeast Asian nations, only Thailand had a lower corporate tax rate</w:t>
      </w:r>
      <w:r w:rsidR="00F7413F">
        <w:t xml:space="preserve"> (Gillis 1989)</w:t>
      </w:r>
      <w:r>
        <w:t>. Further reforms in 1994 and 2000 cut these further to 10 percent on the first R</w:t>
      </w:r>
      <w:r w:rsidR="00CB262B">
        <w:t>p</w:t>
      </w:r>
      <w:r>
        <w:t xml:space="preserve"> 50 </w:t>
      </w:r>
      <w:r>
        <w:lastRenderedPageBreak/>
        <w:t>million, 15 percent on the next R</w:t>
      </w:r>
      <w:r w:rsidR="00CB262B">
        <w:t>p</w:t>
      </w:r>
      <w:r>
        <w:t xml:space="preserve"> 50 million, and then 30 percent for all remaining income above R</w:t>
      </w:r>
      <w:r w:rsidR="00CB262B">
        <w:t>p</w:t>
      </w:r>
      <w:r>
        <w:t xml:space="preserve"> 100 million.</w:t>
      </w:r>
      <w:r>
        <w:rPr>
          <w:rStyle w:val="FootnoteReference"/>
        </w:rPr>
        <w:footnoteReference w:id="14"/>
      </w:r>
      <w:r>
        <w:t xml:space="preserve"> The </w:t>
      </w:r>
      <w:r w:rsidR="00A256A8">
        <w:t>19</w:t>
      </w:r>
      <w:r>
        <w:t xml:space="preserve">90s also saw expansion of the system of withholding tax arrangements, </w:t>
      </w:r>
      <w:r w:rsidRPr="00FC22DA">
        <w:t xml:space="preserve">expansion </w:t>
      </w:r>
      <w:r w:rsidRPr="00245A99">
        <w:t xml:space="preserve">of new income tax objects, strengthening of the self-assessment principle, and the reintroduction of corporate tax incentives for large firms in strategic sectors. </w:t>
      </w:r>
    </w:p>
    <w:tbl>
      <w:tblPr>
        <w:tblStyle w:val="TableGrid"/>
        <w:tblW w:w="0" w:type="auto"/>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tblCellMar>
        <w:tblLook w:val="04A0" w:firstRow="1" w:lastRow="0" w:firstColumn="1" w:lastColumn="0" w:noHBand="0" w:noVBand="1"/>
      </w:tblPr>
      <w:tblGrid>
        <w:gridCol w:w="4487"/>
        <w:gridCol w:w="4634"/>
      </w:tblGrid>
      <w:tr w:rsidR="009A7652" w14:paraId="09B8847D" w14:textId="77777777" w:rsidTr="003B7322">
        <w:tc>
          <w:tcPr>
            <w:tcW w:w="4590" w:type="dxa"/>
            <w:vMerge w:val="restart"/>
          </w:tcPr>
          <w:p w14:paraId="3D7AD59F" w14:textId="03D7DE06" w:rsidR="002D2B6E" w:rsidRDefault="002D2B6E" w:rsidP="00E01473">
            <w:pPr>
              <w:pStyle w:val="ListParagraph"/>
              <w:numPr>
                <w:ilvl w:val="0"/>
                <w:numId w:val="12"/>
              </w:numPr>
              <w:ind w:left="0" w:firstLine="0"/>
              <w:contextualSpacing w:val="0"/>
              <w:jc w:val="both"/>
            </w:pPr>
            <w:r w:rsidRPr="002D2B6E">
              <w:rPr>
                <w:b/>
              </w:rPr>
              <w:t xml:space="preserve">The next set of major reforms were in 2008, as part of a broader stimulus package aimed at shoring up the economy amid turbulence from the global financial crisis. </w:t>
            </w:r>
            <w:r w:rsidRPr="00E01473">
              <w:rPr>
                <w:bCs/>
              </w:rPr>
              <w:t>The progressive structure was replaced with a flat corporate rate, to be set initially at 28 percent in 2009 and then reduced to 25 percent in 2010 (Figure 2.1). Preferential rates were introduced for stock</w:t>
            </w:r>
            <w:r w:rsidR="002142DD">
              <w:rPr>
                <w:bCs/>
              </w:rPr>
              <w:t xml:space="preserve"> </w:t>
            </w:r>
            <w:r w:rsidRPr="00E01473">
              <w:rPr>
                <w:bCs/>
              </w:rPr>
              <w:t>exchange</w:t>
            </w:r>
            <w:r w:rsidR="002142DD">
              <w:rPr>
                <w:bCs/>
              </w:rPr>
              <w:t>-</w:t>
            </w:r>
            <w:r w:rsidRPr="00E01473">
              <w:rPr>
                <w:bCs/>
              </w:rPr>
              <w:t xml:space="preserve">listed companies, with a 5-percentage-point discount on the statutory rate afforded </w:t>
            </w:r>
            <w:proofErr w:type="gramStart"/>
            <w:r w:rsidRPr="00E01473">
              <w:rPr>
                <w:bCs/>
              </w:rPr>
              <w:t>to</w:t>
            </w:r>
            <w:proofErr w:type="gramEnd"/>
            <w:r w:rsidRPr="00E01473">
              <w:rPr>
                <w:bCs/>
              </w:rPr>
              <w:t xml:space="preserve"> firms with at least 40 percent of equity listed. Special provisions were carved out allowing real estate businesses and construction services businesses to operate under a separately regulated final tax regime. Smaller businesses were also given relief: those with </w:t>
            </w:r>
            <w:proofErr w:type="gramStart"/>
            <w:r w:rsidRPr="00E01473">
              <w:rPr>
                <w:bCs/>
              </w:rPr>
              <w:t>annual</w:t>
            </w:r>
            <w:proofErr w:type="gramEnd"/>
            <w:r w:rsidRPr="00E01473">
              <w:rPr>
                <w:bCs/>
              </w:rPr>
              <w:t xml:space="preserve"> turnover under R</w:t>
            </w:r>
            <w:r w:rsidR="00CB262B">
              <w:rPr>
                <w:bCs/>
              </w:rPr>
              <w:t>p</w:t>
            </w:r>
            <w:r w:rsidRPr="00E01473">
              <w:rPr>
                <w:bCs/>
              </w:rPr>
              <w:t xml:space="preserve"> 50 billion received a </w:t>
            </w:r>
            <w:r w:rsidR="007627D2" w:rsidRPr="00F95B69">
              <w:rPr>
                <w:bCs/>
              </w:rPr>
              <w:t>50 percent discount on the tax rate for their</w:t>
            </w:r>
            <w:r w:rsidR="007627D2">
              <w:rPr>
                <w:bCs/>
              </w:rPr>
              <w:t xml:space="preserve"> first</w:t>
            </w:r>
          </w:p>
        </w:tc>
        <w:tc>
          <w:tcPr>
            <w:tcW w:w="4521" w:type="dxa"/>
          </w:tcPr>
          <w:p w14:paraId="1459A181" w14:textId="29953FE5" w:rsidR="002D2B6E" w:rsidRPr="00E01473" w:rsidRDefault="002D2B6E" w:rsidP="00214D82">
            <w:pPr>
              <w:pStyle w:val="Caption"/>
              <w:jc w:val="left"/>
              <w:rPr>
                <w:rFonts w:cstheme="minorHAnsi"/>
                <w:sz w:val="20"/>
              </w:rPr>
            </w:pPr>
            <w:bookmarkStart w:id="10" w:name="_Toc177593051"/>
            <w:r w:rsidRPr="00E01473">
              <w:rPr>
                <w:rFonts w:cstheme="minorHAnsi"/>
                <w:sz w:val="20"/>
              </w:rPr>
              <w:t>Figure 2.1: Evolution of I</w:t>
            </w:r>
            <w:r w:rsidR="002142DD">
              <w:rPr>
                <w:rFonts w:cstheme="minorHAnsi"/>
                <w:sz w:val="20"/>
              </w:rPr>
              <w:t>ndonesia</w:t>
            </w:r>
            <w:r w:rsidRPr="00E01473">
              <w:rPr>
                <w:rFonts w:cstheme="minorHAnsi"/>
                <w:sz w:val="20"/>
              </w:rPr>
              <w:t>’s corporate tax rates</w:t>
            </w:r>
            <w:bookmarkEnd w:id="10"/>
            <w:r w:rsidRPr="00E01473">
              <w:rPr>
                <w:rFonts w:cstheme="minorHAnsi"/>
                <w:sz w:val="20"/>
              </w:rPr>
              <w:t xml:space="preserve"> </w:t>
            </w:r>
          </w:p>
          <w:p w14:paraId="2C620709" w14:textId="3DBFBAD2" w:rsidR="002D2B6E" w:rsidRDefault="002142DD" w:rsidP="00E01473">
            <w:pPr>
              <w:ind w:left="0" w:firstLine="0"/>
            </w:pPr>
            <w:r>
              <w:rPr>
                <w:rFonts w:cstheme="minorHAnsi"/>
                <w:i/>
                <w:iCs/>
                <w:sz w:val="20"/>
                <w:szCs w:val="20"/>
              </w:rPr>
              <w:t>(</w:t>
            </w:r>
            <w:r w:rsidR="002D2B6E" w:rsidRPr="00E01473">
              <w:rPr>
                <w:rFonts w:cstheme="minorHAnsi"/>
                <w:i/>
                <w:iCs/>
                <w:sz w:val="20"/>
                <w:szCs w:val="20"/>
              </w:rPr>
              <w:t>(tax rate, percent</w:t>
            </w:r>
            <w:r>
              <w:rPr>
                <w:rFonts w:cstheme="minorHAnsi"/>
                <w:i/>
                <w:iCs/>
                <w:sz w:val="20"/>
                <w:szCs w:val="20"/>
              </w:rPr>
              <w:t xml:space="preserve"> (y axis)</w:t>
            </w:r>
            <w:r w:rsidR="002D2B6E" w:rsidRPr="00E01473">
              <w:rPr>
                <w:rFonts w:cstheme="minorHAnsi"/>
                <w:i/>
                <w:iCs/>
                <w:sz w:val="20"/>
                <w:szCs w:val="20"/>
              </w:rPr>
              <w:t xml:space="preserve">; </w:t>
            </w:r>
            <w:r>
              <w:rPr>
                <w:rFonts w:cstheme="minorHAnsi"/>
                <w:i/>
                <w:iCs/>
                <w:sz w:val="20"/>
                <w:szCs w:val="20"/>
              </w:rPr>
              <w:t>M</w:t>
            </w:r>
            <w:r w:rsidR="002D2B6E" w:rsidRPr="00E01473">
              <w:rPr>
                <w:rFonts w:cstheme="minorHAnsi"/>
                <w:i/>
                <w:iCs/>
                <w:sz w:val="20"/>
                <w:szCs w:val="20"/>
              </w:rPr>
              <w:t>illions of</w:t>
            </w:r>
            <w:r>
              <w:rPr>
                <w:rFonts w:cstheme="minorHAnsi"/>
                <w:i/>
                <w:iCs/>
                <w:sz w:val="20"/>
                <w:szCs w:val="20"/>
              </w:rPr>
              <w:t xml:space="preserve"> Rp of</w:t>
            </w:r>
            <w:r w:rsidR="002D2B6E" w:rsidRPr="00E01473">
              <w:rPr>
                <w:rFonts w:cstheme="minorHAnsi"/>
                <w:i/>
                <w:iCs/>
                <w:sz w:val="20"/>
                <w:szCs w:val="20"/>
              </w:rPr>
              <w:t xml:space="preserve"> taxable income</w:t>
            </w:r>
            <w:r>
              <w:rPr>
                <w:rFonts w:cstheme="minorHAnsi"/>
                <w:i/>
                <w:iCs/>
                <w:sz w:val="20"/>
                <w:szCs w:val="20"/>
              </w:rPr>
              <w:t xml:space="preserve"> (x axis)</w:t>
            </w:r>
            <w:r w:rsidR="002D2B6E" w:rsidRPr="00E01473">
              <w:rPr>
                <w:rFonts w:cstheme="minorHAnsi"/>
                <w:i/>
                <w:iCs/>
                <w:sz w:val="20"/>
                <w:szCs w:val="20"/>
              </w:rPr>
              <w:t>)</w:t>
            </w:r>
            <w:r w:rsidR="002D2B6E" w:rsidRPr="00C13CEA">
              <w:rPr>
                <w:rFonts w:cstheme="minorHAnsi"/>
                <w:noProof/>
              </w:rPr>
              <w:t xml:space="preserve"> </w:t>
            </w:r>
            <w:r w:rsidR="002D2B6E" w:rsidRPr="00C13CEA">
              <w:rPr>
                <w:rFonts w:cstheme="minorHAnsi"/>
                <w:noProof/>
              </w:rPr>
              <w:drawing>
                <wp:inline distT="0" distB="0" distL="0" distR="0" wp14:anchorId="7811A4F2" wp14:editId="37881727">
                  <wp:extent cx="2819400" cy="2022475"/>
                  <wp:effectExtent l="0" t="0" r="0" b="0"/>
                  <wp:docPr id="957308034" name="Chart 957308034">
                    <a:extLst xmlns:a="http://schemas.openxmlformats.org/drawingml/2006/main">
                      <a:ext uri="{FF2B5EF4-FFF2-40B4-BE49-F238E27FC236}">
                        <a16:creationId xmlns:a16="http://schemas.microsoft.com/office/drawing/2014/main" id="{7EF69373-C08E-4131-9D74-96AE1B4385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9A7652" w14:paraId="7AB0BFAC" w14:textId="77777777" w:rsidTr="003B7322">
        <w:tc>
          <w:tcPr>
            <w:tcW w:w="4590" w:type="dxa"/>
            <w:vMerge/>
          </w:tcPr>
          <w:p w14:paraId="080D8A2D" w14:textId="77777777" w:rsidR="002D2B6E" w:rsidRDefault="002D2B6E" w:rsidP="002D2B6E">
            <w:pPr>
              <w:spacing w:before="120"/>
              <w:ind w:left="0" w:firstLine="0"/>
              <w:jc w:val="both"/>
            </w:pPr>
          </w:p>
        </w:tc>
        <w:tc>
          <w:tcPr>
            <w:tcW w:w="4521" w:type="dxa"/>
          </w:tcPr>
          <w:p w14:paraId="4D344EB9" w14:textId="7A5F97F2" w:rsidR="002D2B6E" w:rsidRPr="00FD6CE8" w:rsidRDefault="002D2B6E" w:rsidP="002D2B6E">
            <w:pPr>
              <w:jc w:val="both"/>
              <w:rPr>
                <w:rFonts w:cstheme="minorHAnsi"/>
                <w:sz w:val="18"/>
                <w:szCs w:val="18"/>
              </w:rPr>
            </w:pPr>
            <w:r w:rsidRPr="00A97947">
              <w:rPr>
                <w:rFonts w:cstheme="minorHAnsi"/>
                <w:i/>
                <w:iCs/>
                <w:sz w:val="18"/>
                <w:szCs w:val="18"/>
              </w:rPr>
              <w:t>Source</w:t>
            </w:r>
            <w:r w:rsidRPr="00FD6CE8">
              <w:rPr>
                <w:rFonts w:cstheme="minorHAnsi"/>
                <w:sz w:val="18"/>
                <w:szCs w:val="18"/>
              </w:rPr>
              <w:t>: World Bank staff calculations</w:t>
            </w:r>
            <w:r w:rsidR="002142DD">
              <w:rPr>
                <w:rFonts w:cstheme="minorHAnsi"/>
                <w:sz w:val="18"/>
                <w:szCs w:val="18"/>
              </w:rPr>
              <w:t>.</w:t>
            </w:r>
          </w:p>
          <w:p w14:paraId="0A7AA43D" w14:textId="6A44EAB6" w:rsidR="002D2B6E" w:rsidRDefault="002D2B6E" w:rsidP="00A97947">
            <w:pPr>
              <w:keepNext/>
              <w:ind w:left="0" w:firstLine="0"/>
              <w:jc w:val="both"/>
            </w:pPr>
            <w:r w:rsidRPr="00A97947">
              <w:rPr>
                <w:rFonts w:cstheme="minorHAnsi"/>
                <w:i/>
                <w:iCs/>
                <w:sz w:val="18"/>
                <w:szCs w:val="18"/>
              </w:rPr>
              <w:t>Note</w:t>
            </w:r>
            <w:r w:rsidRPr="00FD6CE8">
              <w:rPr>
                <w:rFonts w:cstheme="minorHAnsi"/>
                <w:sz w:val="18"/>
                <w:szCs w:val="18"/>
              </w:rPr>
              <w:t xml:space="preserve">: Dotted lines represent </w:t>
            </w:r>
            <w:proofErr w:type="gramStart"/>
            <w:r w:rsidRPr="00FD6CE8">
              <w:rPr>
                <w:rFonts w:cstheme="minorHAnsi"/>
                <w:sz w:val="18"/>
                <w:szCs w:val="18"/>
              </w:rPr>
              <w:t>discounted</w:t>
            </w:r>
            <w:proofErr w:type="gramEnd"/>
            <w:r w:rsidRPr="00FD6CE8">
              <w:rPr>
                <w:rFonts w:cstheme="minorHAnsi"/>
                <w:sz w:val="18"/>
                <w:szCs w:val="18"/>
              </w:rPr>
              <w:t xml:space="preserve"> rate on profit from the first R</w:t>
            </w:r>
            <w:r w:rsidR="00CB262B">
              <w:rPr>
                <w:rFonts w:cstheme="minorHAnsi"/>
                <w:sz w:val="18"/>
                <w:szCs w:val="18"/>
              </w:rPr>
              <w:t>p</w:t>
            </w:r>
            <w:r w:rsidRPr="00FD6CE8">
              <w:rPr>
                <w:rFonts w:cstheme="minorHAnsi"/>
                <w:sz w:val="18"/>
                <w:szCs w:val="18"/>
              </w:rPr>
              <w:t xml:space="preserve"> 4.8 </w:t>
            </w:r>
            <w:proofErr w:type="spellStart"/>
            <w:r w:rsidRPr="00FD6CE8">
              <w:rPr>
                <w:rFonts w:cstheme="minorHAnsi"/>
                <w:sz w:val="18"/>
                <w:szCs w:val="18"/>
              </w:rPr>
              <w:t>bln</w:t>
            </w:r>
            <w:proofErr w:type="spellEnd"/>
            <w:r w:rsidRPr="00FD6CE8">
              <w:rPr>
                <w:rFonts w:cstheme="minorHAnsi"/>
                <w:sz w:val="18"/>
                <w:szCs w:val="18"/>
              </w:rPr>
              <w:t>, for firms with revenues below R</w:t>
            </w:r>
            <w:r w:rsidR="00CB262B">
              <w:rPr>
                <w:rFonts w:cstheme="minorHAnsi"/>
                <w:sz w:val="18"/>
                <w:szCs w:val="18"/>
              </w:rPr>
              <w:t>p</w:t>
            </w:r>
            <w:r w:rsidRPr="00FD6CE8">
              <w:rPr>
                <w:rFonts w:cstheme="minorHAnsi"/>
                <w:sz w:val="18"/>
                <w:szCs w:val="18"/>
              </w:rPr>
              <w:t xml:space="preserve"> 50 </w:t>
            </w:r>
            <w:proofErr w:type="spellStart"/>
            <w:r w:rsidRPr="00FD6CE8">
              <w:rPr>
                <w:rFonts w:cstheme="minorHAnsi"/>
                <w:sz w:val="18"/>
                <w:szCs w:val="18"/>
              </w:rPr>
              <w:t>bln</w:t>
            </w:r>
            <w:proofErr w:type="spellEnd"/>
            <w:r w:rsidRPr="00FD6CE8">
              <w:rPr>
                <w:rFonts w:cstheme="minorHAnsi"/>
                <w:sz w:val="18"/>
                <w:szCs w:val="18"/>
              </w:rPr>
              <w:t>.</w:t>
            </w:r>
          </w:p>
        </w:tc>
      </w:tr>
    </w:tbl>
    <w:p w14:paraId="70DA0ACC" w14:textId="0B6D3E03" w:rsidR="00E94F20" w:rsidRDefault="003B7322" w:rsidP="00E01473">
      <w:pPr>
        <w:ind w:left="0" w:firstLine="0"/>
        <w:jc w:val="both"/>
      </w:pPr>
      <w:r w:rsidRPr="00F95B69">
        <w:rPr>
          <w:bCs/>
        </w:rPr>
        <w:t>R</w:t>
      </w:r>
      <w:r w:rsidR="00CB262B">
        <w:rPr>
          <w:bCs/>
        </w:rPr>
        <w:t>p</w:t>
      </w:r>
      <w:r w:rsidRPr="00F95B69">
        <w:rPr>
          <w:bCs/>
        </w:rPr>
        <w:t xml:space="preserve"> 4.8 </w:t>
      </w:r>
      <w:proofErr w:type="gramStart"/>
      <w:r w:rsidRPr="00F95B69">
        <w:rPr>
          <w:bCs/>
        </w:rPr>
        <w:t>billion</w:t>
      </w:r>
      <w:r w:rsidRPr="005445B5">
        <w:rPr>
          <w:rFonts w:cstheme="minorHAnsi"/>
        </w:rPr>
        <w:t xml:space="preserve"> </w:t>
      </w:r>
      <w:r w:rsidR="00E94F20" w:rsidRPr="005445B5">
        <w:rPr>
          <w:rFonts w:cstheme="minorHAnsi"/>
        </w:rPr>
        <w:t>of</w:t>
      </w:r>
      <w:proofErr w:type="gramEnd"/>
      <w:r w:rsidR="00E94F20" w:rsidRPr="005445B5">
        <w:rPr>
          <w:rFonts w:cstheme="minorHAnsi"/>
        </w:rPr>
        <w:t xml:space="preserve"> taxable income. In 2008, the tax authorities also implemented a tax amnesty in their efforts to expand the tax base. Taxpayers were invited to register for a taxpayer number and commence paying taxes, without any risk of penalties due to unpaid previous obligations.</w:t>
      </w:r>
    </w:p>
    <w:p w14:paraId="3AF36DFA" w14:textId="62D15BFD" w:rsidR="00130BE0" w:rsidRDefault="00130BE0" w:rsidP="00130BE0">
      <w:pPr>
        <w:pStyle w:val="ListParagraph"/>
        <w:numPr>
          <w:ilvl w:val="0"/>
          <w:numId w:val="12"/>
        </w:numPr>
        <w:spacing w:before="120"/>
        <w:ind w:left="0" w:firstLine="0"/>
        <w:contextualSpacing w:val="0"/>
        <w:jc w:val="both"/>
      </w:pPr>
      <w:r w:rsidRPr="00245A99">
        <w:rPr>
          <w:b/>
        </w:rPr>
        <w:t>Until 2013, small and medium businesses had access to a simpler deemed profits mechanism that could be used to determine their income</w:t>
      </w:r>
      <w:r w:rsidRPr="00DB4C0D">
        <w:rPr>
          <w:b/>
        </w:rPr>
        <w:t xml:space="preserve"> tax obligations. </w:t>
      </w:r>
      <w:r w:rsidRPr="006D7742">
        <w:t>The government had outlined a schedule of deemed net profit rates</w:t>
      </w:r>
      <w:r w:rsidRPr="0080380F">
        <w:rPr>
          <w:rStyle w:val="FootnoteReference"/>
        </w:rPr>
        <w:footnoteReference w:id="15"/>
      </w:r>
      <w:r w:rsidRPr="006D7742">
        <w:t xml:space="preserve"> applicable for each subsector of the economy. These</w:t>
      </w:r>
      <w:r>
        <w:t xml:space="preserve"> also varied depending on the primary location of businesses activities. Firms could multiply the corresponding rate by their annual income to calculate their </w:t>
      </w:r>
      <w:proofErr w:type="gramStart"/>
      <w:r>
        <w:t>annual deemed</w:t>
      </w:r>
      <w:proofErr w:type="gramEnd"/>
      <w:r>
        <w:t xml:space="preserve"> net profit. They could multiply this deemed net profit by the CIT rate to arrive at their annual CIT obligation. Deemed net profits ranged, for instance, from 20 to 71 percent in the transport and communication sector, and from 12 to 46 percent in the agriculture, livestock, forestry, and fishery sector</w:t>
      </w:r>
      <w:r w:rsidR="005B08FC">
        <w:t xml:space="preserve"> (Prospera 2022)</w:t>
      </w:r>
      <w:r>
        <w:t xml:space="preserve">. </w:t>
      </w:r>
    </w:p>
    <w:p w14:paraId="7CA33111" w14:textId="2AC33CE7" w:rsidR="008A0246" w:rsidRDefault="008A0246" w:rsidP="00130BE0">
      <w:pPr>
        <w:pStyle w:val="ListParagraph"/>
        <w:numPr>
          <w:ilvl w:val="0"/>
          <w:numId w:val="12"/>
        </w:numPr>
        <w:ind w:left="0" w:firstLine="0"/>
        <w:contextualSpacing w:val="0"/>
        <w:jc w:val="both"/>
        <w:rPr>
          <w:rFonts w:cstheme="minorHAnsi"/>
        </w:rPr>
      </w:pPr>
      <w:r w:rsidRPr="00FF0FA9">
        <w:rPr>
          <w:rFonts w:cstheme="minorHAnsi"/>
          <w:b/>
          <w:bCs/>
        </w:rPr>
        <w:t>In 201</w:t>
      </w:r>
      <w:r w:rsidR="006C3B0A">
        <w:rPr>
          <w:rFonts w:cstheme="minorHAnsi"/>
          <w:b/>
          <w:bCs/>
        </w:rPr>
        <w:t>3</w:t>
      </w:r>
      <w:r w:rsidRPr="00FF0FA9">
        <w:rPr>
          <w:rFonts w:cstheme="minorHAnsi"/>
          <w:b/>
          <w:bCs/>
        </w:rPr>
        <w:t>, the government introduced a more systematic alternative simplified tax regime for small and medium businesses.</w:t>
      </w:r>
      <w:r w:rsidRPr="00FF0FA9">
        <w:rPr>
          <w:rStyle w:val="FootnoteReference"/>
          <w:rFonts w:cstheme="minorHAnsi"/>
          <w:b/>
          <w:bCs/>
        </w:rPr>
        <w:footnoteReference w:id="16"/>
      </w:r>
      <w:r w:rsidRPr="00FF0FA9">
        <w:rPr>
          <w:rFonts w:cstheme="minorHAnsi"/>
        </w:rPr>
        <w:t xml:space="preserve"> Businesses with annual turnover less than R</w:t>
      </w:r>
      <w:r w:rsidR="00CB262B">
        <w:rPr>
          <w:rFonts w:cstheme="minorHAnsi"/>
        </w:rPr>
        <w:t>p</w:t>
      </w:r>
      <w:r w:rsidRPr="00FF0FA9">
        <w:rPr>
          <w:rFonts w:cstheme="minorHAnsi"/>
        </w:rPr>
        <w:t xml:space="preserve"> 4.8 billion</w:t>
      </w:r>
      <w:r>
        <w:rPr>
          <w:rStyle w:val="FootnoteReference"/>
          <w:rFonts w:cstheme="minorHAnsi"/>
        </w:rPr>
        <w:footnoteReference w:id="17"/>
      </w:r>
      <w:r w:rsidRPr="00FF0FA9">
        <w:rPr>
          <w:rFonts w:cstheme="minorHAnsi"/>
        </w:rPr>
        <w:t xml:space="preserve"> would now be subject to a 1.0 percent final tax on their turnover, instead of the </w:t>
      </w:r>
      <w:r>
        <w:rPr>
          <w:rFonts w:cstheme="minorHAnsi"/>
        </w:rPr>
        <w:t xml:space="preserve">standard </w:t>
      </w:r>
      <w:r w:rsidR="00C246D9">
        <w:rPr>
          <w:rFonts w:cstheme="minorHAnsi"/>
        </w:rPr>
        <w:t>CIT</w:t>
      </w:r>
      <w:r w:rsidRPr="00FF0FA9">
        <w:rPr>
          <w:rFonts w:cstheme="minorHAnsi"/>
        </w:rPr>
        <w:t>.</w:t>
      </w:r>
      <w:r w:rsidRPr="00FF0FA9">
        <w:rPr>
          <w:rStyle w:val="FootnoteReference"/>
          <w:rFonts w:cstheme="minorHAnsi"/>
        </w:rPr>
        <w:footnoteReference w:id="18"/>
      </w:r>
      <w:r w:rsidRPr="00FF0FA9">
        <w:rPr>
          <w:rFonts w:cstheme="minorHAnsi"/>
        </w:rPr>
        <w:t xml:space="preserve"> However, eligible firms still needed to file their CIT paperwork. Moreover, they were not excluded from existing legal requirements for all taxpayers to maintain bookkeeping</w:t>
      </w:r>
      <w:r w:rsidR="00F50954">
        <w:rPr>
          <w:rFonts w:cstheme="minorHAnsi"/>
        </w:rPr>
        <w:t xml:space="preserve"> records–</w:t>
      </w:r>
      <w:r w:rsidRPr="00FF0FA9">
        <w:rPr>
          <w:rFonts w:cstheme="minorHAnsi"/>
        </w:rPr>
        <w:t xml:space="preserve">including the preparation of an annual balance sheet and income statement. </w:t>
      </w:r>
    </w:p>
    <w:p w14:paraId="77DAEF4A" w14:textId="1ADC016D" w:rsidR="00130BE0" w:rsidRPr="008A0246" w:rsidRDefault="008A0246" w:rsidP="00904733">
      <w:pPr>
        <w:pStyle w:val="ListParagraph"/>
        <w:numPr>
          <w:ilvl w:val="0"/>
          <w:numId w:val="12"/>
        </w:numPr>
        <w:ind w:left="0" w:firstLine="0"/>
        <w:contextualSpacing w:val="0"/>
        <w:jc w:val="both"/>
        <w:rPr>
          <w:rFonts w:cstheme="minorHAnsi"/>
        </w:rPr>
      </w:pPr>
      <w:r w:rsidRPr="008A0246">
        <w:rPr>
          <w:rFonts w:cstheme="minorHAnsi"/>
          <w:b/>
        </w:rPr>
        <w:lastRenderedPageBreak/>
        <w:t xml:space="preserve">In 2018, the benefits of this alternative regime were expanded. </w:t>
      </w:r>
      <w:r w:rsidRPr="008A0246">
        <w:rPr>
          <w:rFonts w:cstheme="minorHAnsi"/>
        </w:rPr>
        <w:t xml:space="preserve">The tax rate was cut to 0.5 percent, tax filing was simplified, and firms could now choose </w:t>
      </w:r>
      <w:proofErr w:type="gramStart"/>
      <w:r w:rsidRPr="008A0246">
        <w:rPr>
          <w:rFonts w:cstheme="minorHAnsi"/>
        </w:rPr>
        <w:t xml:space="preserve">whether </w:t>
      </w:r>
      <w:r w:rsidR="00060990">
        <w:rPr>
          <w:rFonts w:cstheme="minorHAnsi"/>
        </w:rPr>
        <w:t>or not</w:t>
      </w:r>
      <w:proofErr w:type="gramEnd"/>
      <w:r w:rsidR="00060990">
        <w:rPr>
          <w:rFonts w:cstheme="minorHAnsi"/>
        </w:rPr>
        <w:t xml:space="preserve"> </w:t>
      </w:r>
      <w:r w:rsidRPr="008A0246">
        <w:rPr>
          <w:rFonts w:cstheme="minorHAnsi"/>
        </w:rPr>
        <w:t xml:space="preserve">to opt into the </w:t>
      </w:r>
      <w:r w:rsidR="00B866B3">
        <w:rPr>
          <w:rFonts w:cstheme="minorHAnsi"/>
        </w:rPr>
        <w:t xml:space="preserve">alternate </w:t>
      </w:r>
      <w:r w:rsidRPr="008A0246">
        <w:rPr>
          <w:rFonts w:cstheme="minorHAnsi"/>
        </w:rPr>
        <w:t xml:space="preserve">regime </w:t>
      </w:r>
      <w:r w:rsidR="00B866B3">
        <w:rPr>
          <w:rFonts w:cstheme="minorHAnsi"/>
        </w:rPr>
        <w:t>(instead of the standard CIT)</w:t>
      </w:r>
      <w:r w:rsidRPr="008A0246">
        <w:rPr>
          <w:rFonts w:cstheme="minorHAnsi"/>
        </w:rPr>
        <w:t>. Those within the alternative regime would still need to maintain bookkeeping</w:t>
      </w:r>
      <w:r w:rsidR="00F50954">
        <w:rPr>
          <w:rFonts w:cstheme="minorHAnsi"/>
        </w:rPr>
        <w:t xml:space="preserve"> records</w:t>
      </w:r>
      <w:r w:rsidRPr="008A0246">
        <w:rPr>
          <w:rFonts w:cstheme="minorHAnsi"/>
        </w:rPr>
        <w:t xml:space="preserve"> but as their tax was solely </w:t>
      </w:r>
      <w:r w:rsidR="00130BE0" w:rsidRPr="008A0246">
        <w:rPr>
          <w:rFonts w:cstheme="minorHAnsi"/>
        </w:rPr>
        <w:t xml:space="preserve">based on turnover, they were </w:t>
      </w:r>
      <w:r w:rsidR="00130BE0" w:rsidRPr="008A0246" w:rsidDel="00AB5A37">
        <w:rPr>
          <w:rFonts w:cstheme="minorHAnsi"/>
        </w:rPr>
        <w:t xml:space="preserve">now </w:t>
      </w:r>
      <w:r w:rsidR="00130BE0" w:rsidRPr="008A0246">
        <w:rPr>
          <w:rFonts w:cstheme="minorHAnsi"/>
        </w:rPr>
        <w:t xml:space="preserve">not required to maintain evidence of any expenses. Moreover, firms’ eligibility was </w:t>
      </w:r>
      <w:r w:rsidR="00130BE0" w:rsidRPr="008A0246" w:rsidDel="00AB5A37">
        <w:rPr>
          <w:rFonts w:cstheme="minorHAnsi"/>
        </w:rPr>
        <w:t xml:space="preserve">now </w:t>
      </w:r>
      <w:r w:rsidR="00130BE0" w:rsidRPr="008A0246">
        <w:rPr>
          <w:rFonts w:cstheme="minorHAnsi"/>
        </w:rPr>
        <w:t xml:space="preserve">subject to sunset clauses: incorporated businesses could remain in the alternative regime for a maximum of three years, and all other </w:t>
      </w:r>
      <w:r w:rsidR="00962C66">
        <w:rPr>
          <w:rFonts w:cstheme="minorHAnsi"/>
        </w:rPr>
        <w:t xml:space="preserve">standard </w:t>
      </w:r>
      <w:r w:rsidR="00130BE0" w:rsidRPr="008A0246">
        <w:rPr>
          <w:rFonts w:cstheme="minorHAnsi"/>
        </w:rPr>
        <w:t>registered businesses could do so for at most four years.</w:t>
      </w:r>
    </w:p>
    <w:p w14:paraId="251AE4D8" w14:textId="3FE9A620" w:rsidR="00130BE0" w:rsidRPr="00D007C5" w:rsidRDefault="00130BE0" w:rsidP="006E1BA3">
      <w:pPr>
        <w:pStyle w:val="ListParagraph"/>
        <w:numPr>
          <w:ilvl w:val="0"/>
          <w:numId w:val="12"/>
        </w:numPr>
        <w:spacing w:before="120"/>
        <w:ind w:left="0" w:firstLine="0"/>
        <w:contextualSpacing w:val="0"/>
        <w:jc w:val="both"/>
      </w:pPr>
      <w:r w:rsidRPr="00D007C5">
        <w:rPr>
          <w:rFonts w:cstheme="minorHAnsi"/>
          <w:b/>
          <w:bCs/>
        </w:rPr>
        <w:t xml:space="preserve">In 2020, the government introduced its </w:t>
      </w:r>
      <w:r w:rsidR="00F50954">
        <w:rPr>
          <w:rFonts w:cstheme="minorHAnsi"/>
          <w:b/>
          <w:bCs/>
        </w:rPr>
        <w:t>O</w:t>
      </w:r>
      <w:r w:rsidRPr="00D007C5">
        <w:rPr>
          <w:rFonts w:cstheme="minorHAnsi"/>
          <w:b/>
          <w:bCs/>
        </w:rPr>
        <w:t xml:space="preserve">mnibus </w:t>
      </w:r>
      <w:r w:rsidR="00F50954">
        <w:rPr>
          <w:rFonts w:cstheme="minorHAnsi"/>
          <w:b/>
          <w:bCs/>
        </w:rPr>
        <w:t>L</w:t>
      </w:r>
      <w:r w:rsidRPr="00D007C5">
        <w:rPr>
          <w:rFonts w:cstheme="minorHAnsi"/>
          <w:b/>
          <w:bCs/>
        </w:rPr>
        <w:t>aw</w:t>
      </w:r>
      <w:r w:rsidR="00F50954">
        <w:rPr>
          <w:rFonts w:cstheme="minorHAnsi"/>
          <w:b/>
          <w:bCs/>
        </w:rPr>
        <w:t xml:space="preserve"> No. 11/2020 on Job Creation</w:t>
      </w:r>
      <w:r w:rsidRPr="00D007C5">
        <w:rPr>
          <w:rFonts w:cstheme="minorHAnsi"/>
          <w:b/>
          <w:bCs/>
        </w:rPr>
        <w:t xml:space="preserve"> which laid out further reductions in the statutory CIT rate.</w:t>
      </w:r>
      <w:r w:rsidRPr="00D007C5">
        <w:rPr>
          <w:rFonts w:cstheme="minorHAnsi"/>
        </w:rPr>
        <w:t xml:space="preserve"> This</w:t>
      </w:r>
      <w:r w:rsidRPr="00D007C5" w:rsidDel="00670822">
        <w:rPr>
          <w:rFonts w:cstheme="minorHAnsi"/>
        </w:rPr>
        <w:t xml:space="preserve"> </w:t>
      </w:r>
      <w:r w:rsidRPr="00D007C5">
        <w:rPr>
          <w:rFonts w:cstheme="minorHAnsi"/>
        </w:rPr>
        <w:t xml:space="preserve">new legislation </w:t>
      </w:r>
      <w:proofErr w:type="gramStart"/>
      <w:r w:rsidRPr="00D007C5">
        <w:rPr>
          <w:rFonts w:cstheme="minorHAnsi"/>
        </w:rPr>
        <w:t>amended</w:t>
      </w:r>
      <w:proofErr w:type="gramEnd"/>
      <w:r w:rsidRPr="00D007C5">
        <w:rPr>
          <w:rFonts w:cstheme="minorHAnsi"/>
        </w:rPr>
        <w:t xml:space="preserve"> over 70 existing laws and had the goal of addressing obstacles to job creation and boosting foreign and domestic investment. The CIT rate was cut with immediate effect to 22 percent and was scheduled to be lowered to 20 percent from 2022. Through a separate </w:t>
      </w:r>
      <w:r w:rsidR="00F50954">
        <w:rPr>
          <w:rFonts w:cstheme="minorHAnsi"/>
        </w:rPr>
        <w:t>G</w:t>
      </w:r>
      <w:r w:rsidRPr="00D007C5">
        <w:rPr>
          <w:rFonts w:cstheme="minorHAnsi"/>
        </w:rPr>
        <w:t xml:space="preserve">overnment </w:t>
      </w:r>
      <w:r w:rsidR="00F50954">
        <w:rPr>
          <w:rFonts w:cstheme="minorHAnsi"/>
        </w:rPr>
        <w:t>R</w:t>
      </w:r>
      <w:r w:rsidRPr="00D007C5">
        <w:rPr>
          <w:rFonts w:cstheme="minorHAnsi"/>
        </w:rPr>
        <w:t>egulation</w:t>
      </w:r>
      <w:r w:rsidR="00F50954">
        <w:rPr>
          <w:rFonts w:cstheme="minorHAnsi"/>
        </w:rPr>
        <w:t xml:space="preserve"> No. 30/2020</w:t>
      </w:r>
      <w:r w:rsidRPr="00D007C5">
        <w:rPr>
          <w:rFonts w:cstheme="minorHAnsi"/>
        </w:rPr>
        <w:t>, the tax rate discount previously provided to stock</w:t>
      </w:r>
      <w:r w:rsidR="00F50954">
        <w:rPr>
          <w:rFonts w:cstheme="minorHAnsi"/>
        </w:rPr>
        <w:t xml:space="preserve"> </w:t>
      </w:r>
      <w:r w:rsidRPr="00D007C5">
        <w:rPr>
          <w:rFonts w:cstheme="minorHAnsi"/>
        </w:rPr>
        <w:t>market</w:t>
      </w:r>
      <w:r w:rsidR="00F50954">
        <w:rPr>
          <w:rFonts w:cstheme="minorHAnsi"/>
        </w:rPr>
        <w:t>-</w:t>
      </w:r>
      <w:r w:rsidRPr="00D007C5">
        <w:rPr>
          <w:rFonts w:cstheme="minorHAnsi"/>
        </w:rPr>
        <w:t>listed firms was reduced from 5 percentage points to 3 percentage points.</w:t>
      </w:r>
      <w:r w:rsidRPr="00D007C5">
        <w:rPr>
          <w:rStyle w:val="FootnoteReference"/>
          <w:rFonts w:cstheme="minorHAnsi"/>
        </w:rPr>
        <w:footnoteReference w:id="19"/>
      </w:r>
      <w:r w:rsidRPr="00D007C5">
        <w:rPr>
          <w:rFonts w:cstheme="minorHAnsi"/>
        </w:rPr>
        <w:t xml:space="preserve"> </w:t>
      </w:r>
      <w:r w:rsidR="002C0078">
        <w:rPr>
          <w:rFonts w:cstheme="minorHAnsi"/>
        </w:rPr>
        <w:t>Law No. 7/2021 on</w:t>
      </w:r>
      <w:r w:rsidRPr="00D007C5">
        <w:rPr>
          <w:rFonts w:cstheme="minorHAnsi"/>
        </w:rPr>
        <w:t xml:space="preserve"> </w:t>
      </w:r>
      <w:r w:rsidR="002C0078">
        <w:rPr>
          <w:rFonts w:cstheme="minorHAnsi"/>
        </w:rPr>
        <w:t>T</w:t>
      </w:r>
      <w:r w:rsidRPr="00D007C5">
        <w:rPr>
          <w:rFonts w:cstheme="minorHAnsi"/>
        </w:rPr>
        <w:t xml:space="preserve">ax </w:t>
      </w:r>
      <w:r w:rsidR="002C0078">
        <w:rPr>
          <w:rFonts w:cstheme="minorHAnsi"/>
        </w:rPr>
        <w:t>H</w:t>
      </w:r>
      <w:r w:rsidRPr="00D007C5">
        <w:rPr>
          <w:rFonts w:cstheme="minorHAnsi"/>
        </w:rPr>
        <w:t xml:space="preserve">armonization </w:t>
      </w:r>
      <w:r w:rsidR="002C0078">
        <w:rPr>
          <w:rFonts w:cstheme="minorHAnsi"/>
        </w:rPr>
        <w:t>subsequently</w:t>
      </w:r>
      <w:r w:rsidRPr="00D007C5">
        <w:rPr>
          <w:rFonts w:cstheme="minorHAnsi"/>
        </w:rPr>
        <w:t xml:space="preserve"> cancelled the second stage of the CIT rate cut</w:t>
      </w:r>
      <w:r w:rsidR="002C0078">
        <w:rPr>
          <w:rFonts w:cstheme="minorHAnsi"/>
        </w:rPr>
        <w:t>–</w:t>
      </w:r>
      <w:r w:rsidRPr="00D007C5">
        <w:rPr>
          <w:rFonts w:cstheme="minorHAnsi"/>
        </w:rPr>
        <w:t xml:space="preserve">leaving the statutory rate at 22 percent. </w:t>
      </w:r>
    </w:p>
    <w:p w14:paraId="13C9E8CB" w14:textId="280F14C1" w:rsidR="00130BE0" w:rsidRPr="00D007C5" w:rsidRDefault="00130BE0" w:rsidP="00130BE0">
      <w:pPr>
        <w:pStyle w:val="ListParagraph"/>
        <w:numPr>
          <w:ilvl w:val="0"/>
          <w:numId w:val="12"/>
        </w:numPr>
        <w:spacing w:before="120"/>
        <w:ind w:left="0" w:firstLine="0"/>
        <w:contextualSpacing w:val="0"/>
        <w:jc w:val="both"/>
      </w:pPr>
      <w:r w:rsidRPr="00D007C5">
        <w:rPr>
          <w:rFonts w:cstheme="minorHAnsi"/>
          <w:b/>
          <w:bCs/>
        </w:rPr>
        <w:t xml:space="preserve">In 2022, a new regulation simplified firms’ entry into the AFT regime. </w:t>
      </w:r>
      <w:r w:rsidRPr="00D007C5">
        <w:rPr>
          <w:rFonts w:cstheme="minorHAnsi"/>
        </w:rPr>
        <w:t xml:space="preserve">The AFT </w:t>
      </w:r>
      <w:r w:rsidR="00FB6072">
        <w:rPr>
          <w:rFonts w:cstheme="minorHAnsi"/>
        </w:rPr>
        <w:t>w</w:t>
      </w:r>
      <w:r w:rsidRPr="00D007C5">
        <w:rPr>
          <w:rFonts w:cstheme="minorHAnsi"/>
        </w:rPr>
        <w:t>as made opt-out instead of opt-in. Henceforth, all new businesses that met the eligibility requirements for the AFT, such as annual turnover below R</w:t>
      </w:r>
      <w:r w:rsidR="00CB262B">
        <w:rPr>
          <w:rFonts w:cstheme="minorHAnsi"/>
        </w:rPr>
        <w:t>p</w:t>
      </w:r>
      <w:r w:rsidRPr="00D007C5">
        <w:rPr>
          <w:rFonts w:cstheme="minorHAnsi"/>
        </w:rPr>
        <w:t xml:space="preserve"> 4.8 billion and </w:t>
      </w:r>
      <w:r w:rsidR="00070933">
        <w:rPr>
          <w:rFonts w:cstheme="minorHAnsi"/>
        </w:rPr>
        <w:t xml:space="preserve">were </w:t>
      </w:r>
      <w:r w:rsidRPr="00D007C5">
        <w:rPr>
          <w:rFonts w:cstheme="minorHAnsi"/>
        </w:rPr>
        <w:t>not subject to other special tax regimes (</w:t>
      </w:r>
      <w:r w:rsidR="00070933">
        <w:rPr>
          <w:rFonts w:cstheme="minorHAnsi"/>
        </w:rPr>
        <w:t>for example</w:t>
      </w:r>
      <w:r w:rsidR="000C2953" w:rsidRPr="00D007C5">
        <w:rPr>
          <w:rFonts w:cstheme="minorHAnsi"/>
        </w:rPr>
        <w:t>,</w:t>
      </w:r>
      <w:r w:rsidRPr="00D007C5">
        <w:rPr>
          <w:rFonts w:cstheme="minorHAnsi"/>
        </w:rPr>
        <w:t xml:space="preserve"> extractives</w:t>
      </w:r>
      <w:r w:rsidR="00070933">
        <w:rPr>
          <w:rFonts w:cstheme="minorHAnsi"/>
        </w:rPr>
        <w:t xml:space="preserve"> industries and</w:t>
      </w:r>
      <w:r w:rsidRPr="00D007C5">
        <w:rPr>
          <w:rFonts w:cstheme="minorHAnsi"/>
        </w:rPr>
        <w:t xml:space="preserve"> construction services) were now automatically subject to the AFT. </w:t>
      </w:r>
    </w:p>
    <w:p w14:paraId="43F481AC" w14:textId="6EDEB6D7" w:rsidR="00130BE0" w:rsidRPr="00AC398E" w:rsidRDefault="00130BE0" w:rsidP="00130BE0">
      <w:pPr>
        <w:pStyle w:val="Heading2"/>
        <w:rPr>
          <w:rFonts w:asciiTheme="minorHAnsi" w:hAnsiTheme="minorHAnsi" w:cstheme="minorHAnsi"/>
          <w:color w:val="4472C4" w:themeColor="accent1"/>
          <w:sz w:val="24"/>
          <w:szCs w:val="24"/>
        </w:rPr>
      </w:pPr>
      <w:bookmarkStart w:id="11" w:name="_Toc177819033"/>
      <w:r>
        <w:rPr>
          <w:rFonts w:asciiTheme="minorHAnsi" w:hAnsiTheme="minorHAnsi" w:cstheme="minorHAnsi"/>
          <w:color w:val="4472C4" w:themeColor="accent1"/>
          <w:sz w:val="24"/>
          <w:szCs w:val="24"/>
        </w:rPr>
        <w:t>Tax design</w:t>
      </w:r>
      <w:bookmarkEnd w:id="11"/>
    </w:p>
    <w:p w14:paraId="161F79BB" w14:textId="633E8C96" w:rsidR="00130BE0" w:rsidRDefault="00130BE0" w:rsidP="00130BE0">
      <w:pPr>
        <w:pStyle w:val="ListParagraph"/>
        <w:numPr>
          <w:ilvl w:val="0"/>
          <w:numId w:val="12"/>
        </w:numPr>
        <w:spacing w:before="120"/>
        <w:ind w:left="0" w:firstLine="0"/>
        <w:contextualSpacing w:val="0"/>
        <w:jc w:val="both"/>
      </w:pPr>
      <w:r w:rsidRPr="00050D6A">
        <w:rPr>
          <w:b/>
          <w:bCs/>
        </w:rPr>
        <w:t xml:space="preserve">Indonesia’s </w:t>
      </w:r>
      <w:r w:rsidR="00C246D9">
        <w:rPr>
          <w:b/>
          <w:bCs/>
        </w:rPr>
        <w:t>CIT</w:t>
      </w:r>
      <w:r w:rsidRPr="00050D6A">
        <w:rPr>
          <w:b/>
          <w:bCs/>
        </w:rPr>
        <w:t xml:space="preserve"> is a tax on businesses’ net profits.</w:t>
      </w:r>
      <w:r>
        <w:t xml:space="preserve"> It is applied to business income</w:t>
      </w:r>
      <w:r>
        <w:rPr>
          <w:rStyle w:val="FootnoteReference"/>
        </w:rPr>
        <w:footnoteReference w:id="20"/>
      </w:r>
      <w:r>
        <w:t xml:space="preserve"> after adjusting for allowable deductions such as costs of materials, employment, depreciation, and losses carried over from previous years.</w:t>
      </w:r>
      <w:r>
        <w:rPr>
          <w:rStyle w:val="FootnoteReference"/>
        </w:rPr>
        <w:footnoteReference w:id="21"/>
      </w:r>
      <w:r>
        <w:t xml:space="preserve"> The statutory CIT rate is 22 percent but there are conditions under which the applicable rate can be lower. Discounted rates for stock</w:t>
      </w:r>
      <w:r w:rsidR="00696B27">
        <w:t xml:space="preserve"> </w:t>
      </w:r>
      <w:r>
        <w:t>market-listed companies and businesses with annual turnover below R</w:t>
      </w:r>
      <w:r w:rsidR="00CB262B">
        <w:t>p</w:t>
      </w:r>
      <w:r>
        <w:t xml:space="preserve"> 50 billion, as discussed above, remain in place. A detailed flowchart of the steps involved in determining taxable profits is produced in A</w:t>
      </w:r>
      <w:r w:rsidR="00194B4E">
        <w:t>ppendi</w:t>
      </w:r>
      <w:r>
        <w:t xml:space="preserve">x 1. </w:t>
      </w:r>
    </w:p>
    <w:p w14:paraId="508DB108" w14:textId="6E7ECA89" w:rsidR="00B40118" w:rsidRPr="002870A1" w:rsidRDefault="00130BE0" w:rsidP="00130BE0">
      <w:pPr>
        <w:pStyle w:val="ListParagraph"/>
        <w:numPr>
          <w:ilvl w:val="0"/>
          <w:numId w:val="12"/>
        </w:numPr>
        <w:spacing w:before="120"/>
        <w:ind w:left="0" w:firstLine="0"/>
        <w:contextualSpacing w:val="0"/>
        <w:jc w:val="both"/>
        <w:rPr>
          <w:rFonts w:cstheme="minorHAnsi"/>
        </w:rPr>
      </w:pPr>
      <w:r w:rsidRPr="00050D6A">
        <w:rPr>
          <w:b/>
          <w:bCs/>
        </w:rPr>
        <w:t xml:space="preserve">One important dimension of the CIT framework is the extensive range of withholding tax arrangements. </w:t>
      </w:r>
      <w:proofErr w:type="gramStart"/>
      <w:r>
        <w:t>In the course of</w:t>
      </w:r>
      <w:proofErr w:type="gramEnd"/>
      <w:r>
        <w:t xml:space="preserve"> certain types of business transactions, the income tax law requires that tax be withheld at varied rates. Businesses importing goods</w:t>
      </w:r>
      <w:r w:rsidDel="00B8689F">
        <w:t xml:space="preserve"> </w:t>
      </w:r>
      <w:r>
        <w:t>must pay a withholding tax on their value.</w:t>
      </w:r>
      <w:r>
        <w:rPr>
          <w:rStyle w:val="FootnoteReference"/>
        </w:rPr>
        <w:footnoteReference w:id="22"/>
      </w:r>
      <w:r>
        <w:t xml:space="preserve"> Business transactions involving sales to the government or state-owned enterprises also result in tax being withheld. Luxury goods purchases, including automobiles, yachts, apartments, and houses, also </w:t>
      </w:r>
      <w:r w:rsidR="00194B4E">
        <w:t>incur a</w:t>
      </w:r>
      <w:r>
        <w:t xml:space="preserve"> withholding tax, as do payments made by resident taxpayers to other resident </w:t>
      </w:r>
      <w:r w:rsidRPr="002870A1">
        <w:rPr>
          <w:rFonts w:cstheme="minorHAnsi"/>
        </w:rPr>
        <w:t xml:space="preserve">taxpayers in the form of dividends, interest, royalties, prizes/awards, rental payments, or service fees. The withheld tax is remitted to the government and may be used as a credit against CIT liabilities. </w:t>
      </w:r>
    </w:p>
    <w:p w14:paraId="0D0A09B3" w14:textId="27CC7B8E" w:rsidR="00130BE0" w:rsidRPr="002870A1" w:rsidRDefault="00B40118" w:rsidP="00914875">
      <w:pPr>
        <w:rPr>
          <w:rFonts w:cstheme="minorHAnsi"/>
        </w:rPr>
      </w:pPr>
      <w:r w:rsidRPr="002870A1">
        <w:rPr>
          <w:rFonts w:cstheme="minorHAnsi"/>
        </w:rPr>
        <w:br w:type="page"/>
      </w:r>
    </w:p>
    <w:tbl>
      <w:tblPr>
        <w:tblStyle w:val="TableGrid3"/>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696"/>
      </w:tblGrid>
      <w:tr w:rsidR="00130BE0" w:rsidRPr="002870A1" w14:paraId="26C9636A" w14:textId="77777777">
        <w:trPr>
          <w:trHeight w:val="432"/>
        </w:trPr>
        <w:tc>
          <w:tcPr>
            <w:tcW w:w="4844" w:type="dxa"/>
            <w:vMerge w:val="restart"/>
          </w:tcPr>
          <w:p w14:paraId="66CD5F4A" w14:textId="5C0321ED" w:rsidR="00130BE0" w:rsidRPr="0033622E" w:rsidRDefault="00130BE0" w:rsidP="005B664C">
            <w:pPr>
              <w:pStyle w:val="ListParagraph"/>
              <w:numPr>
                <w:ilvl w:val="0"/>
                <w:numId w:val="12"/>
              </w:numPr>
              <w:ind w:left="0" w:firstLine="0"/>
              <w:contextualSpacing w:val="0"/>
              <w:jc w:val="both"/>
              <w:rPr>
                <w:rFonts w:asciiTheme="minorHAnsi" w:hAnsiTheme="minorHAnsi" w:cstheme="minorHAnsi"/>
                <w:color w:val="000000" w:themeColor="text1"/>
                <w:sz w:val="22"/>
                <w:szCs w:val="22"/>
              </w:rPr>
            </w:pPr>
            <w:r w:rsidRPr="00424070">
              <w:rPr>
                <w:rFonts w:asciiTheme="minorHAnsi" w:hAnsiTheme="minorHAnsi" w:cstheme="minorHAnsi"/>
                <w:b/>
                <w:bCs/>
                <w:sz w:val="22"/>
                <w:szCs w:val="22"/>
              </w:rPr>
              <w:lastRenderedPageBreak/>
              <w:t xml:space="preserve">Indonesia’s statutory CIT rate is below the global </w:t>
            </w:r>
            <w:r w:rsidRPr="00045C3B">
              <w:rPr>
                <w:rFonts w:asciiTheme="minorHAnsi" w:hAnsiTheme="minorHAnsi" w:cstheme="minorHAnsi"/>
                <w:b/>
                <w:bCs/>
                <w:sz w:val="22"/>
                <w:szCs w:val="22"/>
              </w:rPr>
              <w:t xml:space="preserve">average but </w:t>
            </w:r>
            <w:r w:rsidR="00A8622B" w:rsidRPr="00045C3B">
              <w:rPr>
                <w:rFonts w:asciiTheme="minorHAnsi" w:hAnsiTheme="minorHAnsi" w:cstheme="minorHAnsi"/>
                <w:b/>
                <w:bCs/>
                <w:sz w:val="22"/>
                <w:szCs w:val="22"/>
              </w:rPr>
              <w:t xml:space="preserve">about midway among </w:t>
            </w:r>
            <w:r w:rsidRPr="00045C3B">
              <w:rPr>
                <w:rFonts w:asciiTheme="minorHAnsi" w:hAnsiTheme="minorHAnsi" w:cstheme="minorHAnsi"/>
                <w:b/>
                <w:bCs/>
                <w:sz w:val="22"/>
                <w:szCs w:val="22"/>
              </w:rPr>
              <w:t>ASEAN peers</w:t>
            </w:r>
            <w:r w:rsidR="002629D6" w:rsidRPr="00045C3B">
              <w:rPr>
                <w:rFonts w:asciiTheme="minorHAnsi" w:hAnsiTheme="minorHAnsi" w:cstheme="minorHAnsi"/>
                <w:b/>
                <w:bCs/>
                <w:sz w:val="22"/>
                <w:szCs w:val="22"/>
              </w:rPr>
              <w:t xml:space="preserve"> </w:t>
            </w:r>
            <w:r w:rsidRPr="00045C3B">
              <w:rPr>
                <w:rFonts w:asciiTheme="minorHAnsi" w:hAnsiTheme="minorHAnsi" w:cstheme="minorHAnsi"/>
                <w:b/>
                <w:bCs/>
                <w:sz w:val="22"/>
                <w:szCs w:val="22"/>
              </w:rPr>
              <w:t>(Figure 2.</w:t>
            </w:r>
            <w:r w:rsidR="00457B16" w:rsidRPr="00045C3B">
              <w:rPr>
                <w:rFonts w:asciiTheme="minorHAnsi" w:hAnsiTheme="minorHAnsi" w:cstheme="minorHAnsi"/>
                <w:b/>
                <w:bCs/>
                <w:sz w:val="22"/>
                <w:szCs w:val="22"/>
              </w:rPr>
              <w:t>2</w:t>
            </w:r>
            <w:r w:rsidRPr="00045C3B">
              <w:rPr>
                <w:rFonts w:asciiTheme="minorHAnsi" w:hAnsiTheme="minorHAnsi" w:cstheme="minorHAnsi"/>
                <w:b/>
                <w:bCs/>
                <w:sz w:val="22"/>
                <w:szCs w:val="22"/>
              </w:rPr>
              <w:t xml:space="preserve">). </w:t>
            </w:r>
            <w:r w:rsidR="00B14D49" w:rsidRPr="00CC2766">
              <w:rPr>
                <w:rFonts w:asciiTheme="minorHAnsi" w:hAnsiTheme="minorHAnsi" w:cstheme="minorHAnsi"/>
                <w:sz w:val="22"/>
                <w:szCs w:val="22"/>
              </w:rPr>
              <w:t xml:space="preserve">The global unweighted statutory CIT rate, based on 180 tax </w:t>
            </w:r>
            <w:proofErr w:type="gramStart"/>
            <w:r w:rsidR="00B14D49" w:rsidRPr="00CC2766">
              <w:rPr>
                <w:rFonts w:asciiTheme="minorHAnsi" w:hAnsiTheme="minorHAnsi" w:cstheme="minorHAnsi"/>
                <w:sz w:val="22"/>
                <w:szCs w:val="22"/>
              </w:rPr>
              <w:t>jurisdictions</w:t>
            </w:r>
            <w:proofErr w:type="gramEnd"/>
            <w:r w:rsidR="00B14D49" w:rsidRPr="00CC2766">
              <w:rPr>
                <w:rFonts w:asciiTheme="minorHAnsi" w:hAnsiTheme="minorHAnsi" w:cstheme="minorHAnsi"/>
                <w:sz w:val="22"/>
                <w:szCs w:val="22"/>
              </w:rPr>
              <w:t xml:space="preserve"> is 23.4 percent, and when weighted by GDP it rises to 25.4 percent (Tax Foundation 2022).</w:t>
            </w:r>
            <w:r w:rsidR="00B14D49" w:rsidRPr="00045C3B">
              <w:rPr>
                <w:rFonts w:asciiTheme="minorHAnsi" w:hAnsiTheme="minorHAnsi" w:cstheme="minorHAnsi"/>
                <w:sz w:val="22"/>
                <w:szCs w:val="22"/>
              </w:rPr>
              <w:t xml:space="preserve"> A</w:t>
            </w:r>
            <w:r w:rsidR="00194B4E" w:rsidRPr="00045C3B">
              <w:rPr>
                <w:rFonts w:asciiTheme="minorHAnsi" w:hAnsiTheme="minorHAnsi" w:cstheme="minorHAnsi"/>
                <w:sz w:val="22"/>
                <w:szCs w:val="22"/>
              </w:rPr>
              <w:t>s</w:t>
            </w:r>
            <w:r w:rsidRPr="00045C3B">
              <w:rPr>
                <w:rFonts w:asciiTheme="minorHAnsi" w:hAnsiTheme="minorHAnsi" w:cstheme="minorHAnsi"/>
                <w:sz w:val="22"/>
                <w:szCs w:val="22"/>
              </w:rPr>
              <w:t xml:space="preserve"> in Indonesia, rates around the world have been generally decreasing since 1980, but they have leveled off in recent years.</w:t>
            </w:r>
            <w:r w:rsidRPr="00045C3B">
              <w:rPr>
                <w:rStyle w:val="FootnoteReference"/>
                <w:rFonts w:asciiTheme="minorHAnsi" w:hAnsiTheme="minorHAnsi" w:cstheme="minorHAnsi"/>
                <w:sz w:val="22"/>
                <w:szCs w:val="22"/>
              </w:rPr>
              <w:footnoteReference w:id="23"/>
            </w:r>
            <w:r w:rsidRPr="00045C3B">
              <w:rPr>
                <w:rFonts w:asciiTheme="minorHAnsi" w:hAnsiTheme="minorHAnsi" w:cstheme="minorHAnsi"/>
                <w:sz w:val="22"/>
                <w:szCs w:val="22"/>
              </w:rPr>
              <w:t xml:space="preserve"> Rates tend to be even lower in Asia, with the region averaging 19.5 percent (unweighted). Indonesia's rate of 22 percent is only slightly higher than the average for ASEAN countries, which</w:t>
            </w:r>
            <w:r w:rsidRPr="0033622E">
              <w:rPr>
                <w:rFonts w:asciiTheme="minorHAnsi" w:hAnsiTheme="minorHAnsi" w:cstheme="minorHAnsi"/>
                <w:sz w:val="22"/>
                <w:szCs w:val="22"/>
              </w:rPr>
              <w:t xml:space="preserve"> stands at 20.9 percent. While countries like Brunei and Singapore have relatively lower CIT rates, the Philippines</w:t>
            </w:r>
            <w:r w:rsidR="00424070">
              <w:rPr>
                <w:rFonts w:asciiTheme="minorHAnsi" w:hAnsiTheme="minorHAnsi" w:cstheme="minorHAnsi"/>
                <w:sz w:val="22"/>
                <w:szCs w:val="22"/>
              </w:rPr>
              <w:t xml:space="preserve"> and Malaysia have higher rates. Nevertheless, comparisons of the statutory CIT rate are merely a first level of analysis </w:t>
            </w:r>
            <w:r w:rsidR="00E104DF" w:rsidRPr="00E104DF">
              <w:rPr>
                <w:rFonts w:asciiTheme="minorHAnsi" w:hAnsiTheme="minorHAnsi" w:cstheme="minorHAnsi"/>
                <w:sz w:val="22"/>
                <w:szCs w:val="22"/>
              </w:rPr>
              <w:t>and mask a great deal of underlying complexity in</w:t>
            </w:r>
          </w:p>
        </w:tc>
        <w:tc>
          <w:tcPr>
            <w:tcW w:w="4696" w:type="dxa"/>
          </w:tcPr>
          <w:p w14:paraId="6FCD7C7C" w14:textId="5C9696A5" w:rsidR="00130BE0" w:rsidRPr="002870A1" w:rsidRDefault="00130BE0" w:rsidP="0032667A">
            <w:pPr>
              <w:pStyle w:val="Caption"/>
              <w:jc w:val="left"/>
              <w:rPr>
                <w:rFonts w:asciiTheme="minorHAnsi" w:hAnsiTheme="minorHAnsi" w:cstheme="minorHAnsi"/>
              </w:rPr>
            </w:pPr>
            <w:bookmarkStart w:id="12" w:name="_Toc177593052"/>
            <w:r w:rsidRPr="002870A1">
              <w:rPr>
                <w:rFonts w:asciiTheme="minorHAnsi" w:hAnsiTheme="minorHAnsi" w:cstheme="minorHAnsi"/>
              </w:rPr>
              <w:t>Figure 2.</w:t>
            </w:r>
            <w:r w:rsidR="006127BC">
              <w:fldChar w:fldCharType="begin"/>
            </w:r>
            <w:r w:rsidR="006127BC">
              <w:instrText xml:space="preserve"> SEQ Figure \* ARABIC \s 1 </w:instrText>
            </w:r>
            <w:r w:rsidR="006127BC">
              <w:fldChar w:fldCharType="separate"/>
            </w:r>
            <w:r w:rsidR="006127BC">
              <w:rPr>
                <w:noProof/>
              </w:rPr>
              <w:t>2</w:t>
            </w:r>
            <w:r w:rsidR="006127BC">
              <w:fldChar w:fldCharType="end"/>
            </w:r>
            <w:r w:rsidR="002041C7">
              <w:rPr>
                <w:rFonts w:asciiTheme="minorHAnsi" w:hAnsiTheme="minorHAnsi" w:cstheme="minorHAnsi"/>
              </w:rPr>
              <w:t>:</w:t>
            </w:r>
            <w:r w:rsidRPr="002870A1">
              <w:rPr>
                <w:rFonts w:asciiTheme="minorHAnsi" w:hAnsiTheme="minorHAnsi" w:cstheme="minorHAnsi"/>
              </w:rPr>
              <w:t xml:space="preserve"> Statutory CIT rate by country</w:t>
            </w:r>
            <w:bookmarkEnd w:id="12"/>
          </w:p>
          <w:p w14:paraId="392DA2C0" w14:textId="77777777" w:rsidR="00130BE0" w:rsidRPr="002870A1" w:rsidRDefault="00130BE0" w:rsidP="006E1BA3">
            <w:pPr>
              <w:ind w:hanging="5"/>
              <w:jc w:val="both"/>
              <w:rPr>
                <w:rFonts w:asciiTheme="minorHAnsi" w:hAnsiTheme="minorHAnsi" w:cstheme="minorHAnsi"/>
                <w:i/>
                <w:iCs/>
              </w:rPr>
            </w:pPr>
            <w:r w:rsidRPr="002870A1">
              <w:rPr>
                <w:rFonts w:asciiTheme="minorHAnsi" w:hAnsiTheme="minorHAnsi" w:cstheme="minorHAnsi"/>
                <w:i/>
                <w:iCs/>
              </w:rPr>
              <w:t>(percent)</w:t>
            </w:r>
          </w:p>
        </w:tc>
      </w:tr>
      <w:tr w:rsidR="00130BE0" w:rsidRPr="005A4F3D" w14:paraId="7A52D787" w14:textId="77777777">
        <w:trPr>
          <w:trHeight w:val="3204"/>
        </w:trPr>
        <w:tc>
          <w:tcPr>
            <w:tcW w:w="4844" w:type="dxa"/>
            <w:vMerge/>
          </w:tcPr>
          <w:p w14:paraId="16F78DD0" w14:textId="77777777" w:rsidR="00130BE0" w:rsidRPr="005A4F3D" w:rsidRDefault="00130BE0">
            <w:pPr>
              <w:keepNext/>
              <w:ind w:right="144"/>
              <w:rPr>
                <w:rFonts w:cstheme="minorHAnsi"/>
                <w:b/>
                <w:color w:val="FF0000"/>
                <w:sz w:val="16"/>
                <w:szCs w:val="16"/>
              </w:rPr>
            </w:pPr>
          </w:p>
        </w:tc>
        <w:tc>
          <w:tcPr>
            <w:tcW w:w="4696" w:type="dxa"/>
          </w:tcPr>
          <w:p w14:paraId="32080FCC" w14:textId="1C6DB3CA" w:rsidR="00130BE0" w:rsidRPr="005A4F3D" w:rsidRDefault="00A53185">
            <w:pPr>
              <w:jc w:val="both"/>
            </w:pPr>
            <w:r>
              <w:rPr>
                <w:noProof/>
              </w:rPr>
              <w:drawing>
                <wp:inline distT="0" distB="0" distL="0" distR="0" wp14:anchorId="379711C4" wp14:editId="140E91BC">
                  <wp:extent cx="2804160" cy="2320578"/>
                  <wp:effectExtent l="0" t="0" r="0" b="3810"/>
                  <wp:docPr id="6" name="Chart 6">
                    <a:extLst xmlns:a="http://schemas.openxmlformats.org/drawingml/2006/main">
                      <a:ext uri="{FF2B5EF4-FFF2-40B4-BE49-F238E27FC236}">
                        <a16:creationId xmlns:a16="http://schemas.microsoft.com/office/drawing/2014/main" id="{C4626A93-561A-4987-33B8-120A499C03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130BE0" w:rsidRPr="005A4F3D" w14:paraId="57C24A24" w14:textId="77777777">
        <w:tc>
          <w:tcPr>
            <w:tcW w:w="4844" w:type="dxa"/>
            <w:vMerge/>
          </w:tcPr>
          <w:p w14:paraId="57234EC0" w14:textId="77777777" w:rsidR="00130BE0" w:rsidRPr="005A4F3D" w:rsidRDefault="00130BE0">
            <w:pPr>
              <w:keepNext/>
              <w:ind w:right="144"/>
              <w:rPr>
                <w:rFonts w:cstheme="minorHAnsi"/>
                <w:b/>
                <w:color w:val="808080" w:themeColor="background1" w:themeShade="80"/>
                <w:sz w:val="16"/>
                <w:szCs w:val="16"/>
              </w:rPr>
            </w:pPr>
          </w:p>
        </w:tc>
        <w:tc>
          <w:tcPr>
            <w:tcW w:w="4696" w:type="dxa"/>
          </w:tcPr>
          <w:p w14:paraId="00910D92" w14:textId="4EE58A60" w:rsidR="008B0DEF" w:rsidRPr="008B0DEF" w:rsidRDefault="00130BE0" w:rsidP="00B75436">
            <w:pPr>
              <w:keepNext/>
              <w:jc w:val="both"/>
              <w:rPr>
                <w:rFonts w:asciiTheme="minorHAnsi" w:hAnsiTheme="minorHAnsi" w:cstheme="minorHAnsi"/>
                <w:sz w:val="18"/>
                <w:szCs w:val="18"/>
              </w:rPr>
            </w:pPr>
            <w:r w:rsidRPr="0032667A">
              <w:rPr>
                <w:rFonts w:cstheme="minorHAnsi"/>
                <w:i/>
                <w:iCs/>
                <w:sz w:val="18"/>
                <w:szCs w:val="18"/>
              </w:rPr>
              <w:t>Source</w:t>
            </w:r>
            <w:r w:rsidRPr="0033622E">
              <w:rPr>
                <w:rFonts w:asciiTheme="minorHAnsi" w:hAnsiTheme="minorHAnsi" w:cstheme="minorHAnsi"/>
                <w:sz w:val="18"/>
                <w:szCs w:val="18"/>
              </w:rPr>
              <w:t>:</w:t>
            </w:r>
            <w:r w:rsidRPr="005A4F3D">
              <w:rPr>
                <w:rFonts w:asciiTheme="minorHAnsi" w:hAnsiTheme="minorHAnsi" w:cstheme="minorHAnsi"/>
                <w:sz w:val="18"/>
                <w:szCs w:val="18"/>
              </w:rPr>
              <w:t xml:space="preserve"> </w:t>
            </w:r>
            <w:proofErr w:type="spellStart"/>
            <w:r w:rsidR="007A677D" w:rsidRPr="007A677D">
              <w:rPr>
                <w:rFonts w:asciiTheme="minorHAnsi" w:hAnsiTheme="minorHAnsi" w:cstheme="minorHAnsi"/>
                <w:sz w:val="18"/>
                <w:szCs w:val="18"/>
              </w:rPr>
              <w:t>Organisation</w:t>
            </w:r>
            <w:proofErr w:type="spellEnd"/>
            <w:r w:rsidR="007A677D" w:rsidRPr="007A677D">
              <w:rPr>
                <w:rFonts w:asciiTheme="minorHAnsi" w:hAnsiTheme="minorHAnsi" w:cstheme="minorHAnsi"/>
                <w:sz w:val="18"/>
                <w:szCs w:val="18"/>
              </w:rPr>
              <w:t xml:space="preserve"> for </w:t>
            </w:r>
            <w:r w:rsidR="007A677D" w:rsidRPr="00E104DF">
              <w:rPr>
                <w:rFonts w:asciiTheme="minorHAnsi" w:hAnsiTheme="minorHAnsi" w:cstheme="minorHAnsi"/>
                <w:sz w:val="18"/>
                <w:szCs w:val="18"/>
              </w:rPr>
              <w:t xml:space="preserve">Economic Co-operation and Development </w:t>
            </w:r>
            <w:r w:rsidR="007724A5" w:rsidRPr="00E104DF">
              <w:rPr>
                <w:rFonts w:asciiTheme="minorHAnsi" w:hAnsiTheme="minorHAnsi" w:cstheme="minorHAnsi"/>
                <w:sz w:val="18"/>
                <w:szCs w:val="18"/>
              </w:rPr>
              <w:t>(20</w:t>
            </w:r>
            <w:r w:rsidR="004828DC" w:rsidRPr="00E104DF">
              <w:rPr>
                <w:rFonts w:asciiTheme="minorHAnsi" w:hAnsiTheme="minorHAnsi" w:cstheme="minorHAnsi"/>
                <w:sz w:val="18"/>
                <w:szCs w:val="18"/>
              </w:rPr>
              <w:t>2</w:t>
            </w:r>
            <w:r w:rsidR="005B6A76" w:rsidRPr="00E104DF">
              <w:rPr>
                <w:rFonts w:asciiTheme="minorHAnsi" w:hAnsiTheme="minorHAnsi" w:cstheme="minorHAnsi"/>
                <w:sz w:val="18"/>
                <w:szCs w:val="18"/>
              </w:rPr>
              <w:t>3</w:t>
            </w:r>
            <w:r w:rsidR="00BA79FC">
              <w:rPr>
                <w:rFonts w:asciiTheme="minorHAnsi" w:hAnsiTheme="minorHAnsi" w:cstheme="minorHAnsi"/>
                <w:sz w:val="18"/>
                <w:szCs w:val="18"/>
              </w:rPr>
              <w:t>a</w:t>
            </w:r>
            <w:r w:rsidR="004828DC" w:rsidRPr="00E104DF">
              <w:rPr>
                <w:rFonts w:asciiTheme="minorHAnsi" w:hAnsiTheme="minorHAnsi" w:cstheme="minorHAnsi"/>
                <w:sz w:val="18"/>
                <w:szCs w:val="18"/>
              </w:rPr>
              <w:t>)</w:t>
            </w:r>
            <w:r w:rsidR="005B6A76" w:rsidRPr="00E104DF">
              <w:rPr>
                <w:rFonts w:asciiTheme="minorHAnsi" w:hAnsiTheme="minorHAnsi" w:cstheme="minorHAnsi"/>
                <w:sz w:val="18"/>
                <w:szCs w:val="18"/>
              </w:rPr>
              <w:t xml:space="preserve">, </w:t>
            </w:r>
            <w:r w:rsidR="00E104DF" w:rsidRPr="00E104DF">
              <w:rPr>
                <w:rFonts w:asciiTheme="minorHAnsi" w:hAnsiTheme="minorHAnsi" w:cstheme="minorHAnsi"/>
                <w:sz w:val="18"/>
                <w:szCs w:val="18"/>
              </w:rPr>
              <w:t>PricewaterhouseCoopers (2023)</w:t>
            </w:r>
            <w:r w:rsidR="005B6A76" w:rsidRPr="00E104DF">
              <w:rPr>
                <w:rFonts w:asciiTheme="minorHAnsi" w:hAnsiTheme="minorHAnsi" w:cstheme="minorHAnsi"/>
                <w:sz w:val="18"/>
                <w:szCs w:val="18"/>
              </w:rPr>
              <w:t>, and</w:t>
            </w:r>
            <w:r w:rsidR="005B6A76">
              <w:rPr>
                <w:rFonts w:asciiTheme="minorHAnsi" w:hAnsiTheme="minorHAnsi" w:cstheme="minorHAnsi"/>
                <w:sz w:val="18"/>
                <w:szCs w:val="18"/>
              </w:rPr>
              <w:t xml:space="preserve"> </w:t>
            </w:r>
            <w:r w:rsidRPr="005A4F3D">
              <w:rPr>
                <w:rFonts w:asciiTheme="minorHAnsi" w:hAnsiTheme="minorHAnsi" w:cstheme="minorHAnsi"/>
                <w:sz w:val="18"/>
                <w:szCs w:val="18"/>
              </w:rPr>
              <w:t>World Bank staff calculation</w:t>
            </w:r>
            <w:r w:rsidR="00E104DF">
              <w:rPr>
                <w:rFonts w:asciiTheme="minorHAnsi" w:hAnsiTheme="minorHAnsi" w:cstheme="minorHAnsi"/>
                <w:sz w:val="18"/>
                <w:szCs w:val="18"/>
              </w:rPr>
              <w:t>s</w:t>
            </w:r>
            <w:r w:rsidR="00194B4E">
              <w:rPr>
                <w:rFonts w:asciiTheme="minorHAnsi" w:hAnsiTheme="minorHAnsi" w:cstheme="minorHAnsi"/>
                <w:sz w:val="18"/>
                <w:szCs w:val="18"/>
              </w:rPr>
              <w:t>.</w:t>
            </w:r>
          </w:p>
        </w:tc>
      </w:tr>
    </w:tbl>
    <w:p w14:paraId="53A33872" w14:textId="6FAC31EA" w:rsidR="00130BE0" w:rsidRDefault="005B664C" w:rsidP="00130BE0">
      <w:pPr>
        <w:autoSpaceDE w:val="0"/>
        <w:autoSpaceDN w:val="0"/>
        <w:adjustRightInd w:val="0"/>
        <w:ind w:left="0" w:firstLine="0"/>
        <w:jc w:val="both"/>
        <w:rPr>
          <w:rFonts w:cstheme="minorHAnsi"/>
        </w:rPr>
      </w:pPr>
      <w:r w:rsidRPr="005B664C">
        <w:rPr>
          <w:rFonts w:cstheme="minorHAnsi"/>
        </w:rPr>
        <w:t>the tax regime. This includes differences in base definition, exemptions, rate discounts, incentives, and tax filing burden, and the existence of simplified alternative regimes.</w:t>
      </w:r>
    </w:p>
    <w:p w14:paraId="37B94BE6" w14:textId="64F5B143" w:rsidR="00130BE0" w:rsidRDefault="00130BE0" w:rsidP="00130BE0">
      <w:pPr>
        <w:pStyle w:val="ListParagraph"/>
        <w:numPr>
          <w:ilvl w:val="0"/>
          <w:numId w:val="12"/>
        </w:numPr>
        <w:spacing w:before="120"/>
        <w:ind w:left="0" w:firstLine="0"/>
        <w:contextualSpacing w:val="0"/>
        <w:jc w:val="both"/>
      </w:pPr>
      <w:r w:rsidRPr="00050D6A">
        <w:rPr>
          <w:b/>
          <w:bCs/>
        </w:rPr>
        <w:t xml:space="preserve">Corporate taxes have raised annual revenues of </w:t>
      </w:r>
      <w:r w:rsidR="003829C2">
        <w:rPr>
          <w:b/>
          <w:bCs/>
        </w:rPr>
        <w:t>about</w:t>
      </w:r>
      <w:r w:rsidRPr="00050D6A">
        <w:rPr>
          <w:b/>
          <w:bCs/>
        </w:rPr>
        <w:t xml:space="preserve"> 3 to 5 percent of GDP in Indonesia over the two decades</w:t>
      </w:r>
      <w:r w:rsidR="00424070">
        <w:rPr>
          <w:b/>
          <w:bCs/>
        </w:rPr>
        <w:t xml:space="preserve"> to 202</w:t>
      </w:r>
      <w:r w:rsidR="009061D0">
        <w:rPr>
          <w:b/>
          <w:bCs/>
        </w:rPr>
        <w:t>3</w:t>
      </w:r>
      <w:r w:rsidRPr="00050D6A">
        <w:rPr>
          <w:b/>
          <w:bCs/>
        </w:rPr>
        <w:t>.</w:t>
      </w:r>
      <w:r>
        <w:rPr>
          <w:rStyle w:val="FootnoteReference"/>
          <w:b/>
          <w:bCs/>
        </w:rPr>
        <w:footnoteReference w:id="24"/>
      </w:r>
      <w:r w:rsidRPr="00050D6A">
        <w:rPr>
          <w:b/>
          <w:bCs/>
        </w:rPr>
        <w:t xml:space="preserve"> </w:t>
      </w:r>
      <w:r w:rsidRPr="00A10D3F">
        <w:t>This</w:t>
      </w:r>
      <w:r w:rsidRPr="00050D6A">
        <w:rPr>
          <w:b/>
          <w:bCs/>
        </w:rPr>
        <w:t xml:space="preserve"> </w:t>
      </w:r>
      <w:r w:rsidRPr="00A10D3F">
        <w:t xml:space="preserve">includes </w:t>
      </w:r>
      <w:r>
        <w:t xml:space="preserve">collections from the CIT, the simpler </w:t>
      </w:r>
      <w:r w:rsidRPr="00A10D3F">
        <w:t xml:space="preserve">deemed net profit regimes, and collections from the </w:t>
      </w:r>
      <w:r w:rsidR="006E1BA3">
        <w:t>AFT</w:t>
      </w:r>
      <w:r w:rsidRPr="00A10D3F">
        <w:t xml:space="preserve"> regime for MSMEs.</w:t>
      </w:r>
      <w:r>
        <w:t xml:space="preserve"> </w:t>
      </w:r>
      <w:r w:rsidRPr="00B82448">
        <w:t>They represent a very significant share of total tax revenues (Figure</w:t>
      </w:r>
      <w:r>
        <w:t xml:space="preserve"> 2</w:t>
      </w:r>
      <w:r w:rsidR="000F1DC0">
        <w:t>.3</w:t>
      </w:r>
      <w:r w:rsidRPr="00B82448">
        <w:t>).</w:t>
      </w:r>
      <w:r w:rsidRPr="00050D6A">
        <w:rPr>
          <w:b/>
          <w:bCs/>
        </w:rPr>
        <w:t xml:space="preserve"> </w:t>
      </w:r>
      <w:r>
        <w:t>In total, these revenues have exhibited a modest downward trend since the global financial crisis</w:t>
      </w:r>
      <w:r w:rsidR="00725B2D">
        <w:rPr>
          <w:rFonts w:cstheme="minorHAnsi"/>
        </w:rPr>
        <w:t>–</w:t>
      </w:r>
      <w:r>
        <w:t xml:space="preserve">culminating in a tax take below 3 percent of GDP in 2020. </w:t>
      </w:r>
      <w:r w:rsidR="00725B2D">
        <w:t>The year</w:t>
      </w:r>
      <w:r>
        <w:t xml:space="preserve"> 2020 was a unique year,</w:t>
      </w:r>
      <w:r w:rsidR="00725B2D">
        <w:t xml:space="preserve"> however,</w:t>
      </w:r>
      <w:r>
        <w:t xml:space="preserve"> as the COVID-19 recession impacted business earnings</w:t>
      </w:r>
      <w:r w:rsidR="00725B2D">
        <w:t xml:space="preserve"> and </w:t>
      </w:r>
      <w:r>
        <w:t>the government</w:t>
      </w:r>
      <w:r w:rsidR="00725B2D">
        <w:t xml:space="preserve"> responded by</w:t>
      </w:r>
      <w:r>
        <w:t xml:space="preserve"> roll</w:t>
      </w:r>
      <w:r w:rsidR="00725B2D">
        <w:t>ing</w:t>
      </w:r>
      <w:r>
        <w:t xml:space="preserve"> out several temporary tax incentives, and new legislation </w:t>
      </w:r>
      <w:r w:rsidR="00725B2D">
        <w:t xml:space="preserve">that </w:t>
      </w:r>
      <w:r>
        <w:t>cut the statutory CIT rate by 3 percentage points</w:t>
      </w:r>
      <w:r w:rsidR="00725B2D">
        <w:rPr>
          <w:rFonts w:cstheme="minorHAnsi"/>
        </w:rPr>
        <w:t>–</w:t>
      </w:r>
      <w:r>
        <w:t xml:space="preserve">to 22 percent. Corporate tax revenues rebounded in 2021 and 2022 as domestic economic conditions recovered. </w:t>
      </w:r>
    </w:p>
    <w:p w14:paraId="5906BC63" w14:textId="489F39F7" w:rsidR="00130BE0" w:rsidRPr="00D64561" w:rsidRDefault="00130BE0" w:rsidP="00D64561">
      <w:pPr>
        <w:pStyle w:val="ListParagraph"/>
        <w:numPr>
          <w:ilvl w:val="0"/>
          <w:numId w:val="12"/>
        </w:numPr>
        <w:spacing w:before="120"/>
        <w:ind w:left="0" w:firstLine="0"/>
        <w:contextualSpacing w:val="0"/>
        <w:jc w:val="both"/>
        <w:rPr>
          <w:b/>
          <w:bCs/>
        </w:rPr>
      </w:pPr>
      <w:r w:rsidRPr="00353457">
        <w:rPr>
          <w:b/>
          <w:bCs/>
        </w:rPr>
        <w:t>Overall, Indonesia’s corporate tax collections are comparable to other ASEAN economies (Figure 2.</w:t>
      </w:r>
      <w:r w:rsidR="000F1DC0" w:rsidRPr="00353457">
        <w:rPr>
          <w:b/>
          <w:bCs/>
        </w:rPr>
        <w:t>4</w:t>
      </w:r>
      <w:r w:rsidRPr="00353457">
        <w:rPr>
          <w:b/>
          <w:bCs/>
        </w:rPr>
        <w:t xml:space="preserve">). </w:t>
      </w:r>
      <w:r w:rsidRPr="009E27EB">
        <w:t xml:space="preserve">Malaysia, </w:t>
      </w:r>
      <w:r w:rsidRPr="009E27EB" w:rsidDel="009D4A24">
        <w:t>Viet</w:t>
      </w:r>
      <w:r w:rsidR="00142F6A" w:rsidRPr="009E27EB">
        <w:t xml:space="preserve"> N</w:t>
      </w:r>
      <w:r w:rsidRPr="009E27EB" w:rsidDel="009D4A24">
        <w:t>am</w:t>
      </w:r>
      <w:r w:rsidR="009D4A24" w:rsidRPr="009E27EB">
        <w:t>,</w:t>
      </w:r>
      <w:r w:rsidRPr="009E27EB">
        <w:t xml:space="preserve"> and Thailand have consistently collected higher corporate taxes, while Singapore and the Philippines have been similar, and Cambodia has quickly caught up from a trailing position. Indonesia’s collections are also </w:t>
      </w:r>
      <w:proofErr w:type="gramStart"/>
      <w:r w:rsidRPr="009E27EB">
        <w:t>similar to</w:t>
      </w:r>
      <w:proofErr w:type="gramEnd"/>
      <w:r w:rsidRPr="009E27EB">
        <w:t xml:space="preserve"> levels in Brazil, China</w:t>
      </w:r>
      <w:r w:rsidR="00142F6A" w:rsidRPr="009E27EB">
        <w:t>,</w:t>
      </w:r>
      <w:r w:rsidRPr="009E27EB">
        <w:t xml:space="preserve"> and South Africa.</w:t>
      </w:r>
      <w:r w:rsidRPr="009E27EB">
        <w:footnoteReference w:id="25"/>
      </w:r>
      <w:r w:rsidRPr="009E27EB">
        <w:t xml:space="preserve"> Corporate taxes tend to represent a much larger share of total tax revenues in developing countries vis-à-vis industrialized countries. In 2019, corporate tax revenues accounted for 18.8 percent of total tax revenues in Africa, 18.2 percent in the Asia and Pacific, 15.8 in Latin America and the Caribbean, and 9.6 percent in </w:t>
      </w:r>
      <w:proofErr w:type="spellStart"/>
      <w:r w:rsidR="001741B8" w:rsidRPr="001741B8">
        <w:t>Organisation</w:t>
      </w:r>
      <w:proofErr w:type="spellEnd"/>
      <w:r w:rsidR="001741B8" w:rsidRPr="001741B8">
        <w:t xml:space="preserve"> for Economic Co-operation and Development </w:t>
      </w:r>
      <w:r w:rsidR="001741B8">
        <w:t xml:space="preserve">(OECD) </w:t>
      </w:r>
      <w:r w:rsidRPr="009E27EB">
        <w:t>countries (OECD 202</w:t>
      </w:r>
      <w:r w:rsidR="00C6247E">
        <w:t>0</w:t>
      </w:r>
      <w:r w:rsidR="003C0DD1">
        <w:t>a</w:t>
      </w:r>
      <w:r w:rsidRPr="009E27EB">
        <w:t xml:space="preserve">). Industrialized countries tend to have a much higher reliance on personal income taxes–accounting for </w:t>
      </w:r>
      <w:r w:rsidR="003829C2" w:rsidRPr="009E27EB">
        <w:t>about</w:t>
      </w:r>
      <w:r w:rsidRPr="009E27EB">
        <w:t xml:space="preserve"> four times as much revenue as collected from corporate income taxes–owing to a relatively larger middle class, higher wage income, and higher tax administration capacity (</w:t>
      </w:r>
      <w:r w:rsidR="003964C1" w:rsidRPr="009E27EB">
        <w:t xml:space="preserve">International Monetary Fund - </w:t>
      </w:r>
      <w:r w:rsidRPr="009E27EB">
        <w:t>IMF</w:t>
      </w:r>
      <w:r w:rsidR="00142F6A" w:rsidRPr="009E27EB">
        <w:t xml:space="preserve"> </w:t>
      </w:r>
      <w:r w:rsidRPr="009E27EB">
        <w:t xml:space="preserve">2001). </w:t>
      </w:r>
      <w:r w:rsidR="00B40118" w:rsidRPr="009E27EB">
        <w:br w:type="page"/>
      </w:r>
    </w:p>
    <w:tbl>
      <w:tblPr>
        <w:tblStyle w:val="TableGrid"/>
        <w:tblW w:w="9513" w:type="dxa"/>
        <w:tblInd w:w="-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698"/>
      </w:tblGrid>
      <w:tr w:rsidR="00130BE0" w:rsidRPr="00136259" w14:paraId="469B572B" w14:textId="77777777">
        <w:tc>
          <w:tcPr>
            <w:tcW w:w="4815" w:type="dxa"/>
          </w:tcPr>
          <w:p w14:paraId="03752122" w14:textId="25AA1C3F" w:rsidR="00130BE0" w:rsidRPr="00AC34D2" w:rsidRDefault="00130BE0" w:rsidP="00D92E1D">
            <w:pPr>
              <w:pStyle w:val="Caption"/>
              <w:jc w:val="left"/>
              <w:rPr>
                <w:rFonts w:cstheme="minorHAnsi"/>
                <w:sz w:val="20"/>
              </w:rPr>
            </w:pPr>
            <w:bookmarkStart w:id="13" w:name="_Toc177593053"/>
            <w:r w:rsidRPr="00AC34D2">
              <w:rPr>
                <w:rFonts w:cstheme="minorHAnsi"/>
                <w:sz w:val="20"/>
              </w:rPr>
              <w:lastRenderedPageBreak/>
              <w:t>Figure 2.</w:t>
            </w:r>
            <w:r w:rsidR="006127BC">
              <w:fldChar w:fldCharType="begin"/>
            </w:r>
            <w:r w:rsidR="006127BC">
              <w:instrText xml:space="preserve"> SEQ Figure \* ARABIC \s 1 </w:instrText>
            </w:r>
            <w:r w:rsidR="006127BC">
              <w:fldChar w:fldCharType="separate"/>
            </w:r>
            <w:r w:rsidR="006127BC">
              <w:rPr>
                <w:noProof/>
              </w:rPr>
              <w:t>3</w:t>
            </w:r>
            <w:r w:rsidR="006127BC">
              <w:fldChar w:fldCharType="end"/>
            </w:r>
            <w:r w:rsidRPr="00AC34D2">
              <w:rPr>
                <w:rFonts w:cstheme="minorHAnsi"/>
                <w:sz w:val="20"/>
              </w:rPr>
              <w:t xml:space="preserve">: Corporate </w:t>
            </w:r>
            <w:r>
              <w:rPr>
                <w:rFonts w:cstheme="minorHAnsi"/>
                <w:sz w:val="20"/>
              </w:rPr>
              <w:t xml:space="preserve">income </w:t>
            </w:r>
            <w:r w:rsidRPr="00AC34D2">
              <w:rPr>
                <w:rFonts w:cstheme="minorHAnsi"/>
                <w:sz w:val="20"/>
              </w:rPr>
              <w:t>taxes and other taxes</w:t>
            </w:r>
            <w:bookmarkEnd w:id="13"/>
          </w:p>
          <w:p w14:paraId="3F84D471" w14:textId="2B0EC54F" w:rsidR="00130BE0" w:rsidRPr="00AC34D2" w:rsidRDefault="00130BE0">
            <w:pPr>
              <w:ind w:left="0" w:firstLine="0"/>
              <w:rPr>
                <w:rFonts w:eastAsia="Times New Roman" w:cstheme="minorHAnsi"/>
                <w:i/>
                <w:color w:val="0C4DA2"/>
                <w:sz w:val="20"/>
                <w:szCs w:val="20"/>
              </w:rPr>
            </w:pPr>
            <w:r w:rsidRPr="00AC34D2">
              <w:rPr>
                <w:rFonts w:eastAsia="Times New Roman" w:cstheme="minorHAnsi"/>
                <w:bCs/>
                <w:i/>
                <w:iCs/>
                <w:sz w:val="20"/>
                <w:szCs w:val="20"/>
              </w:rPr>
              <w:t>(percent</w:t>
            </w:r>
            <w:r w:rsidR="00725B2D">
              <w:rPr>
                <w:rFonts w:eastAsia="Times New Roman" w:cstheme="minorHAnsi"/>
                <w:bCs/>
                <w:i/>
                <w:iCs/>
                <w:sz w:val="20"/>
                <w:szCs w:val="20"/>
              </w:rPr>
              <w:t>age</w:t>
            </w:r>
            <w:r w:rsidRPr="00AC34D2">
              <w:rPr>
                <w:rFonts w:eastAsia="Times New Roman" w:cstheme="minorHAnsi"/>
                <w:i/>
                <w:sz w:val="20"/>
                <w:szCs w:val="20"/>
              </w:rPr>
              <w:t xml:space="preserve"> of GDP</w:t>
            </w:r>
            <w:r w:rsidRPr="00AC34D2">
              <w:rPr>
                <w:rFonts w:eastAsia="Times New Roman" w:cstheme="minorHAnsi"/>
                <w:bCs/>
                <w:i/>
                <w:iCs/>
                <w:sz w:val="20"/>
                <w:szCs w:val="20"/>
              </w:rPr>
              <w:t>)</w:t>
            </w:r>
          </w:p>
        </w:tc>
        <w:tc>
          <w:tcPr>
            <w:tcW w:w="4698" w:type="dxa"/>
          </w:tcPr>
          <w:p w14:paraId="65D6CAA4" w14:textId="5DFEBA7F" w:rsidR="00130BE0" w:rsidRPr="00AC34D2" w:rsidRDefault="00130BE0" w:rsidP="00FA0442">
            <w:pPr>
              <w:pStyle w:val="Caption"/>
              <w:jc w:val="left"/>
              <w:rPr>
                <w:rFonts w:cstheme="minorHAnsi"/>
                <w:sz w:val="20"/>
              </w:rPr>
            </w:pPr>
            <w:bookmarkStart w:id="14" w:name="_Toc177593054"/>
            <w:r w:rsidRPr="00AC34D2">
              <w:rPr>
                <w:rFonts w:cstheme="minorHAnsi"/>
                <w:sz w:val="20"/>
              </w:rPr>
              <w:t>Figure 2.</w:t>
            </w:r>
            <w:r w:rsidR="006127BC">
              <w:fldChar w:fldCharType="begin"/>
            </w:r>
            <w:r w:rsidR="006127BC">
              <w:instrText xml:space="preserve"> SEQ Figure \* ARABIC \s 1 </w:instrText>
            </w:r>
            <w:r w:rsidR="006127BC">
              <w:fldChar w:fldCharType="separate"/>
            </w:r>
            <w:r w:rsidR="006127BC">
              <w:rPr>
                <w:noProof/>
              </w:rPr>
              <w:t>4</w:t>
            </w:r>
            <w:r w:rsidR="006127BC">
              <w:fldChar w:fldCharType="end"/>
            </w:r>
            <w:r w:rsidR="00016358">
              <w:t>:</w:t>
            </w:r>
            <w:r w:rsidR="002041C7">
              <w:t xml:space="preserve"> </w:t>
            </w:r>
            <w:r w:rsidR="00016358">
              <w:t>C</w:t>
            </w:r>
            <w:r w:rsidRPr="00AC34D2">
              <w:rPr>
                <w:rFonts w:cstheme="minorHAnsi"/>
                <w:sz w:val="20"/>
              </w:rPr>
              <w:t xml:space="preserve">orporate </w:t>
            </w:r>
            <w:r>
              <w:rPr>
                <w:rFonts w:cstheme="minorHAnsi"/>
                <w:sz w:val="20"/>
              </w:rPr>
              <w:t xml:space="preserve">income </w:t>
            </w:r>
            <w:r w:rsidRPr="00AC34D2">
              <w:rPr>
                <w:rFonts w:cstheme="minorHAnsi"/>
                <w:sz w:val="20"/>
              </w:rPr>
              <w:t>tax collections in ASEAN</w:t>
            </w:r>
            <w:bookmarkEnd w:id="14"/>
            <w:r w:rsidRPr="00AC34D2">
              <w:rPr>
                <w:rFonts w:cstheme="minorHAnsi"/>
                <w:sz w:val="20"/>
              </w:rPr>
              <w:t xml:space="preserve"> </w:t>
            </w:r>
          </w:p>
          <w:p w14:paraId="7C28DC60" w14:textId="1E495773" w:rsidR="00130BE0" w:rsidRPr="00AC34D2" w:rsidRDefault="00130BE0">
            <w:pPr>
              <w:ind w:left="0" w:firstLine="0"/>
              <w:rPr>
                <w:rFonts w:eastAsia="Times New Roman" w:cstheme="minorHAnsi"/>
                <w:i/>
                <w:color w:val="0C4DA2"/>
                <w:sz w:val="20"/>
                <w:szCs w:val="20"/>
              </w:rPr>
            </w:pPr>
            <w:r w:rsidRPr="00AC34D2">
              <w:rPr>
                <w:rFonts w:eastAsia="Times New Roman" w:cstheme="minorHAnsi"/>
                <w:bCs/>
                <w:i/>
                <w:iCs/>
                <w:sz w:val="20"/>
                <w:szCs w:val="20"/>
              </w:rPr>
              <w:t>(percent</w:t>
            </w:r>
            <w:r w:rsidR="00725B2D">
              <w:rPr>
                <w:rFonts w:eastAsia="Times New Roman" w:cstheme="minorHAnsi"/>
                <w:bCs/>
                <w:i/>
                <w:iCs/>
                <w:sz w:val="20"/>
                <w:szCs w:val="20"/>
              </w:rPr>
              <w:t>age</w:t>
            </w:r>
            <w:r w:rsidRPr="00AC34D2">
              <w:rPr>
                <w:rFonts w:eastAsia="Times New Roman" w:cstheme="minorHAnsi"/>
                <w:bCs/>
                <w:i/>
                <w:iCs/>
                <w:sz w:val="20"/>
                <w:szCs w:val="20"/>
              </w:rPr>
              <w:t xml:space="preserve"> of GDP)</w:t>
            </w:r>
          </w:p>
        </w:tc>
      </w:tr>
      <w:tr w:rsidR="00130BE0" w14:paraId="7CF1A6C7" w14:textId="77777777" w:rsidTr="004C17BA">
        <w:trPr>
          <w:trHeight w:val="3536"/>
        </w:trPr>
        <w:tc>
          <w:tcPr>
            <w:tcW w:w="4815" w:type="dxa"/>
          </w:tcPr>
          <w:p w14:paraId="506BF60B" w14:textId="240FFD81" w:rsidR="00130BE0" w:rsidRDefault="00267B99">
            <w:pPr>
              <w:ind w:left="0" w:firstLine="0"/>
              <w:jc w:val="center"/>
            </w:pPr>
            <w:r>
              <w:rPr>
                <w:noProof/>
              </w:rPr>
              <w:drawing>
                <wp:inline distT="0" distB="0" distL="0" distR="0" wp14:anchorId="147D10A9" wp14:editId="792A245C">
                  <wp:extent cx="2880360" cy="2194560"/>
                  <wp:effectExtent l="0" t="0" r="0" b="0"/>
                  <wp:docPr id="10" name="Chart 10">
                    <a:extLst xmlns:a="http://schemas.openxmlformats.org/drawingml/2006/main">
                      <a:ext uri="{FF2B5EF4-FFF2-40B4-BE49-F238E27FC236}">
                        <a16:creationId xmlns:a16="http://schemas.microsoft.com/office/drawing/2014/main" id="{14444D56-FA51-AABE-A359-84F833C38F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4698" w:type="dxa"/>
          </w:tcPr>
          <w:p w14:paraId="58CAF3A3" w14:textId="3B058BCB" w:rsidR="00130BE0" w:rsidRDefault="004C17BA">
            <w:pPr>
              <w:ind w:left="0" w:firstLine="0"/>
            </w:pPr>
            <w:r>
              <w:rPr>
                <w:noProof/>
              </w:rPr>
              <w:drawing>
                <wp:inline distT="0" distB="0" distL="0" distR="0" wp14:anchorId="772C95A2" wp14:editId="15F95131">
                  <wp:extent cx="2846070" cy="2270760"/>
                  <wp:effectExtent l="0" t="0" r="0" b="0"/>
                  <wp:docPr id="19" name="Chart 19">
                    <a:extLst xmlns:a="http://schemas.openxmlformats.org/drawingml/2006/main">
                      <a:ext uri="{FF2B5EF4-FFF2-40B4-BE49-F238E27FC236}">
                        <a16:creationId xmlns:a16="http://schemas.microsoft.com/office/drawing/2014/main" id="{E3F33C37-802B-4EDB-B4BF-BFE1A978B7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130BE0" w:rsidRPr="00136259" w14:paraId="7BC954C8" w14:textId="77777777">
        <w:tc>
          <w:tcPr>
            <w:tcW w:w="4815" w:type="dxa"/>
          </w:tcPr>
          <w:p w14:paraId="0B18860E" w14:textId="447D8096" w:rsidR="00130BE0" w:rsidRDefault="00130BE0">
            <w:pPr>
              <w:ind w:left="0" w:firstLine="0"/>
              <w:rPr>
                <w:sz w:val="18"/>
                <w:szCs w:val="18"/>
              </w:rPr>
            </w:pPr>
            <w:r w:rsidRPr="00FA0442">
              <w:rPr>
                <w:i/>
                <w:iCs/>
                <w:sz w:val="18"/>
                <w:szCs w:val="18"/>
              </w:rPr>
              <w:t>Source</w:t>
            </w:r>
            <w:r w:rsidRPr="00136259">
              <w:rPr>
                <w:sz w:val="18"/>
                <w:szCs w:val="18"/>
              </w:rPr>
              <w:t xml:space="preserve">: </w:t>
            </w:r>
            <w:r w:rsidR="001741B8">
              <w:rPr>
                <w:sz w:val="18"/>
                <w:szCs w:val="18"/>
              </w:rPr>
              <w:t>OECD</w:t>
            </w:r>
            <w:r w:rsidR="00BA79FC" w:rsidRPr="00BA79FC">
              <w:rPr>
                <w:sz w:val="18"/>
                <w:szCs w:val="18"/>
              </w:rPr>
              <w:t xml:space="preserve"> (2023</w:t>
            </w:r>
            <w:r w:rsidR="00BA79FC">
              <w:rPr>
                <w:sz w:val="18"/>
                <w:szCs w:val="18"/>
              </w:rPr>
              <w:t>b</w:t>
            </w:r>
            <w:r w:rsidR="00BA79FC" w:rsidRPr="00BA79FC">
              <w:rPr>
                <w:sz w:val="18"/>
                <w:szCs w:val="18"/>
              </w:rPr>
              <w:t>)</w:t>
            </w:r>
            <w:r w:rsidR="00BA79FC">
              <w:rPr>
                <w:sz w:val="18"/>
                <w:szCs w:val="18"/>
              </w:rPr>
              <w:t xml:space="preserve"> </w:t>
            </w:r>
            <w:r w:rsidR="00BA79FC" w:rsidRPr="00E104DF">
              <w:rPr>
                <w:rFonts w:cstheme="minorHAnsi"/>
                <w:sz w:val="18"/>
                <w:szCs w:val="18"/>
              </w:rPr>
              <w:t>and</w:t>
            </w:r>
            <w:r w:rsidR="00BA79FC">
              <w:rPr>
                <w:rFonts w:cstheme="minorHAnsi"/>
                <w:sz w:val="18"/>
                <w:szCs w:val="18"/>
              </w:rPr>
              <w:t xml:space="preserve"> </w:t>
            </w:r>
            <w:r w:rsidR="00BA79FC" w:rsidRPr="005A4F3D">
              <w:rPr>
                <w:rFonts w:cstheme="minorHAnsi"/>
                <w:sz w:val="18"/>
                <w:szCs w:val="18"/>
              </w:rPr>
              <w:t>World Bank staff calculation</w:t>
            </w:r>
            <w:r w:rsidR="00BA79FC">
              <w:rPr>
                <w:rFonts w:cstheme="minorHAnsi"/>
                <w:sz w:val="18"/>
                <w:szCs w:val="18"/>
              </w:rPr>
              <w:t>s</w:t>
            </w:r>
            <w:r w:rsidR="006E1BA3">
              <w:rPr>
                <w:sz w:val="18"/>
                <w:szCs w:val="18"/>
              </w:rPr>
              <w:t>.</w:t>
            </w:r>
          </w:p>
          <w:p w14:paraId="5D981614" w14:textId="46DB6D99" w:rsidR="00BA79FC" w:rsidRPr="00136259" w:rsidRDefault="00BA79FC">
            <w:pPr>
              <w:ind w:left="0" w:firstLine="0"/>
              <w:rPr>
                <w:sz w:val="18"/>
                <w:szCs w:val="18"/>
              </w:rPr>
            </w:pPr>
            <w:r w:rsidRPr="00FA0442">
              <w:rPr>
                <w:i/>
                <w:iCs/>
                <w:sz w:val="18"/>
                <w:szCs w:val="18"/>
              </w:rPr>
              <w:t>Note</w:t>
            </w:r>
            <w:r>
              <w:rPr>
                <w:sz w:val="18"/>
                <w:szCs w:val="18"/>
              </w:rPr>
              <w:t>: Corporate income tax data combines revenues on all corporate income tax regimes in each respective country.</w:t>
            </w:r>
          </w:p>
        </w:tc>
        <w:tc>
          <w:tcPr>
            <w:tcW w:w="4698" w:type="dxa"/>
          </w:tcPr>
          <w:p w14:paraId="2E93EBC9" w14:textId="6D7A9561" w:rsidR="00130BE0" w:rsidRPr="00136259" w:rsidRDefault="00130BE0">
            <w:pPr>
              <w:ind w:left="0" w:firstLine="0"/>
              <w:jc w:val="both"/>
              <w:rPr>
                <w:sz w:val="18"/>
                <w:szCs w:val="18"/>
              </w:rPr>
            </w:pPr>
            <w:r w:rsidRPr="00FA0442">
              <w:rPr>
                <w:i/>
                <w:iCs/>
                <w:noProof/>
                <w:sz w:val="18"/>
                <w:szCs w:val="18"/>
              </w:rPr>
              <w:t>Source</w:t>
            </w:r>
            <w:r w:rsidRPr="00136259">
              <w:rPr>
                <w:noProof/>
                <w:sz w:val="18"/>
                <w:szCs w:val="18"/>
              </w:rPr>
              <w:t xml:space="preserve">: </w:t>
            </w:r>
            <w:r w:rsidR="001741B8">
              <w:rPr>
                <w:noProof/>
                <w:sz w:val="18"/>
                <w:szCs w:val="18"/>
              </w:rPr>
              <w:t xml:space="preserve">OECD </w:t>
            </w:r>
            <w:r w:rsidR="00FD6697" w:rsidRPr="00FD6697">
              <w:rPr>
                <w:noProof/>
                <w:sz w:val="18"/>
                <w:szCs w:val="18"/>
              </w:rPr>
              <w:t>(2023b)</w:t>
            </w:r>
            <w:r w:rsidR="006E1BA3">
              <w:rPr>
                <w:noProof/>
                <w:sz w:val="18"/>
                <w:szCs w:val="18"/>
              </w:rPr>
              <w:t>.</w:t>
            </w:r>
            <w:r w:rsidRPr="00136259">
              <w:rPr>
                <w:noProof/>
                <w:sz w:val="18"/>
                <w:szCs w:val="18"/>
              </w:rPr>
              <w:t xml:space="preserve"> </w:t>
            </w:r>
          </w:p>
        </w:tc>
      </w:tr>
    </w:tbl>
    <w:p w14:paraId="4405588D" w14:textId="7077B1EE" w:rsidR="00130BE0" w:rsidRDefault="00130BE0" w:rsidP="00A4608A">
      <w:pPr>
        <w:pStyle w:val="Caption"/>
        <w:spacing w:after="0"/>
        <w:jc w:val="left"/>
      </w:pPr>
    </w:p>
    <w:tbl>
      <w:tblPr>
        <w:tblStyle w:val="TableGrid3"/>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696"/>
      </w:tblGrid>
      <w:tr w:rsidR="00130BE0" w:rsidRPr="005A4F3D" w14:paraId="1715AEE2" w14:textId="77777777">
        <w:trPr>
          <w:trHeight w:val="432"/>
        </w:trPr>
        <w:tc>
          <w:tcPr>
            <w:tcW w:w="4844" w:type="dxa"/>
            <w:vMerge w:val="restart"/>
          </w:tcPr>
          <w:p w14:paraId="1A1558F1" w14:textId="45C779C8" w:rsidR="00130BE0" w:rsidRPr="0076177C" w:rsidRDefault="00130BE0">
            <w:pPr>
              <w:pStyle w:val="ListParagraph"/>
              <w:numPr>
                <w:ilvl w:val="0"/>
                <w:numId w:val="12"/>
              </w:numPr>
              <w:ind w:left="0" w:firstLine="0"/>
              <w:contextualSpacing w:val="0"/>
              <w:jc w:val="both"/>
              <w:rPr>
                <w:rFonts w:asciiTheme="minorHAnsi" w:hAnsiTheme="minorHAnsi" w:cstheme="minorHAnsi"/>
                <w:color w:val="000000" w:themeColor="text1"/>
                <w:sz w:val="22"/>
                <w:szCs w:val="22"/>
              </w:rPr>
            </w:pPr>
            <w:r>
              <w:rPr>
                <w:rFonts w:asciiTheme="minorHAnsi" w:hAnsiTheme="minorHAnsi" w:cstheme="minorHAnsi"/>
                <w:b/>
                <w:sz w:val="22"/>
                <w:szCs w:val="22"/>
              </w:rPr>
              <w:t xml:space="preserve">Indonesia’s CIT efficiency </w:t>
            </w:r>
            <w:r w:rsidR="009A2BAC">
              <w:rPr>
                <w:rFonts w:asciiTheme="minorHAnsi" w:hAnsiTheme="minorHAnsi" w:cstheme="minorHAnsi"/>
                <w:b/>
                <w:sz w:val="22"/>
                <w:szCs w:val="22"/>
              </w:rPr>
              <w:t xml:space="preserve">is among the bottom range of </w:t>
            </w:r>
            <w:r>
              <w:rPr>
                <w:rFonts w:asciiTheme="minorHAnsi" w:hAnsiTheme="minorHAnsi" w:cstheme="minorHAnsi"/>
                <w:b/>
                <w:sz w:val="22"/>
                <w:szCs w:val="22"/>
              </w:rPr>
              <w:t>ASEAN countries (</w:t>
            </w:r>
            <w:r w:rsidRPr="00334A5D">
              <w:rPr>
                <w:rFonts w:asciiTheme="minorHAnsi" w:hAnsiTheme="minorHAnsi" w:cstheme="minorHAnsi"/>
                <w:b/>
                <w:sz w:val="22"/>
                <w:szCs w:val="22"/>
              </w:rPr>
              <w:t xml:space="preserve">Figure </w:t>
            </w:r>
            <w:r>
              <w:rPr>
                <w:rFonts w:asciiTheme="minorHAnsi" w:hAnsiTheme="minorHAnsi" w:cstheme="minorHAnsi"/>
                <w:b/>
                <w:bCs/>
                <w:sz w:val="22"/>
                <w:szCs w:val="22"/>
              </w:rPr>
              <w:t>2.</w:t>
            </w:r>
            <w:r w:rsidR="000F1DC0">
              <w:rPr>
                <w:rFonts w:asciiTheme="minorHAnsi" w:hAnsiTheme="minorHAnsi" w:cstheme="minorHAnsi"/>
                <w:b/>
                <w:bCs/>
                <w:sz w:val="22"/>
                <w:szCs w:val="22"/>
              </w:rPr>
              <w:t>5</w:t>
            </w:r>
            <w:r>
              <w:rPr>
                <w:rFonts w:asciiTheme="minorHAnsi" w:hAnsiTheme="minorHAnsi" w:cstheme="minorHAnsi"/>
                <w:b/>
                <w:sz w:val="22"/>
                <w:szCs w:val="22"/>
              </w:rPr>
              <w:t>)</w:t>
            </w:r>
            <w:r w:rsidRPr="00334A5D">
              <w:rPr>
                <w:rFonts w:asciiTheme="minorHAnsi" w:hAnsiTheme="minorHAnsi" w:cstheme="minorHAnsi"/>
                <w:b/>
                <w:sz w:val="22"/>
                <w:szCs w:val="22"/>
              </w:rPr>
              <w:t>.</w:t>
            </w:r>
            <w:r w:rsidR="00EF37A3">
              <w:rPr>
                <w:rStyle w:val="FootnoteReference"/>
                <w:rFonts w:asciiTheme="minorHAnsi" w:hAnsiTheme="minorHAnsi" w:cstheme="minorHAnsi"/>
                <w:b/>
                <w:sz w:val="22"/>
                <w:szCs w:val="22"/>
              </w:rPr>
              <w:footnoteReference w:id="26"/>
            </w:r>
            <w:r w:rsidRPr="00334A5D">
              <w:rPr>
                <w:rFonts w:asciiTheme="minorHAnsi" w:hAnsiTheme="minorHAnsi" w:cstheme="minorHAnsi"/>
                <w:sz w:val="22"/>
                <w:szCs w:val="22"/>
              </w:rPr>
              <w:t xml:space="preserve"> </w:t>
            </w:r>
            <w:r w:rsidR="00C77A20">
              <w:rPr>
                <w:rFonts w:asciiTheme="minorHAnsi" w:hAnsiTheme="minorHAnsi" w:cstheme="minorHAnsi"/>
                <w:sz w:val="22"/>
                <w:szCs w:val="22"/>
              </w:rPr>
              <w:t xml:space="preserve">All else constant, </w:t>
            </w:r>
            <w:r w:rsidR="004133D6">
              <w:rPr>
                <w:rFonts w:asciiTheme="minorHAnsi" w:hAnsiTheme="minorHAnsi" w:cstheme="minorHAnsi"/>
                <w:sz w:val="22"/>
                <w:szCs w:val="22"/>
              </w:rPr>
              <w:t>c</w:t>
            </w:r>
            <w:r>
              <w:rPr>
                <w:rFonts w:asciiTheme="minorHAnsi" w:hAnsiTheme="minorHAnsi" w:cstheme="minorHAnsi"/>
                <w:sz w:val="22"/>
                <w:szCs w:val="22"/>
              </w:rPr>
              <w:t xml:space="preserve">orporate tax collections </w:t>
            </w:r>
            <w:r w:rsidR="004133D6">
              <w:rPr>
                <w:rFonts w:asciiTheme="minorHAnsi" w:hAnsiTheme="minorHAnsi" w:cstheme="minorHAnsi"/>
                <w:sz w:val="22"/>
                <w:szCs w:val="22"/>
              </w:rPr>
              <w:t xml:space="preserve">will be higher in countries with higher </w:t>
            </w:r>
            <w:r>
              <w:rPr>
                <w:rFonts w:asciiTheme="minorHAnsi" w:hAnsiTheme="minorHAnsi" w:cstheme="minorHAnsi"/>
                <w:sz w:val="22"/>
                <w:szCs w:val="22"/>
              </w:rPr>
              <w:t>CIT rate</w:t>
            </w:r>
            <w:r w:rsidR="004133D6">
              <w:rPr>
                <w:rFonts w:asciiTheme="minorHAnsi" w:hAnsiTheme="minorHAnsi" w:cstheme="minorHAnsi"/>
                <w:sz w:val="22"/>
                <w:szCs w:val="22"/>
              </w:rPr>
              <w:t>s</w:t>
            </w:r>
            <w:r>
              <w:rPr>
                <w:rFonts w:asciiTheme="minorHAnsi" w:hAnsiTheme="minorHAnsi" w:cstheme="minorHAnsi"/>
                <w:sz w:val="22"/>
                <w:szCs w:val="22"/>
              </w:rPr>
              <w:t xml:space="preserve"> </w:t>
            </w:r>
            <w:r w:rsidR="004133D6">
              <w:rPr>
                <w:rFonts w:asciiTheme="minorHAnsi" w:hAnsiTheme="minorHAnsi" w:cstheme="minorHAnsi"/>
                <w:sz w:val="22"/>
                <w:szCs w:val="22"/>
              </w:rPr>
              <w:t xml:space="preserve">and in countries </w:t>
            </w:r>
            <w:r w:rsidR="00954734">
              <w:rPr>
                <w:rFonts w:asciiTheme="minorHAnsi" w:hAnsiTheme="minorHAnsi" w:cstheme="minorHAnsi"/>
                <w:sz w:val="22"/>
                <w:szCs w:val="22"/>
              </w:rPr>
              <w:t xml:space="preserve">where </w:t>
            </w:r>
            <w:r w:rsidR="004133D6">
              <w:rPr>
                <w:rFonts w:asciiTheme="minorHAnsi" w:hAnsiTheme="minorHAnsi" w:cstheme="minorHAnsi"/>
                <w:sz w:val="22"/>
                <w:szCs w:val="22"/>
              </w:rPr>
              <w:t xml:space="preserve">a higher </w:t>
            </w:r>
            <w:r>
              <w:rPr>
                <w:rFonts w:asciiTheme="minorHAnsi" w:hAnsiTheme="minorHAnsi" w:cstheme="minorHAnsi"/>
                <w:sz w:val="22"/>
                <w:szCs w:val="22"/>
              </w:rPr>
              <w:t xml:space="preserve">share of value added </w:t>
            </w:r>
            <w:r w:rsidR="004133D6">
              <w:rPr>
                <w:rFonts w:asciiTheme="minorHAnsi" w:hAnsiTheme="minorHAnsi" w:cstheme="minorHAnsi"/>
                <w:sz w:val="22"/>
                <w:szCs w:val="22"/>
              </w:rPr>
              <w:t>accru</w:t>
            </w:r>
            <w:r w:rsidR="00954734">
              <w:rPr>
                <w:rFonts w:asciiTheme="minorHAnsi" w:hAnsiTheme="minorHAnsi" w:cstheme="minorHAnsi"/>
                <w:sz w:val="22"/>
                <w:szCs w:val="22"/>
              </w:rPr>
              <w:t>es</w:t>
            </w:r>
            <w:r w:rsidR="004133D6">
              <w:rPr>
                <w:rFonts w:asciiTheme="minorHAnsi" w:hAnsiTheme="minorHAnsi" w:cstheme="minorHAnsi"/>
                <w:sz w:val="22"/>
                <w:szCs w:val="22"/>
              </w:rPr>
              <w:t xml:space="preserve"> </w:t>
            </w:r>
            <w:r>
              <w:rPr>
                <w:rFonts w:asciiTheme="minorHAnsi" w:hAnsiTheme="minorHAnsi" w:cstheme="minorHAnsi"/>
                <w:sz w:val="22"/>
                <w:szCs w:val="22"/>
              </w:rPr>
              <w:t xml:space="preserve">to the owners of businesses. The CIT efficiency </w:t>
            </w:r>
            <w:r w:rsidRPr="00334A5D">
              <w:rPr>
                <w:rFonts w:asciiTheme="minorHAnsi" w:hAnsiTheme="minorHAnsi" w:cstheme="minorHAnsi"/>
                <w:sz w:val="22"/>
                <w:szCs w:val="22"/>
              </w:rPr>
              <w:t xml:space="preserve">ratio </w:t>
            </w:r>
            <w:r>
              <w:rPr>
                <w:rFonts w:asciiTheme="minorHAnsi" w:hAnsiTheme="minorHAnsi" w:cstheme="minorHAnsi"/>
                <w:sz w:val="22"/>
                <w:szCs w:val="22"/>
              </w:rPr>
              <w:t xml:space="preserve">adjusts </w:t>
            </w:r>
            <w:r w:rsidR="00D60F27">
              <w:rPr>
                <w:rFonts w:asciiTheme="minorHAnsi" w:hAnsiTheme="minorHAnsi" w:cstheme="minorHAnsi"/>
                <w:sz w:val="22"/>
                <w:szCs w:val="22"/>
              </w:rPr>
              <w:t xml:space="preserve">CIT collections data </w:t>
            </w:r>
            <w:r>
              <w:rPr>
                <w:rFonts w:asciiTheme="minorHAnsi" w:hAnsiTheme="minorHAnsi" w:cstheme="minorHAnsi"/>
                <w:sz w:val="22"/>
                <w:szCs w:val="22"/>
              </w:rPr>
              <w:t xml:space="preserve">for these two </w:t>
            </w:r>
            <w:r w:rsidR="00AF0174">
              <w:rPr>
                <w:rFonts w:asciiTheme="minorHAnsi" w:hAnsiTheme="minorHAnsi" w:cstheme="minorHAnsi"/>
                <w:sz w:val="22"/>
                <w:szCs w:val="22"/>
              </w:rPr>
              <w:t>factors</w:t>
            </w:r>
            <w:r>
              <w:rPr>
                <w:rFonts w:asciiTheme="minorHAnsi" w:hAnsiTheme="minorHAnsi" w:cstheme="minorHAnsi"/>
                <w:sz w:val="22"/>
                <w:szCs w:val="22"/>
              </w:rPr>
              <w:t xml:space="preserve"> and </w:t>
            </w:r>
            <w:r w:rsidR="00D60F27">
              <w:rPr>
                <w:rFonts w:asciiTheme="minorHAnsi" w:hAnsiTheme="minorHAnsi" w:cstheme="minorHAnsi"/>
                <w:sz w:val="22"/>
                <w:szCs w:val="22"/>
              </w:rPr>
              <w:t xml:space="preserve">thus </w:t>
            </w:r>
            <w:r>
              <w:rPr>
                <w:rFonts w:asciiTheme="minorHAnsi" w:hAnsiTheme="minorHAnsi" w:cstheme="minorHAnsi"/>
                <w:sz w:val="22"/>
                <w:szCs w:val="22"/>
              </w:rPr>
              <w:t xml:space="preserve">provides </w:t>
            </w:r>
            <w:r w:rsidRPr="00052B37">
              <w:rPr>
                <w:rFonts w:asciiTheme="minorHAnsi" w:hAnsiTheme="minorHAnsi" w:cstheme="minorHAnsi"/>
                <w:sz w:val="22"/>
                <w:szCs w:val="22"/>
              </w:rPr>
              <w:t>a better basis for comparing the effectiveness of</w:t>
            </w:r>
            <w:r w:rsidR="006518EE" w:rsidRPr="00052B37">
              <w:rPr>
                <w:rFonts w:asciiTheme="minorHAnsi" w:hAnsiTheme="minorHAnsi" w:cstheme="minorHAnsi"/>
                <w:sz w:val="22"/>
                <w:szCs w:val="22"/>
              </w:rPr>
              <w:t xml:space="preserve"> </w:t>
            </w:r>
            <w:r w:rsidRPr="00052B37">
              <w:rPr>
                <w:rFonts w:asciiTheme="minorHAnsi" w:hAnsiTheme="minorHAnsi" w:cstheme="minorHAnsi"/>
                <w:sz w:val="22"/>
                <w:szCs w:val="22"/>
              </w:rPr>
              <w:t xml:space="preserve">countries’ </w:t>
            </w:r>
            <w:r w:rsidR="00C2200D" w:rsidRPr="00052B37">
              <w:rPr>
                <w:rFonts w:asciiTheme="minorHAnsi" w:hAnsiTheme="minorHAnsi" w:cstheme="minorHAnsi"/>
                <w:sz w:val="22"/>
                <w:szCs w:val="22"/>
              </w:rPr>
              <w:t xml:space="preserve">collection of </w:t>
            </w:r>
            <w:r w:rsidR="006A2CB3" w:rsidRPr="00052B37">
              <w:rPr>
                <w:rFonts w:asciiTheme="minorHAnsi" w:hAnsiTheme="minorHAnsi" w:cstheme="minorHAnsi"/>
                <w:sz w:val="22"/>
                <w:szCs w:val="22"/>
              </w:rPr>
              <w:t>CIT</w:t>
            </w:r>
            <w:r w:rsidRPr="00052B37">
              <w:rPr>
                <w:rFonts w:asciiTheme="minorHAnsi" w:hAnsiTheme="minorHAnsi" w:cstheme="minorHAnsi"/>
                <w:sz w:val="22"/>
                <w:szCs w:val="22"/>
              </w:rPr>
              <w:t>. Indonesia has an average CIT efficiency of 0.2</w:t>
            </w:r>
            <w:r w:rsidR="0015112E" w:rsidRPr="00052B37">
              <w:rPr>
                <w:rFonts w:asciiTheme="minorHAnsi" w:hAnsiTheme="minorHAnsi" w:cstheme="minorHAnsi"/>
                <w:sz w:val="22"/>
                <w:szCs w:val="22"/>
              </w:rPr>
              <w:t>5</w:t>
            </w:r>
            <w:r w:rsidR="00CE1CDF" w:rsidRPr="00052B37">
              <w:rPr>
                <w:rFonts w:asciiTheme="minorHAnsi" w:hAnsiTheme="minorHAnsi" w:cstheme="minorHAnsi"/>
                <w:sz w:val="22"/>
                <w:szCs w:val="22"/>
              </w:rPr>
              <w:t xml:space="preserve"> over 2014-20</w:t>
            </w:r>
            <w:r w:rsidR="006A2CB3" w:rsidRPr="00052B37">
              <w:rPr>
                <w:rFonts w:asciiTheme="minorHAnsi" w:hAnsiTheme="minorHAnsi" w:cstheme="minorHAnsi"/>
                <w:sz w:val="22"/>
                <w:szCs w:val="22"/>
              </w:rPr>
              <w:t>–</w:t>
            </w:r>
            <w:r w:rsidRPr="00052B37">
              <w:rPr>
                <w:rFonts w:asciiTheme="minorHAnsi" w:hAnsiTheme="minorHAnsi" w:cstheme="minorHAnsi"/>
                <w:sz w:val="22"/>
                <w:szCs w:val="22"/>
              </w:rPr>
              <w:t>which is belo</w:t>
            </w:r>
            <w:r w:rsidRPr="00B944B9">
              <w:rPr>
                <w:rFonts w:asciiTheme="minorHAnsi" w:hAnsiTheme="minorHAnsi" w:cstheme="minorHAnsi"/>
                <w:sz w:val="22"/>
                <w:szCs w:val="22"/>
              </w:rPr>
              <w:t xml:space="preserve">w the </w:t>
            </w:r>
            <w:r w:rsidR="0015112E" w:rsidRPr="00B944B9">
              <w:rPr>
                <w:rFonts w:asciiTheme="minorHAnsi" w:hAnsiTheme="minorHAnsi" w:cstheme="minorHAnsi"/>
                <w:sz w:val="22"/>
                <w:szCs w:val="22"/>
              </w:rPr>
              <w:t xml:space="preserve">average </w:t>
            </w:r>
            <w:r w:rsidR="0015112E">
              <w:rPr>
                <w:rFonts w:asciiTheme="minorHAnsi" w:hAnsiTheme="minorHAnsi" w:cstheme="minorHAnsi"/>
                <w:sz w:val="22"/>
                <w:szCs w:val="22"/>
              </w:rPr>
              <w:t xml:space="preserve">of </w:t>
            </w:r>
            <w:r w:rsidR="004E291B" w:rsidRPr="00B944B9">
              <w:rPr>
                <w:rFonts w:asciiTheme="minorHAnsi" w:hAnsiTheme="minorHAnsi" w:cstheme="minorHAnsi"/>
                <w:sz w:val="22"/>
                <w:szCs w:val="22"/>
              </w:rPr>
              <w:t>0.34</w:t>
            </w:r>
            <w:r w:rsidR="004E291B">
              <w:rPr>
                <w:rFonts w:asciiTheme="minorHAnsi" w:hAnsiTheme="minorHAnsi" w:cstheme="minorHAnsi"/>
                <w:sz w:val="22"/>
                <w:szCs w:val="22"/>
              </w:rPr>
              <w:t xml:space="preserve"> from </w:t>
            </w:r>
            <w:r w:rsidR="0015112E">
              <w:rPr>
                <w:rFonts w:asciiTheme="minorHAnsi" w:hAnsiTheme="minorHAnsi" w:cstheme="minorHAnsi"/>
                <w:sz w:val="22"/>
                <w:szCs w:val="22"/>
              </w:rPr>
              <w:t xml:space="preserve">other available </w:t>
            </w:r>
            <w:r w:rsidRPr="00B944B9">
              <w:rPr>
                <w:rFonts w:asciiTheme="minorHAnsi" w:hAnsiTheme="minorHAnsi" w:cstheme="minorHAnsi"/>
                <w:sz w:val="22"/>
                <w:szCs w:val="22"/>
              </w:rPr>
              <w:t xml:space="preserve">ASEAN </w:t>
            </w:r>
            <w:r w:rsidR="0015112E">
              <w:rPr>
                <w:rFonts w:asciiTheme="minorHAnsi" w:hAnsiTheme="minorHAnsi" w:cstheme="minorHAnsi"/>
                <w:sz w:val="22"/>
                <w:szCs w:val="22"/>
              </w:rPr>
              <w:t>countries</w:t>
            </w:r>
            <w:r w:rsidRPr="00B944B9">
              <w:rPr>
                <w:rFonts w:asciiTheme="minorHAnsi" w:hAnsiTheme="minorHAnsi" w:cstheme="minorHAnsi"/>
                <w:sz w:val="22"/>
                <w:szCs w:val="22"/>
              </w:rPr>
              <w:t>. This places Indonesia</w:t>
            </w:r>
            <w:r>
              <w:rPr>
                <w:rFonts w:asciiTheme="minorHAnsi" w:hAnsiTheme="minorHAnsi" w:cstheme="minorHAnsi"/>
                <w:sz w:val="22"/>
                <w:szCs w:val="22"/>
              </w:rPr>
              <w:t xml:space="preserve"> </w:t>
            </w:r>
            <w:r w:rsidR="00421197">
              <w:rPr>
                <w:rFonts w:asciiTheme="minorHAnsi" w:hAnsiTheme="minorHAnsi" w:cstheme="minorHAnsi"/>
                <w:sz w:val="22"/>
                <w:szCs w:val="22"/>
              </w:rPr>
              <w:t xml:space="preserve">broadly </w:t>
            </w:r>
            <w:r w:rsidRPr="00B944B9">
              <w:rPr>
                <w:rFonts w:asciiTheme="minorHAnsi" w:hAnsiTheme="minorHAnsi" w:cstheme="minorHAnsi"/>
                <w:sz w:val="22"/>
                <w:szCs w:val="22"/>
              </w:rPr>
              <w:t xml:space="preserve">in line with the Philippines </w:t>
            </w:r>
            <w:r w:rsidR="00377F9E">
              <w:rPr>
                <w:rFonts w:asciiTheme="minorHAnsi" w:hAnsiTheme="minorHAnsi" w:cstheme="minorHAnsi"/>
                <w:sz w:val="22"/>
                <w:szCs w:val="22"/>
              </w:rPr>
              <w:t>(</w:t>
            </w:r>
            <w:r w:rsidRPr="00B944B9">
              <w:rPr>
                <w:rFonts w:asciiTheme="minorHAnsi" w:hAnsiTheme="minorHAnsi" w:cstheme="minorHAnsi"/>
                <w:sz w:val="22"/>
                <w:szCs w:val="22"/>
              </w:rPr>
              <w:t>average of 0.2</w:t>
            </w:r>
            <w:r w:rsidR="00377F9E">
              <w:rPr>
                <w:rFonts w:asciiTheme="minorHAnsi" w:hAnsiTheme="minorHAnsi" w:cstheme="minorHAnsi"/>
                <w:sz w:val="22"/>
                <w:szCs w:val="22"/>
              </w:rPr>
              <w:t>4)</w:t>
            </w:r>
            <w:r w:rsidRPr="00B944B9">
              <w:rPr>
                <w:rFonts w:asciiTheme="minorHAnsi" w:hAnsiTheme="minorHAnsi" w:cstheme="minorHAnsi"/>
                <w:sz w:val="22"/>
                <w:szCs w:val="22"/>
              </w:rPr>
              <w:t xml:space="preserve">. However, it falls </w:t>
            </w:r>
            <w:r w:rsidR="00671135">
              <w:rPr>
                <w:rFonts w:asciiTheme="minorHAnsi" w:hAnsiTheme="minorHAnsi" w:cstheme="minorHAnsi"/>
                <w:sz w:val="22"/>
                <w:szCs w:val="22"/>
              </w:rPr>
              <w:t xml:space="preserve">well below </w:t>
            </w:r>
            <w:r w:rsidRPr="00B944B9">
              <w:rPr>
                <w:rFonts w:asciiTheme="minorHAnsi" w:hAnsiTheme="minorHAnsi" w:cstheme="minorHAnsi"/>
                <w:sz w:val="22"/>
                <w:szCs w:val="22"/>
              </w:rPr>
              <w:t xml:space="preserve">countries like Thailand, Singapore, and </w:t>
            </w:r>
            <w:r w:rsidR="00671135" w:rsidRPr="00671135">
              <w:rPr>
                <w:rFonts w:asciiTheme="minorHAnsi" w:hAnsiTheme="minorHAnsi" w:cstheme="minorHAnsi"/>
                <w:sz w:val="22"/>
                <w:szCs w:val="22"/>
              </w:rPr>
              <w:t>Malaysia,</w:t>
            </w:r>
            <w:r w:rsidR="00671135">
              <w:rPr>
                <w:rFonts w:asciiTheme="minorHAnsi" w:hAnsiTheme="minorHAnsi" w:cstheme="minorHAnsi"/>
                <w:sz w:val="22"/>
                <w:szCs w:val="22"/>
              </w:rPr>
              <w:t xml:space="preserve"> </w:t>
            </w:r>
            <w:r w:rsidR="00004256" w:rsidRPr="00004256">
              <w:rPr>
                <w:rFonts w:asciiTheme="minorHAnsi" w:hAnsiTheme="minorHAnsi" w:cstheme="minorHAnsi"/>
                <w:sz w:val="22"/>
                <w:szCs w:val="22"/>
              </w:rPr>
              <w:t>with average CIT efficiencies of 0.38, 0.</w:t>
            </w:r>
            <w:r w:rsidR="004C0731">
              <w:rPr>
                <w:rFonts w:asciiTheme="minorHAnsi" w:hAnsiTheme="minorHAnsi" w:cstheme="minorHAnsi"/>
                <w:sz w:val="22"/>
                <w:szCs w:val="22"/>
              </w:rPr>
              <w:t>39</w:t>
            </w:r>
            <w:r w:rsidR="00004256" w:rsidRPr="00004256">
              <w:rPr>
                <w:rFonts w:asciiTheme="minorHAnsi" w:hAnsiTheme="minorHAnsi" w:cstheme="minorHAnsi"/>
                <w:sz w:val="22"/>
                <w:szCs w:val="22"/>
              </w:rPr>
              <w:t xml:space="preserve">, and 0.40, respectively. </w:t>
            </w:r>
            <w:r w:rsidR="00A670AF">
              <w:rPr>
                <w:rFonts w:asciiTheme="minorHAnsi" w:hAnsiTheme="minorHAnsi" w:cstheme="minorHAnsi"/>
                <w:sz w:val="22"/>
                <w:szCs w:val="22"/>
              </w:rPr>
              <w:t>These cross-country differences in the</w:t>
            </w:r>
          </w:p>
        </w:tc>
        <w:tc>
          <w:tcPr>
            <w:tcW w:w="4696" w:type="dxa"/>
          </w:tcPr>
          <w:p w14:paraId="4001DE9B" w14:textId="5B2A41D8" w:rsidR="00130BE0" w:rsidRPr="008455DB" w:rsidRDefault="00130BE0" w:rsidP="00D92E1D">
            <w:pPr>
              <w:pStyle w:val="Caption"/>
              <w:jc w:val="left"/>
              <w:rPr>
                <w:rFonts w:asciiTheme="minorHAnsi" w:hAnsiTheme="minorHAnsi" w:cstheme="minorHAnsi"/>
              </w:rPr>
            </w:pPr>
            <w:bookmarkStart w:id="15" w:name="_Toc177593055"/>
            <w:r w:rsidRPr="008455DB">
              <w:rPr>
                <w:rFonts w:asciiTheme="minorHAnsi" w:hAnsiTheme="minorHAnsi" w:cstheme="minorHAnsi"/>
              </w:rPr>
              <w:t>Figure 2.</w:t>
            </w:r>
            <w:r w:rsidR="000F1DC0" w:rsidRPr="008455DB">
              <w:rPr>
                <w:rFonts w:asciiTheme="minorHAnsi" w:hAnsiTheme="minorHAnsi" w:cstheme="minorHAnsi"/>
              </w:rPr>
              <w:t>5</w:t>
            </w:r>
            <w:r w:rsidRPr="008455DB">
              <w:rPr>
                <w:rFonts w:asciiTheme="minorHAnsi" w:hAnsiTheme="minorHAnsi" w:cstheme="minorHAnsi"/>
              </w:rPr>
              <w:t>: CIT efficiency by country</w:t>
            </w:r>
            <w:bookmarkEnd w:id="15"/>
          </w:p>
          <w:p w14:paraId="22C5BDF9" w14:textId="77777777" w:rsidR="00130BE0" w:rsidRPr="00AC34D2" w:rsidRDefault="00130BE0">
            <w:pPr>
              <w:ind w:hanging="5"/>
              <w:jc w:val="both"/>
              <w:rPr>
                <w:rFonts w:asciiTheme="minorHAnsi" w:hAnsiTheme="minorHAnsi" w:cstheme="minorHAnsi"/>
                <w:i/>
                <w:iCs/>
              </w:rPr>
            </w:pPr>
            <w:r w:rsidRPr="00AC34D2">
              <w:rPr>
                <w:rFonts w:asciiTheme="minorHAnsi" w:hAnsiTheme="minorHAnsi" w:cstheme="minorHAnsi"/>
                <w:i/>
                <w:iCs/>
              </w:rPr>
              <w:t>(percent)</w:t>
            </w:r>
          </w:p>
        </w:tc>
      </w:tr>
      <w:tr w:rsidR="00130BE0" w:rsidRPr="005A4F3D" w14:paraId="4B71798A" w14:textId="77777777" w:rsidTr="008470C7">
        <w:trPr>
          <w:trHeight w:val="3204"/>
        </w:trPr>
        <w:tc>
          <w:tcPr>
            <w:tcW w:w="4844" w:type="dxa"/>
            <w:vMerge/>
          </w:tcPr>
          <w:p w14:paraId="35E2DB22" w14:textId="77777777" w:rsidR="00130BE0" w:rsidRPr="005A4F3D" w:rsidRDefault="00130BE0">
            <w:pPr>
              <w:keepNext/>
              <w:ind w:right="144"/>
              <w:rPr>
                <w:rFonts w:cstheme="minorHAnsi"/>
                <w:b/>
                <w:color w:val="FF0000"/>
                <w:sz w:val="16"/>
                <w:szCs w:val="16"/>
              </w:rPr>
            </w:pPr>
          </w:p>
        </w:tc>
        <w:tc>
          <w:tcPr>
            <w:tcW w:w="4696" w:type="dxa"/>
          </w:tcPr>
          <w:p w14:paraId="5AFD88AF" w14:textId="224FEA09" w:rsidR="00130BE0" w:rsidRPr="005A4F3D" w:rsidRDefault="008470C7">
            <w:pPr>
              <w:jc w:val="both"/>
            </w:pPr>
            <w:r>
              <w:rPr>
                <w:noProof/>
              </w:rPr>
              <w:drawing>
                <wp:inline distT="0" distB="0" distL="0" distR="0" wp14:anchorId="45BBF737" wp14:editId="43A83ED4">
                  <wp:extent cx="2788920" cy="2157984"/>
                  <wp:effectExtent l="0" t="0" r="0" b="0"/>
                  <wp:docPr id="1497743707" name="Chart 1">
                    <a:extLst xmlns:a="http://schemas.openxmlformats.org/drawingml/2006/main">
                      <a:ext uri="{FF2B5EF4-FFF2-40B4-BE49-F238E27FC236}">
                        <a16:creationId xmlns:a16="http://schemas.microsoft.com/office/drawing/2014/main" id="{52477772-CAC6-4305-99A6-6AFAC143B3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130BE0" w:rsidRPr="005A4F3D" w14:paraId="55B99F9A" w14:textId="77777777">
        <w:tc>
          <w:tcPr>
            <w:tcW w:w="4844" w:type="dxa"/>
            <w:vMerge/>
          </w:tcPr>
          <w:p w14:paraId="5B508669" w14:textId="77777777" w:rsidR="00130BE0" w:rsidRPr="005A4F3D" w:rsidRDefault="00130BE0">
            <w:pPr>
              <w:keepNext/>
              <w:ind w:right="144"/>
              <w:rPr>
                <w:rFonts w:cstheme="minorHAnsi"/>
                <w:b/>
                <w:color w:val="808080" w:themeColor="background1" w:themeShade="80"/>
                <w:sz w:val="16"/>
                <w:szCs w:val="16"/>
              </w:rPr>
            </w:pPr>
          </w:p>
        </w:tc>
        <w:tc>
          <w:tcPr>
            <w:tcW w:w="4696" w:type="dxa"/>
          </w:tcPr>
          <w:p w14:paraId="3FB9731D" w14:textId="79B0D622" w:rsidR="00130BE0" w:rsidRDefault="00130BE0">
            <w:pPr>
              <w:jc w:val="both"/>
              <w:rPr>
                <w:rFonts w:asciiTheme="minorHAnsi" w:hAnsiTheme="minorHAnsi" w:cstheme="minorHAnsi"/>
                <w:sz w:val="18"/>
                <w:szCs w:val="18"/>
              </w:rPr>
            </w:pPr>
            <w:r w:rsidRPr="00FA0442">
              <w:rPr>
                <w:rFonts w:cstheme="minorHAnsi"/>
                <w:i/>
                <w:iCs/>
                <w:sz w:val="18"/>
                <w:szCs w:val="18"/>
              </w:rPr>
              <w:t>Source</w:t>
            </w:r>
            <w:r w:rsidRPr="00C6011E">
              <w:rPr>
                <w:rFonts w:asciiTheme="minorHAnsi" w:hAnsiTheme="minorHAnsi" w:cstheme="minorHAnsi"/>
                <w:sz w:val="18"/>
                <w:szCs w:val="18"/>
              </w:rPr>
              <w:t>:</w:t>
            </w:r>
            <w:r w:rsidRPr="005A4F3D">
              <w:rPr>
                <w:rFonts w:asciiTheme="minorHAnsi" w:hAnsiTheme="minorHAnsi" w:cstheme="minorHAnsi"/>
                <w:sz w:val="18"/>
                <w:szCs w:val="18"/>
              </w:rPr>
              <w:t xml:space="preserve"> World Bank calculation</w:t>
            </w:r>
            <w:r w:rsidR="00B6325E">
              <w:rPr>
                <w:rFonts w:asciiTheme="minorHAnsi" w:hAnsiTheme="minorHAnsi" w:cstheme="minorHAnsi"/>
                <w:sz w:val="18"/>
                <w:szCs w:val="18"/>
              </w:rPr>
              <w:t>s</w:t>
            </w:r>
            <w:r w:rsidR="006A68F1">
              <w:rPr>
                <w:rFonts w:asciiTheme="minorHAnsi" w:hAnsiTheme="minorHAnsi" w:cstheme="minorHAnsi"/>
                <w:sz w:val="18"/>
                <w:szCs w:val="18"/>
              </w:rPr>
              <w:t xml:space="preserve"> and </w:t>
            </w:r>
            <w:r w:rsidR="001466BA">
              <w:rPr>
                <w:rFonts w:asciiTheme="minorHAnsi" w:hAnsiTheme="minorHAnsi" w:cstheme="minorHAnsi"/>
                <w:sz w:val="18"/>
                <w:szCs w:val="18"/>
              </w:rPr>
              <w:t xml:space="preserve">national statistics offices. </w:t>
            </w:r>
          </w:p>
          <w:p w14:paraId="3B415DD6" w14:textId="4A81EE97" w:rsidR="006A68F1" w:rsidRPr="005A4F3D" w:rsidRDefault="006A68F1" w:rsidP="00FA0442">
            <w:pPr>
              <w:keepNext/>
              <w:jc w:val="both"/>
              <w:rPr>
                <w:rFonts w:asciiTheme="minorHAnsi" w:hAnsiTheme="minorHAnsi" w:cstheme="minorHAnsi"/>
                <w:sz w:val="18"/>
                <w:szCs w:val="18"/>
              </w:rPr>
            </w:pPr>
            <w:r w:rsidRPr="00FA0442">
              <w:rPr>
                <w:rFonts w:cstheme="minorHAnsi"/>
                <w:i/>
                <w:iCs/>
                <w:sz w:val="18"/>
                <w:szCs w:val="18"/>
              </w:rPr>
              <w:t>Note</w:t>
            </w:r>
            <w:r w:rsidRPr="00C6011E">
              <w:rPr>
                <w:rFonts w:asciiTheme="minorHAnsi" w:hAnsiTheme="minorHAnsi" w:cstheme="minorHAnsi"/>
                <w:sz w:val="18"/>
                <w:szCs w:val="18"/>
              </w:rPr>
              <w:t>:</w:t>
            </w:r>
            <w:r>
              <w:rPr>
                <w:rFonts w:asciiTheme="minorHAnsi" w:hAnsiTheme="minorHAnsi" w:cstheme="minorHAnsi"/>
                <w:sz w:val="18"/>
                <w:szCs w:val="18"/>
              </w:rPr>
              <w:t xml:space="preserve"> </w:t>
            </w:r>
            <w:r w:rsidR="00870DBA">
              <w:rPr>
                <w:rFonts w:asciiTheme="minorHAnsi" w:hAnsiTheme="minorHAnsi" w:cstheme="minorHAnsi"/>
                <w:sz w:val="18"/>
                <w:szCs w:val="18"/>
              </w:rPr>
              <w:t xml:space="preserve">Uses data </w:t>
            </w:r>
            <w:r w:rsidR="00870DBA" w:rsidRPr="00FD66AB">
              <w:rPr>
                <w:rFonts w:asciiTheme="minorHAnsi" w:hAnsiTheme="minorHAnsi" w:cstheme="minorHAnsi"/>
                <w:sz w:val="18"/>
                <w:szCs w:val="18"/>
              </w:rPr>
              <w:t xml:space="preserve">on </w:t>
            </w:r>
            <w:r w:rsidR="00B6325E" w:rsidRPr="00FD66AB">
              <w:rPr>
                <w:rFonts w:asciiTheme="minorHAnsi" w:hAnsiTheme="minorHAnsi" w:cstheme="minorHAnsi"/>
                <w:sz w:val="18"/>
                <w:szCs w:val="18"/>
              </w:rPr>
              <w:t>gross operating surplus</w:t>
            </w:r>
            <w:r w:rsidR="00494D1F" w:rsidRPr="00FD66AB">
              <w:rPr>
                <w:rFonts w:asciiTheme="minorHAnsi" w:hAnsiTheme="minorHAnsi" w:cstheme="minorHAnsi"/>
                <w:sz w:val="18"/>
                <w:szCs w:val="18"/>
              </w:rPr>
              <w:t xml:space="preserve"> (GOS)</w:t>
            </w:r>
            <w:r w:rsidR="00B6325E" w:rsidRPr="00FD66AB">
              <w:rPr>
                <w:rFonts w:asciiTheme="minorHAnsi" w:hAnsiTheme="minorHAnsi" w:cstheme="minorHAnsi"/>
                <w:sz w:val="18"/>
                <w:szCs w:val="18"/>
              </w:rPr>
              <w:t xml:space="preserve">. </w:t>
            </w:r>
            <w:r w:rsidR="00494D1F" w:rsidRPr="00FD66AB">
              <w:rPr>
                <w:rFonts w:asciiTheme="minorHAnsi" w:hAnsiTheme="minorHAnsi" w:cstheme="minorHAnsi"/>
                <w:sz w:val="18"/>
                <w:szCs w:val="18"/>
              </w:rPr>
              <w:t>For</w:t>
            </w:r>
            <w:r w:rsidR="00494D1F">
              <w:rPr>
                <w:rFonts w:asciiTheme="minorHAnsi" w:hAnsiTheme="minorHAnsi" w:cstheme="minorHAnsi"/>
                <w:sz w:val="18"/>
                <w:szCs w:val="18"/>
              </w:rPr>
              <w:t xml:space="preserve"> each country,</w:t>
            </w:r>
            <w:r w:rsidR="00870DBA">
              <w:rPr>
                <w:rFonts w:asciiTheme="minorHAnsi" w:hAnsiTheme="minorHAnsi" w:cstheme="minorHAnsi"/>
                <w:sz w:val="18"/>
                <w:szCs w:val="18"/>
              </w:rPr>
              <w:t xml:space="preserve"> </w:t>
            </w:r>
            <w:r w:rsidR="00004256">
              <w:rPr>
                <w:rFonts w:asciiTheme="minorHAnsi" w:hAnsiTheme="minorHAnsi" w:cstheme="minorHAnsi"/>
                <w:sz w:val="18"/>
                <w:szCs w:val="18"/>
              </w:rPr>
              <w:t xml:space="preserve">the latest </w:t>
            </w:r>
            <w:r w:rsidR="000303D0">
              <w:rPr>
                <w:rFonts w:asciiTheme="minorHAnsi" w:hAnsiTheme="minorHAnsi" w:cstheme="minorHAnsi"/>
                <w:sz w:val="18"/>
                <w:szCs w:val="18"/>
              </w:rPr>
              <w:t xml:space="preserve">annual </w:t>
            </w:r>
            <w:r w:rsidR="00004256">
              <w:rPr>
                <w:rFonts w:asciiTheme="minorHAnsi" w:hAnsiTheme="minorHAnsi" w:cstheme="minorHAnsi"/>
                <w:sz w:val="18"/>
                <w:szCs w:val="18"/>
              </w:rPr>
              <w:t xml:space="preserve">datapoint is used for the full series. </w:t>
            </w:r>
          </w:p>
        </w:tc>
      </w:tr>
    </w:tbl>
    <w:p w14:paraId="4D2CAE03" w14:textId="0757C876" w:rsidR="00130BE0" w:rsidRPr="00334A5D" w:rsidRDefault="00130BE0" w:rsidP="00A316FA">
      <w:pPr>
        <w:spacing w:after="0"/>
        <w:ind w:left="0" w:firstLine="0"/>
        <w:jc w:val="both"/>
        <w:rPr>
          <w:lang w:val="en" w:bidi="si-LK"/>
        </w:rPr>
      </w:pPr>
      <w:r w:rsidRPr="00B944B9">
        <w:rPr>
          <w:rFonts w:cstheme="minorHAnsi"/>
        </w:rPr>
        <w:t xml:space="preserve">efficiency ratio </w:t>
      </w:r>
      <w:r w:rsidR="0084568F">
        <w:rPr>
          <w:rFonts w:cstheme="minorHAnsi"/>
        </w:rPr>
        <w:t xml:space="preserve">are, in principle, attributable </w:t>
      </w:r>
      <w:r w:rsidRPr="00B944B9">
        <w:rPr>
          <w:rFonts w:cstheme="minorHAnsi"/>
        </w:rPr>
        <w:t>to variations in policy and compliance gaps</w:t>
      </w:r>
      <w:r w:rsidR="005532A1">
        <w:rPr>
          <w:rFonts w:cstheme="minorHAnsi"/>
        </w:rPr>
        <w:t xml:space="preserve">. </w:t>
      </w:r>
    </w:p>
    <w:p w14:paraId="461C857A" w14:textId="77777777" w:rsidR="00130BE0" w:rsidRPr="002D5942" w:rsidRDefault="00130BE0" w:rsidP="00130BE0">
      <w:pPr>
        <w:pStyle w:val="Heading2"/>
        <w:rPr>
          <w:rFonts w:asciiTheme="minorHAnsi" w:hAnsiTheme="minorHAnsi" w:cstheme="minorHAnsi"/>
          <w:color w:val="4472C4" w:themeColor="accent1"/>
          <w:sz w:val="24"/>
          <w:szCs w:val="24"/>
        </w:rPr>
      </w:pPr>
      <w:bookmarkStart w:id="16" w:name="_Toc177819034"/>
      <w:r w:rsidRPr="002D5942">
        <w:rPr>
          <w:rFonts w:asciiTheme="minorHAnsi" w:hAnsiTheme="minorHAnsi" w:cstheme="minorHAnsi"/>
          <w:color w:val="4472C4" w:themeColor="accent1"/>
          <w:sz w:val="24"/>
          <w:szCs w:val="24"/>
        </w:rPr>
        <w:t>Who pays and who does not</w:t>
      </w:r>
      <w:bookmarkEnd w:id="16"/>
    </w:p>
    <w:p w14:paraId="4F3971BC" w14:textId="5997CBDB" w:rsidR="00130BE0" w:rsidRDefault="00130BE0" w:rsidP="00130BE0">
      <w:pPr>
        <w:pStyle w:val="ListParagraph"/>
        <w:numPr>
          <w:ilvl w:val="0"/>
          <w:numId w:val="12"/>
        </w:numPr>
        <w:spacing w:before="120" w:after="240"/>
        <w:ind w:left="0" w:firstLine="0"/>
        <w:contextualSpacing w:val="0"/>
        <w:jc w:val="both"/>
      </w:pPr>
      <w:r w:rsidRPr="0019163E">
        <w:rPr>
          <w:b/>
          <w:bCs/>
        </w:rPr>
        <w:t xml:space="preserve">The CIT regime applies to a large share of Indonesian businesses but many fall outside the standard base. </w:t>
      </w:r>
      <w:r>
        <w:t>Firms</w:t>
      </w:r>
      <w:r w:rsidDel="00EF4539">
        <w:t xml:space="preserve"> </w:t>
      </w:r>
      <w:r>
        <w:t xml:space="preserve">falling under the alternative final turnover tax regime for MSMEs are excluded from the CIT regime. Separately, individuals running small business activities, without registering as a business, report their income under the PIT instead of the CIT. Furthermore, several </w:t>
      </w:r>
      <w:r w:rsidRPr="008067ED">
        <w:t>sectors are subject to either special</w:t>
      </w:r>
      <w:r>
        <w:t xml:space="preserve"> deemed net profits provisions or special final tax rates. </w:t>
      </w:r>
      <w:r w:rsidR="00E238B6">
        <w:t>As</w:t>
      </w:r>
      <w:r>
        <w:t xml:space="preserve"> in many other </w:t>
      </w:r>
      <w:r>
        <w:lastRenderedPageBreak/>
        <w:t xml:space="preserve">countries, the Indonesian resources sector is subject to a range of special tax arrangements reflecting the special nature of extractive operations. Such arrangements include the royalties that extractives firms pay, as well as production sharing </w:t>
      </w:r>
      <w:r w:rsidR="00F80721">
        <w:t xml:space="preserve">contracts </w:t>
      </w:r>
      <w:r>
        <w:t>with government.</w:t>
      </w:r>
      <w:r>
        <w:rPr>
          <w:rStyle w:val="FootnoteReference"/>
        </w:rPr>
        <w:footnoteReference w:id="27"/>
      </w:r>
      <w:r>
        <w:t xml:space="preserve"> Finally, even amongst those that fall within the CIT regime, there are numerous tax incentives and special treatments that </w:t>
      </w:r>
      <w:proofErr w:type="gramStart"/>
      <w:r>
        <w:t>significantly</w:t>
      </w:r>
      <w:proofErr w:type="gramEnd"/>
      <w:r>
        <w:t xml:space="preserve"> lower, or altogether eliminate, their CIT obligations. After accounting for all these carve outs, all other businesses in Indonesia can be considered subject to the CIT. This includes </w:t>
      </w:r>
      <w:proofErr w:type="gramStart"/>
      <w:r>
        <w:t>nonresident</w:t>
      </w:r>
      <w:proofErr w:type="gramEnd"/>
      <w:r>
        <w:t xml:space="preserve"> permanent establishments</w:t>
      </w:r>
      <w:r w:rsidR="001643FD">
        <w:t xml:space="preserve"> (PE</w:t>
      </w:r>
      <w:r w:rsidR="00D41667">
        <w:t>s</w:t>
      </w:r>
      <w:r w:rsidR="001643FD">
        <w:t>)</w:t>
      </w:r>
      <w:r>
        <w:t>.</w:t>
      </w:r>
      <w:r>
        <w:rPr>
          <w:rStyle w:val="FootnoteReference"/>
        </w:rPr>
        <w:footnoteReference w:id="28"/>
      </w:r>
      <w:r>
        <w:t xml:space="preserve">  </w:t>
      </w:r>
    </w:p>
    <w:p w14:paraId="69CD2005" w14:textId="32A351C0" w:rsidR="00130BE0" w:rsidRPr="002D5942" w:rsidRDefault="00130BE0" w:rsidP="00130BE0">
      <w:pPr>
        <w:pStyle w:val="Heading2"/>
        <w:rPr>
          <w:rFonts w:asciiTheme="minorHAnsi" w:hAnsiTheme="minorHAnsi" w:cstheme="minorHAnsi"/>
          <w:color w:val="4472C4" w:themeColor="accent1"/>
          <w:sz w:val="24"/>
          <w:szCs w:val="24"/>
        </w:rPr>
      </w:pPr>
      <w:bookmarkStart w:id="17" w:name="_Toc177819035"/>
      <w:r w:rsidRPr="002D5942">
        <w:rPr>
          <w:rFonts w:asciiTheme="minorHAnsi" w:hAnsiTheme="minorHAnsi" w:cstheme="minorHAnsi"/>
          <w:color w:val="4472C4" w:themeColor="accent1"/>
          <w:sz w:val="24"/>
          <w:szCs w:val="24"/>
        </w:rPr>
        <w:t xml:space="preserve">The </w:t>
      </w:r>
      <w:r w:rsidR="006858D7">
        <w:rPr>
          <w:rFonts w:asciiTheme="minorHAnsi" w:hAnsiTheme="minorHAnsi" w:cstheme="minorHAnsi"/>
          <w:color w:val="4472C4" w:themeColor="accent1"/>
          <w:sz w:val="24"/>
          <w:szCs w:val="24"/>
        </w:rPr>
        <w:t>AFT</w:t>
      </w:r>
      <w:r w:rsidRPr="002D5942">
        <w:rPr>
          <w:rFonts w:asciiTheme="minorHAnsi" w:hAnsiTheme="minorHAnsi" w:cstheme="minorHAnsi"/>
          <w:color w:val="4472C4" w:themeColor="accent1"/>
          <w:sz w:val="24"/>
          <w:szCs w:val="24"/>
        </w:rPr>
        <w:t xml:space="preserve"> for MSMEs</w:t>
      </w:r>
      <w:bookmarkEnd w:id="17"/>
    </w:p>
    <w:p w14:paraId="7D526124" w14:textId="48BC689C" w:rsidR="00130BE0" w:rsidRDefault="00130BE0" w:rsidP="00130BE0">
      <w:pPr>
        <w:pStyle w:val="ListParagraph"/>
        <w:numPr>
          <w:ilvl w:val="0"/>
          <w:numId w:val="12"/>
        </w:numPr>
        <w:spacing w:before="120" w:after="240"/>
        <w:ind w:left="0" w:firstLine="0"/>
        <w:contextualSpacing w:val="0"/>
        <w:jc w:val="both"/>
      </w:pPr>
      <w:r w:rsidRPr="0019163E">
        <w:rPr>
          <w:b/>
          <w:bCs/>
        </w:rPr>
        <w:t xml:space="preserve">The largest exclusion of taxpayers from the CIT regime arises from the </w:t>
      </w:r>
      <w:r w:rsidR="006858D7">
        <w:rPr>
          <w:b/>
          <w:bCs/>
        </w:rPr>
        <w:t>AFT</w:t>
      </w:r>
      <w:r w:rsidRPr="0019163E">
        <w:rPr>
          <w:b/>
          <w:bCs/>
        </w:rPr>
        <w:t xml:space="preserve"> regime for MSMEs.</w:t>
      </w:r>
      <w:r>
        <w:t xml:space="preserve"> Businesses</w:t>
      </w:r>
      <w:r>
        <w:rPr>
          <w:rStyle w:val="FootnoteReference"/>
        </w:rPr>
        <w:footnoteReference w:id="29"/>
      </w:r>
      <w:r>
        <w:t xml:space="preserve"> with </w:t>
      </w:r>
      <w:proofErr w:type="gramStart"/>
      <w:r>
        <w:t>annual</w:t>
      </w:r>
      <w:proofErr w:type="gramEnd"/>
      <w:r>
        <w:t xml:space="preserve"> turnover below R</w:t>
      </w:r>
      <w:r w:rsidR="00CB262B">
        <w:t>p</w:t>
      </w:r>
      <w:r>
        <w:t xml:space="preserve"> 4.8 billion fall under this regime within the first few years of their business life (unless they choose to opt</w:t>
      </w:r>
      <w:r w:rsidR="006858D7">
        <w:t xml:space="preserve"> </w:t>
      </w:r>
      <w:r>
        <w:t xml:space="preserve">out). In lieu of the </w:t>
      </w:r>
      <w:r w:rsidR="006858D7">
        <w:t>CIT</w:t>
      </w:r>
      <w:r>
        <w:t xml:space="preserve">, the AFT imposes a final tax rate of 0.5 percent on annual turnover. As it is a final tax, standard deductions that would otherwise reduce tax obligations under the CIT are not afforded </w:t>
      </w:r>
      <w:proofErr w:type="gramStart"/>
      <w:r>
        <w:t>to</w:t>
      </w:r>
      <w:proofErr w:type="gramEnd"/>
      <w:r>
        <w:t xml:space="preserve"> these firms. Firms are eligible for this regime so long as they are outside the sectors covered by deemed net profit provisions, other </w:t>
      </w:r>
      <w:r w:rsidR="006858D7">
        <w:t>AFT</w:t>
      </w:r>
      <w:r>
        <w:t xml:space="preserve"> provisions, or special resources sector tax arrangements. However, there are sunset clauses that limit the duration of eligibility. This AFT regime is discussed in more depth in a subsequent section. For the moment, what is pertinent is that the scheme has extensive participation. </w:t>
      </w:r>
    </w:p>
    <w:p w14:paraId="5C658F8C" w14:textId="77777777" w:rsidR="00130BE0" w:rsidRPr="002D5942" w:rsidRDefault="00130BE0" w:rsidP="00130BE0">
      <w:pPr>
        <w:pStyle w:val="Heading2"/>
        <w:rPr>
          <w:rFonts w:asciiTheme="minorHAnsi" w:hAnsiTheme="minorHAnsi" w:cstheme="minorHAnsi"/>
          <w:color w:val="4472C4" w:themeColor="accent1"/>
          <w:sz w:val="24"/>
          <w:szCs w:val="24"/>
        </w:rPr>
      </w:pPr>
      <w:bookmarkStart w:id="18" w:name="_Toc177819036"/>
      <w:r w:rsidRPr="002D5942">
        <w:rPr>
          <w:rFonts w:asciiTheme="minorHAnsi" w:hAnsiTheme="minorHAnsi" w:cstheme="minorHAnsi"/>
          <w:color w:val="4472C4" w:themeColor="accent1"/>
          <w:sz w:val="24"/>
          <w:szCs w:val="24"/>
        </w:rPr>
        <w:t>The deemed profits regime</w:t>
      </w:r>
      <w:bookmarkEnd w:id="18"/>
    </w:p>
    <w:p w14:paraId="3F40D63C" w14:textId="3529B0E9" w:rsidR="00130BE0" w:rsidRDefault="00130BE0" w:rsidP="00130BE0">
      <w:pPr>
        <w:pStyle w:val="ListParagraph"/>
        <w:numPr>
          <w:ilvl w:val="0"/>
          <w:numId w:val="12"/>
        </w:numPr>
        <w:spacing w:before="120" w:after="240"/>
        <w:ind w:left="0" w:firstLine="0"/>
        <w:contextualSpacing w:val="0"/>
        <w:jc w:val="both"/>
      </w:pPr>
      <w:r w:rsidRPr="0019163E">
        <w:rPr>
          <w:b/>
          <w:bCs/>
        </w:rPr>
        <w:t>The deemed net profit provisions of the tax code apply to shipping and airline businesses, as well as oil and gas drilling services.</w:t>
      </w:r>
      <w:r>
        <w:t xml:space="preserve"> For these businesses, a set of specific pre-determined net profit rates and corporate tax rates must be used when calculating their income tax obligations (Table 2.1). </w:t>
      </w:r>
      <w:r w:rsidRPr="00804155">
        <w:t xml:space="preserve">Deemed rates range from 4 to 6 percent of gross revenues for shipping and </w:t>
      </w:r>
      <w:r w:rsidRPr="00804155" w:rsidDel="004B2CE8">
        <w:t>airlines</w:t>
      </w:r>
      <w:r w:rsidR="004B2CE8" w:rsidRPr="00804155">
        <w:t xml:space="preserve"> and</w:t>
      </w:r>
      <w:r w:rsidRPr="00804155">
        <w:t xml:space="preserve"> 15 percent for oil and gas drilling. To calculate taxable income, firms multiply their annual gross revenues by their sector-specific deemed net profit rate. Next, to determine their tax obligation, firms multiply their taxable income by their sector-specific </w:t>
      </w:r>
      <w:r w:rsidR="006858D7">
        <w:t>CIT</w:t>
      </w:r>
      <w:r w:rsidRPr="00804155">
        <w:t xml:space="preserve"> rate. For oil and gas drilling, the relevant corporate tax rate is the current statutory rate of 22 percent. For shipping and airlines, the relevant corporate tax rate varies depending on the statutory CIT rate that was in place at the time the corresponding regulation was last </w:t>
      </w:r>
      <w:r w:rsidRPr="00804155" w:rsidDel="000A608F">
        <w:t>revised</w:t>
      </w:r>
      <w:r w:rsidR="00CB69B7">
        <w:t>. It</w:t>
      </w:r>
      <w:r w:rsidRPr="00804155">
        <w:t xml:space="preserve"> varies from 30 percent to over 40 percent.</w:t>
      </w:r>
      <w:r>
        <w:t xml:space="preserve"> The right-most column of Table 2.1 indicates, for each sector, the equivalent final tax rate </w:t>
      </w:r>
      <w:r w:rsidR="006858D7">
        <w:t>for</w:t>
      </w:r>
      <w:r>
        <w:t xml:space="preserve"> these deemed net profit provisions. </w:t>
      </w:r>
    </w:p>
    <w:p w14:paraId="3567969C" w14:textId="77777777" w:rsidR="00130BE0" w:rsidRDefault="00130BE0" w:rsidP="00130BE0">
      <w:pPr>
        <w:rPr>
          <w:rFonts w:eastAsia="Times New Roman" w:cstheme="minorHAnsi"/>
          <w:b/>
          <w:color w:val="0C4DA2"/>
          <w:sz w:val="20"/>
          <w:szCs w:val="20"/>
        </w:rPr>
      </w:pPr>
      <w:r>
        <w:rPr>
          <w:rFonts w:eastAsia="Times New Roman" w:cstheme="minorHAnsi"/>
          <w:b/>
          <w:color w:val="0C4DA2"/>
          <w:sz w:val="20"/>
          <w:szCs w:val="20"/>
        </w:rPr>
        <w:br w:type="page"/>
      </w:r>
    </w:p>
    <w:p w14:paraId="6209BE34" w14:textId="6B776090" w:rsidR="00130BE0" w:rsidRPr="00BA38FD" w:rsidRDefault="00130BE0" w:rsidP="00BA38FD">
      <w:pPr>
        <w:pStyle w:val="Caption"/>
        <w:rPr>
          <w:rFonts w:cstheme="minorHAnsi"/>
          <w:b w:val="0"/>
          <w:szCs w:val="22"/>
        </w:rPr>
      </w:pPr>
      <w:bookmarkStart w:id="19" w:name="_Toc177576301"/>
      <w:r w:rsidRPr="00BA38FD">
        <w:rPr>
          <w:rFonts w:asciiTheme="minorHAnsi" w:hAnsiTheme="minorHAnsi" w:cstheme="minorHAnsi"/>
          <w:szCs w:val="22"/>
        </w:rPr>
        <w:lastRenderedPageBreak/>
        <w:t>Table 2.1: Deemed net profit rates</w:t>
      </w:r>
      <w:r w:rsidR="006858D7" w:rsidRPr="00BA38FD">
        <w:rPr>
          <w:rFonts w:asciiTheme="minorHAnsi" w:hAnsiTheme="minorHAnsi" w:cstheme="minorHAnsi"/>
          <w:szCs w:val="22"/>
        </w:rPr>
        <w:t xml:space="preserve"> and</w:t>
      </w:r>
      <w:r w:rsidRPr="00BA38FD">
        <w:rPr>
          <w:rFonts w:asciiTheme="minorHAnsi" w:hAnsiTheme="minorHAnsi" w:cstheme="minorHAnsi"/>
          <w:szCs w:val="22"/>
        </w:rPr>
        <w:t xml:space="preserve"> effective </w:t>
      </w:r>
      <w:r w:rsidR="006858D7" w:rsidRPr="00BA38FD">
        <w:rPr>
          <w:rFonts w:asciiTheme="minorHAnsi" w:hAnsiTheme="minorHAnsi" w:cstheme="minorHAnsi"/>
          <w:szCs w:val="22"/>
        </w:rPr>
        <w:t xml:space="preserve">or </w:t>
      </w:r>
      <w:r w:rsidRPr="00BA38FD">
        <w:rPr>
          <w:rFonts w:asciiTheme="minorHAnsi" w:hAnsiTheme="minorHAnsi" w:cstheme="minorHAnsi"/>
          <w:szCs w:val="22"/>
        </w:rPr>
        <w:t>final tax rates on gross revenues</w:t>
      </w:r>
      <w:bookmarkEnd w:id="19"/>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880"/>
        <w:gridCol w:w="2340"/>
        <w:gridCol w:w="3120"/>
      </w:tblGrid>
      <w:tr w:rsidR="00130BE0" w:rsidRPr="001C5712" w14:paraId="6E41D72B" w14:textId="77777777" w:rsidTr="00BA38FD">
        <w:trPr>
          <w:trHeight w:val="144"/>
          <w:jc w:val="center"/>
        </w:trPr>
        <w:tc>
          <w:tcPr>
            <w:tcW w:w="2880" w:type="dxa"/>
            <w:shd w:val="clear" w:color="auto" w:fill="D9D9D9"/>
            <w:tcMar>
              <w:top w:w="100" w:type="dxa"/>
              <w:left w:w="100" w:type="dxa"/>
              <w:bottom w:w="100" w:type="dxa"/>
              <w:right w:w="100" w:type="dxa"/>
            </w:tcMar>
          </w:tcPr>
          <w:p w14:paraId="2AD2C16F" w14:textId="77777777" w:rsidR="00130BE0" w:rsidRPr="001C5712" w:rsidRDefault="00130BE0" w:rsidP="00BA38FD">
            <w:pPr>
              <w:widowControl w:val="0"/>
              <w:pBdr>
                <w:top w:val="nil"/>
                <w:left w:val="nil"/>
                <w:bottom w:val="nil"/>
                <w:right w:val="nil"/>
                <w:between w:val="nil"/>
              </w:pBdr>
              <w:spacing w:after="0"/>
              <w:jc w:val="center"/>
              <w:rPr>
                <w:b/>
                <w:sz w:val="18"/>
                <w:szCs w:val="18"/>
              </w:rPr>
            </w:pPr>
            <w:r w:rsidRPr="001C5712">
              <w:rPr>
                <w:b/>
                <w:sz w:val="18"/>
                <w:szCs w:val="18"/>
              </w:rPr>
              <w:t>Sector</w:t>
            </w:r>
          </w:p>
        </w:tc>
        <w:tc>
          <w:tcPr>
            <w:tcW w:w="2340" w:type="dxa"/>
            <w:shd w:val="clear" w:color="auto" w:fill="D9D9D9"/>
            <w:tcMar>
              <w:top w:w="100" w:type="dxa"/>
              <w:left w:w="100" w:type="dxa"/>
              <w:bottom w:w="100" w:type="dxa"/>
              <w:right w:w="100" w:type="dxa"/>
            </w:tcMar>
          </w:tcPr>
          <w:p w14:paraId="7253926B" w14:textId="32D09B0B" w:rsidR="00130BE0" w:rsidRPr="001C5712" w:rsidRDefault="00130BE0" w:rsidP="006858D7">
            <w:pPr>
              <w:widowControl w:val="0"/>
              <w:pBdr>
                <w:top w:val="nil"/>
                <w:left w:val="nil"/>
                <w:bottom w:val="nil"/>
                <w:right w:val="nil"/>
                <w:between w:val="nil"/>
              </w:pBdr>
              <w:spacing w:after="0"/>
              <w:ind w:left="-10" w:firstLine="10"/>
              <w:jc w:val="center"/>
              <w:rPr>
                <w:b/>
                <w:sz w:val="18"/>
                <w:szCs w:val="18"/>
              </w:rPr>
            </w:pPr>
            <w:r w:rsidRPr="001C5712">
              <w:rPr>
                <w:b/>
                <w:sz w:val="18"/>
                <w:szCs w:val="18"/>
              </w:rPr>
              <w:t>Deemed Net Profit from Gross Revenues</w:t>
            </w:r>
            <w:r w:rsidR="00C82CFE">
              <w:rPr>
                <w:b/>
                <w:sz w:val="18"/>
                <w:szCs w:val="18"/>
              </w:rPr>
              <w:t xml:space="preserve"> (%)</w:t>
            </w:r>
          </w:p>
        </w:tc>
        <w:tc>
          <w:tcPr>
            <w:tcW w:w="3120" w:type="dxa"/>
            <w:shd w:val="clear" w:color="auto" w:fill="D9D9D9"/>
            <w:tcMar>
              <w:top w:w="100" w:type="dxa"/>
              <w:left w:w="100" w:type="dxa"/>
              <w:bottom w:w="100" w:type="dxa"/>
              <w:right w:w="100" w:type="dxa"/>
            </w:tcMar>
          </w:tcPr>
          <w:p w14:paraId="0B24FD93" w14:textId="7E0AF09D" w:rsidR="00130BE0" w:rsidRDefault="00130BE0" w:rsidP="006858D7">
            <w:pPr>
              <w:widowControl w:val="0"/>
              <w:pBdr>
                <w:top w:val="nil"/>
                <w:left w:val="nil"/>
                <w:bottom w:val="nil"/>
                <w:right w:val="nil"/>
                <w:between w:val="nil"/>
              </w:pBdr>
              <w:spacing w:after="0"/>
              <w:jc w:val="center"/>
              <w:rPr>
                <w:b/>
                <w:sz w:val="18"/>
                <w:szCs w:val="18"/>
              </w:rPr>
            </w:pPr>
            <w:r w:rsidRPr="001C5712">
              <w:rPr>
                <w:b/>
                <w:sz w:val="18"/>
                <w:szCs w:val="18"/>
              </w:rPr>
              <w:t xml:space="preserve">Effective </w:t>
            </w:r>
            <w:r>
              <w:rPr>
                <w:b/>
                <w:sz w:val="18"/>
                <w:szCs w:val="18"/>
              </w:rPr>
              <w:t xml:space="preserve">or Final </w:t>
            </w:r>
            <w:r w:rsidRPr="001C5712">
              <w:rPr>
                <w:b/>
                <w:sz w:val="18"/>
                <w:szCs w:val="18"/>
              </w:rPr>
              <w:t>Tax Rate</w:t>
            </w:r>
          </w:p>
          <w:p w14:paraId="252096B1" w14:textId="4C0B0705" w:rsidR="00130BE0" w:rsidRPr="001C5712" w:rsidRDefault="00130BE0" w:rsidP="006858D7">
            <w:pPr>
              <w:widowControl w:val="0"/>
              <w:pBdr>
                <w:top w:val="nil"/>
                <w:left w:val="nil"/>
                <w:bottom w:val="nil"/>
                <w:right w:val="nil"/>
                <w:between w:val="nil"/>
              </w:pBdr>
              <w:spacing w:after="0"/>
              <w:jc w:val="center"/>
              <w:rPr>
                <w:b/>
                <w:sz w:val="18"/>
                <w:szCs w:val="18"/>
              </w:rPr>
            </w:pPr>
            <w:r w:rsidRPr="001C5712">
              <w:rPr>
                <w:b/>
                <w:sz w:val="18"/>
                <w:szCs w:val="18"/>
              </w:rPr>
              <w:t>on Gross Revenues</w:t>
            </w:r>
            <w:r w:rsidR="00C82CFE">
              <w:rPr>
                <w:b/>
                <w:sz w:val="18"/>
                <w:szCs w:val="18"/>
              </w:rPr>
              <w:t xml:space="preserve"> (%)</w:t>
            </w:r>
          </w:p>
        </w:tc>
      </w:tr>
      <w:tr w:rsidR="00130BE0" w:rsidRPr="001C5712" w14:paraId="60D63288" w14:textId="77777777" w:rsidTr="00BA38FD">
        <w:trPr>
          <w:trHeight w:val="20"/>
          <w:jc w:val="center"/>
        </w:trPr>
        <w:tc>
          <w:tcPr>
            <w:tcW w:w="2880" w:type="dxa"/>
            <w:shd w:val="clear" w:color="auto" w:fill="auto"/>
            <w:tcMar>
              <w:top w:w="100" w:type="dxa"/>
              <w:left w:w="100" w:type="dxa"/>
              <w:bottom w:w="100" w:type="dxa"/>
              <w:right w:w="100" w:type="dxa"/>
            </w:tcMar>
          </w:tcPr>
          <w:p w14:paraId="6EE888C6" w14:textId="77777777" w:rsidR="00130BE0" w:rsidRPr="001C5712" w:rsidRDefault="00130BE0">
            <w:pPr>
              <w:widowControl w:val="0"/>
              <w:pBdr>
                <w:top w:val="nil"/>
                <w:left w:val="nil"/>
                <w:bottom w:val="nil"/>
                <w:right w:val="nil"/>
                <w:between w:val="nil"/>
              </w:pBdr>
              <w:spacing w:after="0"/>
              <w:rPr>
                <w:bCs/>
                <w:sz w:val="18"/>
                <w:szCs w:val="18"/>
              </w:rPr>
            </w:pPr>
            <w:r w:rsidRPr="001C5712">
              <w:rPr>
                <w:bCs/>
                <w:sz w:val="18"/>
                <w:szCs w:val="18"/>
              </w:rPr>
              <w:t>Domestic shipping</w:t>
            </w:r>
          </w:p>
        </w:tc>
        <w:tc>
          <w:tcPr>
            <w:tcW w:w="2340" w:type="dxa"/>
            <w:shd w:val="clear" w:color="auto" w:fill="auto"/>
            <w:tcMar>
              <w:top w:w="100" w:type="dxa"/>
              <w:left w:w="100" w:type="dxa"/>
              <w:bottom w:w="100" w:type="dxa"/>
              <w:right w:w="100" w:type="dxa"/>
            </w:tcMar>
          </w:tcPr>
          <w:p w14:paraId="69D41361" w14:textId="26922228" w:rsidR="00130BE0" w:rsidRPr="001C5712" w:rsidRDefault="00130BE0" w:rsidP="006E09B3">
            <w:pPr>
              <w:widowControl w:val="0"/>
              <w:pBdr>
                <w:top w:val="nil"/>
                <w:left w:val="nil"/>
                <w:bottom w:val="nil"/>
                <w:right w:val="nil"/>
                <w:between w:val="nil"/>
              </w:pBdr>
              <w:spacing w:after="0"/>
              <w:jc w:val="right"/>
              <w:rPr>
                <w:sz w:val="18"/>
                <w:szCs w:val="18"/>
              </w:rPr>
            </w:pPr>
            <w:r w:rsidRPr="001C5712">
              <w:rPr>
                <w:sz w:val="18"/>
                <w:szCs w:val="18"/>
              </w:rPr>
              <w:t>4</w:t>
            </w:r>
          </w:p>
        </w:tc>
        <w:tc>
          <w:tcPr>
            <w:tcW w:w="3120" w:type="dxa"/>
            <w:shd w:val="clear" w:color="auto" w:fill="auto"/>
            <w:tcMar>
              <w:top w:w="100" w:type="dxa"/>
              <w:left w:w="100" w:type="dxa"/>
              <w:bottom w:w="100" w:type="dxa"/>
              <w:right w:w="100" w:type="dxa"/>
            </w:tcMar>
          </w:tcPr>
          <w:p w14:paraId="07F86F65" w14:textId="4F351C44" w:rsidR="00130BE0" w:rsidRPr="001C5712" w:rsidRDefault="00130BE0" w:rsidP="006E09B3">
            <w:pPr>
              <w:widowControl w:val="0"/>
              <w:pBdr>
                <w:top w:val="nil"/>
                <w:left w:val="nil"/>
                <w:bottom w:val="nil"/>
                <w:right w:val="nil"/>
                <w:between w:val="nil"/>
              </w:pBdr>
              <w:spacing w:after="0"/>
              <w:jc w:val="right"/>
              <w:rPr>
                <w:sz w:val="18"/>
                <w:szCs w:val="18"/>
              </w:rPr>
            </w:pPr>
            <w:r w:rsidRPr="001C5712">
              <w:rPr>
                <w:sz w:val="18"/>
                <w:szCs w:val="18"/>
              </w:rPr>
              <w:t>1.2</w:t>
            </w:r>
          </w:p>
        </w:tc>
      </w:tr>
      <w:tr w:rsidR="00130BE0" w:rsidRPr="001C5712" w14:paraId="592560ED" w14:textId="77777777" w:rsidTr="00BA38FD">
        <w:trPr>
          <w:trHeight w:val="20"/>
          <w:jc w:val="center"/>
        </w:trPr>
        <w:tc>
          <w:tcPr>
            <w:tcW w:w="2880" w:type="dxa"/>
            <w:shd w:val="clear" w:color="auto" w:fill="auto"/>
            <w:tcMar>
              <w:top w:w="100" w:type="dxa"/>
              <w:left w:w="100" w:type="dxa"/>
              <w:bottom w:w="100" w:type="dxa"/>
              <w:right w:w="100" w:type="dxa"/>
            </w:tcMar>
          </w:tcPr>
          <w:p w14:paraId="145D7821" w14:textId="77777777" w:rsidR="00130BE0" w:rsidRPr="001C5712" w:rsidRDefault="00130BE0">
            <w:pPr>
              <w:widowControl w:val="0"/>
              <w:pBdr>
                <w:top w:val="nil"/>
                <w:left w:val="nil"/>
                <w:bottom w:val="nil"/>
                <w:right w:val="nil"/>
                <w:between w:val="nil"/>
              </w:pBdr>
              <w:spacing w:after="0"/>
              <w:rPr>
                <w:bCs/>
                <w:sz w:val="18"/>
                <w:szCs w:val="18"/>
              </w:rPr>
            </w:pPr>
            <w:r w:rsidRPr="001C5712">
              <w:rPr>
                <w:bCs/>
                <w:sz w:val="18"/>
                <w:szCs w:val="18"/>
              </w:rPr>
              <w:t>Domestic airlines</w:t>
            </w:r>
          </w:p>
        </w:tc>
        <w:tc>
          <w:tcPr>
            <w:tcW w:w="2340" w:type="dxa"/>
            <w:shd w:val="clear" w:color="auto" w:fill="auto"/>
            <w:tcMar>
              <w:top w:w="100" w:type="dxa"/>
              <w:left w:w="100" w:type="dxa"/>
              <w:bottom w:w="100" w:type="dxa"/>
              <w:right w:w="100" w:type="dxa"/>
            </w:tcMar>
          </w:tcPr>
          <w:p w14:paraId="60D652F7" w14:textId="438A3E56" w:rsidR="00130BE0" w:rsidRPr="001C5712" w:rsidRDefault="00130BE0" w:rsidP="006E09B3">
            <w:pPr>
              <w:widowControl w:val="0"/>
              <w:pBdr>
                <w:top w:val="nil"/>
                <w:left w:val="nil"/>
                <w:bottom w:val="nil"/>
                <w:right w:val="nil"/>
                <w:between w:val="nil"/>
              </w:pBdr>
              <w:spacing w:after="0"/>
              <w:jc w:val="right"/>
              <w:rPr>
                <w:sz w:val="18"/>
                <w:szCs w:val="18"/>
              </w:rPr>
            </w:pPr>
            <w:r w:rsidRPr="001C5712">
              <w:rPr>
                <w:sz w:val="18"/>
                <w:szCs w:val="18"/>
              </w:rPr>
              <w:t>6</w:t>
            </w:r>
          </w:p>
        </w:tc>
        <w:tc>
          <w:tcPr>
            <w:tcW w:w="3120" w:type="dxa"/>
            <w:shd w:val="clear" w:color="auto" w:fill="auto"/>
            <w:tcMar>
              <w:top w:w="100" w:type="dxa"/>
              <w:left w:w="100" w:type="dxa"/>
              <w:bottom w:w="100" w:type="dxa"/>
              <w:right w:w="100" w:type="dxa"/>
            </w:tcMar>
          </w:tcPr>
          <w:p w14:paraId="1939CACA" w14:textId="298636B8" w:rsidR="00130BE0" w:rsidRPr="001C5712" w:rsidRDefault="00130BE0" w:rsidP="006E09B3">
            <w:pPr>
              <w:widowControl w:val="0"/>
              <w:pBdr>
                <w:top w:val="nil"/>
                <w:left w:val="nil"/>
                <w:bottom w:val="nil"/>
                <w:right w:val="nil"/>
                <w:between w:val="nil"/>
              </w:pBdr>
              <w:spacing w:after="0"/>
              <w:jc w:val="right"/>
              <w:rPr>
                <w:sz w:val="18"/>
                <w:szCs w:val="18"/>
              </w:rPr>
            </w:pPr>
            <w:r w:rsidRPr="001C5712">
              <w:rPr>
                <w:sz w:val="18"/>
                <w:szCs w:val="18"/>
              </w:rPr>
              <w:t>1.8</w:t>
            </w:r>
          </w:p>
        </w:tc>
      </w:tr>
      <w:tr w:rsidR="00130BE0" w:rsidRPr="001C5712" w14:paraId="71C62531" w14:textId="77777777" w:rsidTr="00BA38FD">
        <w:trPr>
          <w:trHeight w:val="20"/>
          <w:jc w:val="center"/>
        </w:trPr>
        <w:tc>
          <w:tcPr>
            <w:tcW w:w="2880" w:type="dxa"/>
            <w:shd w:val="clear" w:color="auto" w:fill="auto"/>
            <w:tcMar>
              <w:top w:w="100" w:type="dxa"/>
              <w:left w:w="100" w:type="dxa"/>
              <w:bottom w:w="100" w:type="dxa"/>
              <w:right w:w="100" w:type="dxa"/>
            </w:tcMar>
          </w:tcPr>
          <w:p w14:paraId="0A04511F" w14:textId="77777777" w:rsidR="00130BE0" w:rsidRPr="001C5712" w:rsidRDefault="00130BE0">
            <w:pPr>
              <w:widowControl w:val="0"/>
              <w:pBdr>
                <w:top w:val="nil"/>
                <w:left w:val="nil"/>
                <w:bottom w:val="nil"/>
                <w:right w:val="nil"/>
                <w:between w:val="nil"/>
              </w:pBdr>
              <w:spacing w:after="0"/>
              <w:rPr>
                <w:bCs/>
                <w:sz w:val="18"/>
                <w:szCs w:val="18"/>
              </w:rPr>
            </w:pPr>
            <w:r w:rsidRPr="001C5712">
              <w:rPr>
                <w:bCs/>
                <w:sz w:val="18"/>
                <w:szCs w:val="18"/>
              </w:rPr>
              <w:t>Foreign shipping and airlines</w:t>
            </w:r>
          </w:p>
        </w:tc>
        <w:tc>
          <w:tcPr>
            <w:tcW w:w="2340" w:type="dxa"/>
            <w:shd w:val="clear" w:color="auto" w:fill="auto"/>
            <w:tcMar>
              <w:top w:w="100" w:type="dxa"/>
              <w:left w:w="100" w:type="dxa"/>
              <w:bottom w:w="100" w:type="dxa"/>
              <w:right w:w="100" w:type="dxa"/>
            </w:tcMar>
          </w:tcPr>
          <w:p w14:paraId="62A8D0C0" w14:textId="34DABFF4" w:rsidR="00130BE0" w:rsidRPr="001C5712" w:rsidRDefault="00130BE0" w:rsidP="006E09B3">
            <w:pPr>
              <w:widowControl w:val="0"/>
              <w:pBdr>
                <w:top w:val="nil"/>
                <w:left w:val="nil"/>
                <w:bottom w:val="nil"/>
                <w:right w:val="nil"/>
                <w:between w:val="nil"/>
              </w:pBdr>
              <w:spacing w:after="0"/>
              <w:jc w:val="right"/>
              <w:rPr>
                <w:sz w:val="18"/>
                <w:szCs w:val="18"/>
              </w:rPr>
            </w:pPr>
            <w:r w:rsidRPr="001C5712">
              <w:rPr>
                <w:sz w:val="18"/>
                <w:szCs w:val="18"/>
              </w:rPr>
              <w:t>6</w:t>
            </w:r>
          </w:p>
        </w:tc>
        <w:tc>
          <w:tcPr>
            <w:tcW w:w="3120" w:type="dxa"/>
            <w:shd w:val="clear" w:color="auto" w:fill="auto"/>
            <w:tcMar>
              <w:top w:w="100" w:type="dxa"/>
              <w:left w:w="100" w:type="dxa"/>
              <w:bottom w:w="100" w:type="dxa"/>
              <w:right w:w="100" w:type="dxa"/>
            </w:tcMar>
          </w:tcPr>
          <w:p w14:paraId="015D4253" w14:textId="77843C55" w:rsidR="00130BE0" w:rsidRPr="001C5712" w:rsidRDefault="00130BE0" w:rsidP="006E09B3">
            <w:pPr>
              <w:widowControl w:val="0"/>
              <w:pBdr>
                <w:top w:val="nil"/>
                <w:left w:val="nil"/>
                <w:bottom w:val="nil"/>
                <w:right w:val="nil"/>
                <w:between w:val="nil"/>
              </w:pBdr>
              <w:spacing w:after="0"/>
              <w:jc w:val="right"/>
              <w:rPr>
                <w:sz w:val="18"/>
                <w:szCs w:val="18"/>
              </w:rPr>
            </w:pPr>
            <w:r w:rsidRPr="001C5712">
              <w:rPr>
                <w:sz w:val="18"/>
                <w:szCs w:val="18"/>
              </w:rPr>
              <w:t>2.64</w:t>
            </w:r>
          </w:p>
        </w:tc>
      </w:tr>
      <w:tr w:rsidR="00130BE0" w:rsidRPr="001C5712" w14:paraId="37B55B76" w14:textId="77777777" w:rsidTr="00BA38FD">
        <w:trPr>
          <w:trHeight w:val="20"/>
          <w:jc w:val="center"/>
        </w:trPr>
        <w:tc>
          <w:tcPr>
            <w:tcW w:w="2880" w:type="dxa"/>
            <w:shd w:val="clear" w:color="auto" w:fill="auto"/>
            <w:tcMar>
              <w:top w:w="100" w:type="dxa"/>
              <w:left w:w="100" w:type="dxa"/>
              <w:bottom w:w="100" w:type="dxa"/>
              <w:right w:w="100" w:type="dxa"/>
            </w:tcMar>
          </w:tcPr>
          <w:p w14:paraId="598DCE19" w14:textId="77777777" w:rsidR="00130BE0" w:rsidRPr="001C5712" w:rsidRDefault="00130BE0">
            <w:pPr>
              <w:widowControl w:val="0"/>
              <w:pBdr>
                <w:top w:val="nil"/>
                <w:left w:val="nil"/>
                <w:bottom w:val="nil"/>
                <w:right w:val="nil"/>
                <w:between w:val="nil"/>
              </w:pBdr>
              <w:spacing w:after="0"/>
              <w:rPr>
                <w:bCs/>
                <w:sz w:val="18"/>
                <w:szCs w:val="18"/>
              </w:rPr>
            </w:pPr>
            <w:r>
              <w:rPr>
                <w:bCs/>
                <w:sz w:val="18"/>
                <w:szCs w:val="18"/>
              </w:rPr>
              <w:t>Foreign oil and gas drilling services</w:t>
            </w:r>
          </w:p>
        </w:tc>
        <w:tc>
          <w:tcPr>
            <w:tcW w:w="2340" w:type="dxa"/>
            <w:shd w:val="clear" w:color="auto" w:fill="auto"/>
            <w:tcMar>
              <w:top w:w="100" w:type="dxa"/>
              <w:left w:w="100" w:type="dxa"/>
              <w:bottom w:w="100" w:type="dxa"/>
              <w:right w:w="100" w:type="dxa"/>
            </w:tcMar>
          </w:tcPr>
          <w:p w14:paraId="30287FDB" w14:textId="0E4C15E3" w:rsidR="00130BE0" w:rsidRPr="001C5712" w:rsidRDefault="00130BE0" w:rsidP="006E09B3">
            <w:pPr>
              <w:widowControl w:val="0"/>
              <w:pBdr>
                <w:top w:val="nil"/>
                <w:left w:val="nil"/>
                <w:bottom w:val="nil"/>
                <w:right w:val="nil"/>
                <w:between w:val="nil"/>
              </w:pBdr>
              <w:spacing w:after="0"/>
              <w:jc w:val="right"/>
              <w:rPr>
                <w:sz w:val="18"/>
                <w:szCs w:val="18"/>
              </w:rPr>
            </w:pPr>
            <w:r>
              <w:rPr>
                <w:sz w:val="18"/>
                <w:szCs w:val="18"/>
              </w:rPr>
              <w:t>15</w:t>
            </w:r>
          </w:p>
        </w:tc>
        <w:tc>
          <w:tcPr>
            <w:tcW w:w="3120" w:type="dxa"/>
            <w:shd w:val="clear" w:color="auto" w:fill="auto"/>
            <w:tcMar>
              <w:top w:w="100" w:type="dxa"/>
              <w:left w:w="100" w:type="dxa"/>
              <w:bottom w:w="100" w:type="dxa"/>
              <w:right w:w="100" w:type="dxa"/>
            </w:tcMar>
          </w:tcPr>
          <w:p w14:paraId="1CBDC82E" w14:textId="120AE3D9" w:rsidR="00130BE0" w:rsidRPr="001C5712" w:rsidRDefault="00130BE0" w:rsidP="006E09B3">
            <w:pPr>
              <w:widowControl w:val="0"/>
              <w:pBdr>
                <w:top w:val="nil"/>
                <w:left w:val="nil"/>
                <w:bottom w:val="nil"/>
                <w:right w:val="nil"/>
                <w:between w:val="nil"/>
              </w:pBdr>
              <w:spacing w:after="0"/>
              <w:jc w:val="right"/>
              <w:rPr>
                <w:sz w:val="18"/>
                <w:szCs w:val="18"/>
              </w:rPr>
            </w:pPr>
            <w:r>
              <w:rPr>
                <w:sz w:val="18"/>
                <w:szCs w:val="18"/>
              </w:rPr>
              <w:t>3.3</w:t>
            </w:r>
          </w:p>
        </w:tc>
      </w:tr>
      <w:tr w:rsidR="00130BE0" w:rsidRPr="001C5712" w14:paraId="12D34034" w14:textId="77777777" w:rsidTr="00BA38FD">
        <w:trPr>
          <w:trHeight w:val="20"/>
          <w:jc w:val="center"/>
        </w:trPr>
        <w:tc>
          <w:tcPr>
            <w:tcW w:w="2880" w:type="dxa"/>
            <w:shd w:val="clear" w:color="auto" w:fill="auto"/>
            <w:tcMar>
              <w:top w:w="100" w:type="dxa"/>
              <w:left w:w="100" w:type="dxa"/>
              <w:bottom w:w="100" w:type="dxa"/>
              <w:right w:w="100" w:type="dxa"/>
            </w:tcMar>
          </w:tcPr>
          <w:p w14:paraId="43829409" w14:textId="77777777" w:rsidR="00130BE0" w:rsidRPr="001C5712" w:rsidRDefault="00130BE0">
            <w:pPr>
              <w:widowControl w:val="0"/>
              <w:pBdr>
                <w:top w:val="nil"/>
                <w:left w:val="nil"/>
                <w:bottom w:val="nil"/>
                <w:right w:val="nil"/>
                <w:between w:val="nil"/>
              </w:pBdr>
              <w:spacing w:after="0"/>
              <w:rPr>
                <w:bCs/>
                <w:sz w:val="18"/>
                <w:szCs w:val="18"/>
              </w:rPr>
            </w:pPr>
            <w:r>
              <w:rPr>
                <w:bCs/>
                <w:sz w:val="18"/>
                <w:szCs w:val="18"/>
              </w:rPr>
              <w:t>Construction services</w:t>
            </w:r>
          </w:p>
        </w:tc>
        <w:tc>
          <w:tcPr>
            <w:tcW w:w="2340" w:type="dxa"/>
            <w:shd w:val="clear" w:color="auto" w:fill="auto"/>
            <w:tcMar>
              <w:top w:w="100" w:type="dxa"/>
              <w:left w:w="100" w:type="dxa"/>
              <w:bottom w:w="100" w:type="dxa"/>
              <w:right w:w="100" w:type="dxa"/>
            </w:tcMar>
          </w:tcPr>
          <w:p w14:paraId="0375F2C4" w14:textId="55B763C4" w:rsidR="00130BE0" w:rsidRPr="001C5712" w:rsidRDefault="00E961CA" w:rsidP="006E09B3">
            <w:pPr>
              <w:widowControl w:val="0"/>
              <w:pBdr>
                <w:top w:val="nil"/>
                <w:left w:val="nil"/>
                <w:bottom w:val="nil"/>
                <w:right w:val="nil"/>
                <w:between w:val="nil"/>
              </w:pBdr>
              <w:spacing w:after="0"/>
              <w:jc w:val="right"/>
              <w:rPr>
                <w:sz w:val="18"/>
                <w:szCs w:val="18"/>
              </w:rPr>
            </w:pPr>
            <w:proofErr w:type="spellStart"/>
            <w:r>
              <w:rPr>
                <w:sz w:val="18"/>
                <w:szCs w:val="18"/>
              </w:rPr>
              <w:t>n.a.</w:t>
            </w:r>
            <w:proofErr w:type="spellEnd"/>
          </w:p>
        </w:tc>
        <w:tc>
          <w:tcPr>
            <w:tcW w:w="3120" w:type="dxa"/>
            <w:shd w:val="clear" w:color="auto" w:fill="auto"/>
            <w:tcMar>
              <w:top w:w="100" w:type="dxa"/>
              <w:left w:w="100" w:type="dxa"/>
              <w:bottom w:w="100" w:type="dxa"/>
              <w:right w:w="100" w:type="dxa"/>
            </w:tcMar>
          </w:tcPr>
          <w:p w14:paraId="5EEF0658" w14:textId="43745C05" w:rsidR="00130BE0" w:rsidRPr="001C5712" w:rsidRDefault="00130BE0" w:rsidP="006E09B3">
            <w:pPr>
              <w:widowControl w:val="0"/>
              <w:pBdr>
                <w:top w:val="nil"/>
                <w:left w:val="nil"/>
                <w:bottom w:val="nil"/>
                <w:right w:val="nil"/>
                <w:between w:val="nil"/>
              </w:pBdr>
              <w:spacing w:after="0"/>
              <w:jc w:val="right"/>
              <w:rPr>
                <w:sz w:val="18"/>
                <w:szCs w:val="18"/>
              </w:rPr>
            </w:pPr>
            <w:r>
              <w:rPr>
                <w:sz w:val="18"/>
                <w:szCs w:val="18"/>
              </w:rPr>
              <w:t>1.75-6</w:t>
            </w:r>
          </w:p>
        </w:tc>
      </w:tr>
      <w:tr w:rsidR="00130BE0" w:rsidRPr="001C5712" w14:paraId="29F76106" w14:textId="77777777" w:rsidTr="00BA38FD">
        <w:trPr>
          <w:trHeight w:val="20"/>
          <w:jc w:val="center"/>
        </w:trPr>
        <w:tc>
          <w:tcPr>
            <w:tcW w:w="2880" w:type="dxa"/>
            <w:shd w:val="clear" w:color="auto" w:fill="auto"/>
            <w:tcMar>
              <w:top w:w="100" w:type="dxa"/>
              <w:left w:w="100" w:type="dxa"/>
              <w:bottom w:w="100" w:type="dxa"/>
              <w:right w:w="100" w:type="dxa"/>
            </w:tcMar>
          </w:tcPr>
          <w:p w14:paraId="4D52C363" w14:textId="77777777" w:rsidR="00130BE0" w:rsidRPr="001C5712" w:rsidRDefault="00130BE0">
            <w:pPr>
              <w:widowControl w:val="0"/>
              <w:pBdr>
                <w:top w:val="nil"/>
                <w:left w:val="nil"/>
                <w:bottom w:val="nil"/>
                <w:right w:val="nil"/>
                <w:between w:val="nil"/>
              </w:pBdr>
              <w:spacing w:after="0"/>
              <w:rPr>
                <w:bCs/>
                <w:sz w:val="18"/>
                <w:szCs w:val="18"/>
              </w:rPr>
            </w:pPr>
            <w:r>
              <w:rPr>
                <w:bCs/>
                <w:sz w:val="18"/>
                <w:szCs w:val="18"/>
              </w:rPr>
              <w:t>Land/building rental services</w:t>
            </w:r>
          </w:p>
        </w:tc>
        <w:tc>
          <w:tcPr>
            <w:tcW w:w="2340" w:type="dxa"/>
            <w:shd w:val="clear" w:color="auto" w:fill="auto"/>
            <w:tcMar>
              <w:top w:w="100" w:type="dxa"/>
              <w:left w:w="100" w:type="dxa"/>
              <w:bottom w:w="100" w:type="dxa"/>
              <w:right w:w="100" w:type="dxa"/>
            </w:tcMar>
          </w:tcPr>
          <w:p w14:paraId="7B1E8527" w14:textId="214257BC" w:rsidR="00130BE0" w:rsidRPr="001C5712" w:rsidRDefault="00E961CA" w:rsidP="006E09B3">
            <w:pPr>
              <w:widowControl w:val="0"/>
              <w:pBdr>
                <w:top w:val="nil"/>
                <w:left w:val="nil"/>
                <w:bottom w:val="nil"/>
                <w:right w:val="nil"/>
                <w:between w:val="nil"/>
              </w:pBdr>
              <w:spacing w:after="0"/>
              <w:jc w:val="right"/>
              <w:rPr>
                <w:sz w:val="18"/>
                <w:szCs w:val="18"/>
              </w:rPr>
            </w:pPr>
            <w:proofErr w:type="spellStart"/>
            <w:r>
              <w:rPr>
                <w:sz w:val="18"/>
                <w:szCs w:val="18"/>
              </w:rPr>
              <w:t>n.a.</w:t>
            </w:r>
            <w:proofErr w:type="spellEnd"/>
          </w:p>
        </w:tc>
        <w:tc>
          <w:tcPr>
            <w:tcW w:w="3120" w:type="dxa"/>
            <w:shd w:val="clear" w:color="auto" w:fill="auto"/>
            <w:tcMar>
              <w:top w:w="100" w:type="dxa"/>
              <w:left w:w="100" w:type="dxa"/>
              <w:bottom w:w="100" w:type="dxa"/>
              <w:right w:w="100" w:type="dxa"/>
            </w:tcMar>
          </w:tcPr>
          <w:p w14:paraId="5CE7215A" w14:textId="29184A2E" w:rsidR="00130BE0" w:rsidRPr="001C5712" w:rsidRDefault="00130BE0" w:rsidP="006E09B3">
            <w:pPr>
              <w:widowControl w:val="0"/>
              <w:pBdr>
                <w:top w:val="nil"/>
                <w:left w:val="nil"/>
                <w:bottom w:val="nil"/>
                <w:right w:val="nil"/>
                <w:between w:val="nil"/>
              </w:pBdr>
              <w:spacing w:after="0"/>
              <w:jc w:val="right"/>
              <w:rPr>
                <w:sz w:val="18"/>
                <w:szCs w:val="18"/>
              </w:rPr>
            </w:pPr>
            <w:r>
              <w:rPr>
                <w:sz w:val="18"/>
                <w:szCs w:val="18"/>
              </w:rPr>
              <w:t>10</w:t>
            </w:r>
          </w:p>
        </w:tc>
      </w:tr>
      <w:tr w:rsidR="00130BE0" w:rsidRPr="001C5712" w14:paraId="1C930EF8" w14:textId="77777777" w:rsidTr="00BA38FD">
        <w:trPr>
          <w:trHeight w:val="20"/>
          <w:jc w:val="center"/>
        </w:trPr>
        <w:tc>
          <w:tcPr>
            <w:tcW w:w="2880" w:type="dxa"/>
            <w:shd w:val="clear" w:color="auto" w:fill="auto"/>
            <w:tcMar>
              <w:top w:w="100" w:type="dxa"/>
              <w:left w:w="100" w:type="dxa"/>
              <w:bottom w:w="100" w:type="dxa"/>
              <w:right w:w="100" w:type="dxa"/>
            </w:tcMar>
          </w:tcPr>
          <w:p w14:paraId="1251E92A" w14:textId="77777777" w:rsidR="00130BE0" w:rsidRDefault="00130BE0">
            <w:pPr>
              <w:widowControl w:val="0"/>
              <w:pBdr>
                <w:top w:val="nil"/>
                <w:left w:val="nil"/>
                <w:bottom w:val="nil"/>
                <w:right w:val="nil"/>
                <w:between w:val="nil"/>
              </w:pBdr>
              <w:spacing w:after="0"/>
              <w:rPr>
                <w:bCs/>
                <w:sz w:val="18"/>
                <w:szCs w:val="18"/>
              </w:rPr>
            </w:pPr>
            <w:r>
              <w:rPr>
                <w:bCs/>
                <w:sz w:val="18"/>
                <w:szCs w:val="18"/>
              </w:rPr>
              <w:t>Sales of land and property</w:t>
            </w:r>
          </w:p>
        </w:tc>
        <w:tc>
          <w:tcPr>
            <w:tcW w:w="2340" w:type="dxa"/>
            <w:shd w:val="clear" w:color="auto" w:fill="auto"/>
            <w:tcMar>
              <w:top w:w="100" w:type="dxa"/>
              <w:left w:w="100" w:type="dxa"/>
              <w:bottom w:w="100" w:type="dxa"/>
              <w:right w:w="100" w:type="dxa"/>
            </w:tcMar>
          </w:tcPr>
          <w:p w14:paraId="6B6ABCC2" w14:textId="74391A9A" w:rsidR="00130BE0" w:rsidRDefault="00E961CA" w:rsidP="006E09B3">
            <w:pPr>
              <w:widowControl w:val="0"/>
              <w:pBdr>
                <w:top w:val="nil"/>
                <w:left w:val="nil"/>
                <w:bottom w:val="nil"/>
                <w:right w:val="nil"/>
                <w:between w:val="nil"/>
              </w:pBdr>
              <w:spacing w:after="0"/>
              <w:jc w:val="right"/>
              <w:rPr>
                <w:sz w:val="18"/>
                <w:szCs w:val="18"/>
              </w:rPr>
            </w:pPr>
            <w:proofErr w:type="spellStart"/>
            <w:r>
              <w:rPr>
                <w:sz w:val="18"/>
                <w:szCs w:val="18"/>
              </w:rPr>
              <w:t>n.a.</w:t>
            </w:r>
            <w:proofErr w:type="spellEnd"/>
          </w:p>
        </w:tc>
        <w:tc>
          <w:tcPr>
            <w:tcW w:w="3120" w:type="dxa"/>
            <w:shd w:val="clear" w:color="auto" w:fill="auto"/>
            <w:tcMar>
              <w:top w:w="100" w:type="dxa"/>
              <w:left w:w="100" w:type="dxa"/>
              <w:bottom w:w="100" w:type="dxa"/>
              <w:right w:w="100" w:type="dxa"/>
            </w:tcMar>
          </w:tcPr>
          <w:p w14:paraId="78D849C5" w14:textId="25FEDE43" w:rsidR="00130BE0" w:rsidRDefault="00130BE0" w:rsidP="006E09B3">
            <w:pPr>
              <w:widowControl w:val="0"/>
              <w:pBdr>
                <w:top w:val="nil"/>
                <w:left w:val="nil"/>
                <w:bottom w:val="nil"/>
                <w:right w:val="nil"/>
                <w:between w:val="nil"/>
              </w:pBdr>
              <w:spacing w:after="0"/>
              <w:jc w:val="right"/>
              <w:rPr>
                <w:sz w:val="18"/>
                <w:szCs w:val="18"/>
              </w:rPr>
            </w:pPr>
            <w:r>
              <w:rPr>
                <w:sz w:val="18"/>
                <w:szCs w:val="18"/>
              </w:rPr>
              <w:t>1.0, 2.5</w:t>
            </w:r>
          </w:p>
        </w:tc>
      </w:tr>
    </w:tbl>
    <w:p w14:paraId="50B1F212" w14:textId="0B4CFE08" w:rsidR="00130BE0" w:rsidRPr="00BE22E0" w:rsidRDefault="00130BE0" w:rsidP="00130BE0">
      <w:pPr>
        <w:ind w:firstLine="180"/>
        <w:rPr>
          <w:sz w:val="18"/>
          <w:szCs w:val="18"/>
        </w:rPr>
      </w:pPr>
      <w:r w:rsidRPr="006E09B3">
        <w:rPr>
          <w:i/>
          <w:iCs/>
          <w:sz w:val="18"/>
          <w:szCs w:val="18"/>
        </w:rPr>
        <w:t>Source</w:t>
      </w:r>
      <w:r w:rsidRPr="00BE22E0">
        <w:rPr>
          <w:sz w:val="18"/>
          <w:szCs w:val="18"/>
        </w:rPr>
        <w:t xml:space="preserve">: </w:t>
      </w:r>
      <w:r>
        <w:rPr>
          <w:sz w:val="18"/>
          <w:szCs w:val="18"/>
        </w:rPr>
        <w:t>Deloitte (2022)</w:t>
      </w:r>
      <w:r w:rsidR="006858D7">
        <w:rPr>
          <w:sz w:val="18"/>
          <w:szCs w:val="18"/>
        </w:rPr>
        <w:t>.</w:t>
      </w:r>
    </w:p>
    <w:p w14:paraId="55A07C4C" w14:textId="38282303" w:rsidR="00130BE0" w:rsidRPr="00DA5922" w:rsidRDefault="00130BE0" w:rsidP="00130BE0">
      <w:pPr>
        <w:pStyle w:val="ListParagraph"/>
        <w:numPr>
          <w:ilvl w:val="0"/>
          <w:numId w:val="12"/>
        </w:numPr>
        <w:autoSpaceDE w:val="0"/>
        <w:autoSpaceDN w:val="0"/>
        <w:adjustRightInd w:val="0"/>
        <w:spacing w:before="240" w:after="240"/>
        <w:ind w:left="0" w:firstLine="0"/>
        <w:contextualSpacing w:val="0"/>
        <w:jc w:val="both"/>
        <w:rPr>
          <w:rFonts w:cstheme="minorHAnsi"/>
          <w:b/>
          <w:bCs/>
          <w:lang w:bidi="si-LK"/>
        </w:rPr>
      </w:pPr>
      <w:r w:rsidRPr="0019163E">
        <w:rPr>
          <w:rFonts w:cstheme="minorHAnsi"/>
          <w:b/>
          <w:bCs/>
          <w:lang w:bidi="si-LK"/>
        </w:rPr>
        <w:t>Special regimes for shipping companies</w:t>
      </w:r>
      <w:r>
        <w:rPr>
          <w:rStyle w:val="FootnoteReference"/>
          <w:rFonts w:cstheme="minorHAnsi"/>
          <w:b/>
          <w:bCs/>
          <w:lang w:bidi="si-LK"/>
        </w:rPr>
        <w:footnoteReference w:id="30"/>
      </w:r>
      <w:r w:rsidRPr="0019163E">
        <w:rPr>
          <w:rFonts w:cstheme="minorHAnsi"/>
          <w:b/>
          <w:bCs/>
          <w:lang w:bidi="si-LK"/>
        </w:rPr>
        <w:t xml:space="preserve"> and airlines are </w:t>
      </w:r>
      <w:r w:rsidR="00441C89">
        <w:rPr>
          <w:rFonts w:cstheme="minorHAnsi"/>
          <w:b/>
          <w:bCs/>
          <w:lang w:bidi="si-LK"/>
        </w:rPr>
        <w:t xml:space="preserve">common </w:t>
      </w:r>
      <w:r w:rsidRPr="0019163E">
        <w:rPr>
          <w:rFonts w:cstheme="minorHAnsi"/>
          <w:b/>
          <w:bCs/>
          <w:lang w:bidi="si-LK"/>
        </w:rPr>
        <w:t>international</w:t>
      </w:r>
      <w:r w:rsidR="00441C89">
        <w:rPr>
          <w:rFonts w:cstheme="minorHAnsi"/>
          <w:b/>
          <w:bCs/>
          <w:lang w:bidi="si-LK"/>
        </w:rPr>
        <w:t xml:space="preserve"> practice</w:t>
      </w:r>
      <w:r w:rsidRPr="0019163E">
        <w:rPr>
          <w:rFonts w:cstheme="minorHAnsi"/>
          <w:b/>
          <w:bCs/>
          <w:lang w:bidi="si-LK"/>
        </w:rPr>
        <w:t xml:space="preserve"> but the approach to taxation varies significantly. </w:t>
      </w:r>
      <w:r w:rsidRPr="0019163E">
        <w:rPr>
          <w:rFonts w:cstheme="minorHAnsi"/>
          <w:lang w:bidi="si-LK"/>
        </w:rPr>
        <w:t>In Singapore, a major maritime hub, a tonnage</w:t>
      </w:r>
      <w:r>
        <w:rPr>
          <w:rFonts w:cstheme="minorHAnsi"/>
          <w:lang w:bidi="si-LK"/>
        </w:rPr>
        <w:t>-based</w:t>
      </w:r>
      <w:r w:rsidRPr="0019163E">
        <w:rPr>
          <w:rFonts w:cstheme="minorHAnsi"/>
          <w:lang w:bidi="si-LK"/>
        </w:rPr>
        <w:t xml:space="preserve"> tax</w:t>
      </w:r>
      <w:r w:rsidRPr="0019163E">
        <w:rPr>
          <w:rFonts w:cstheme="minorHAnsi"/>
          <w:b/>
          <w:bCs/>
          <w:lang w:bidi="si-LK"/>
        </w:rPr>
        <w:t xml:space="preserve"> </w:t>
      </w:r>
      <w:r w:rsidRPr="0019163E">
        <w:rPr>
          <w:rFonts w:cstheme="minorHAnsi"/>
          <w:lang w:bidi="si-LK"/>
        </w:rPr>
        <w:t>regime is in place. This system taxes shipping companies based on the tonnage of their vessels</w:t>
      </w:r>
      <w:r w:rsidRPr="0019163E">
        <w:rPr>
          <w:rFonts w:cstheme="minorHAnsi"/>
          <w:b/>
          <w:bCs/>
          <w:lang w:bidi="si-LK"/>
        </w:rPr>
        <w:t xml:space="preserve"> </w:t>
      </w:r>
      <w:r w:rsidRPr="0019163E">
        <w:rPr>
          <w:rFonts w:cstheme="minorHAnsi"/>
          <w:lang w:bidi="si-LK"/>
        </w:rPr>
        <w:t>rather than their net profits or gross revenues</w:t>
      </w:r>
      <w:r>
        <w:rPr>
          <w:rFonts w:cstheme="minorHAnsi"/>
          <w:lang w:bidi="si-LK"/>
        </w:rPr>
        <w:t>. Tonnage can be less volatile than revenues, and simpler for authorities to monitor than revenue or profit</w:t>
      </w:r>
      <w:r w:rsidR="00441C89">
        <w:rPr>
          <w:rFonts w:cstheme="minorHAnsi"/>
          <w:lang w:bidi="si-LK"/>
        </w:rPr>
        <w:t>. This</w:t>
      </w:r>
      <w:r>
        <w:rPr>
          <w:rFonts w:cstheme="minorHAnsi"/>
          <w:lang w:bidi="si-LK"/>
        </w:rPr>
        <w:t xml:space="preserve"> provid</w:t>
      </w:r>
      <w:r w:rsidR="00441C89">
        <w:rPr>
          <w:rFonts w:cstheme="minorHAnsi"/>
          <w:lang w:bidi="si-LK"/>
        </w:rPr>
        <w:t>es</w:t>
      </w:r>
      <w:r>
        <w:rPr>
          <w:rFonts w:cstheme="minorHAnsi"/>
          <w:lang w:bidi="si-LK"/>
        </w:rPr>
        <w:t xml:space="preserve"> </w:t>
      </w:r>
      <w:r w:rsidRPr="00A84C6B">
        <w:rPr>
          <w:rFonts w:cstheme="minorHAnsi"/>
          <w:lang w:bidi="si-LK"/>
        </w:rPr>
        <w:t>for a simpler and more stable tax framework</w:t>
      </w:r>
      <w:r w:rsidR="002D11DE">
        <w:rPr>
          <w:rFonts w:cstheme="minorHAnsi"/>
          <w:lang w:bidi="si-LK"/>
        </w:rPr>
        <w:t>.</w:t>
      </w:r>
      <w:r w:rsidR="00441C89">
        <w:rPr>
          <w:rFonts w:cstheme="minorHAnsi"/>
          <w:lang w:bidi="si-LK"/>
        </w:rPr>
        <w:t xml:space="preserve"> </w:t>
      </w:r>
      <w:r w:rsidR="002D11DE">
        <w:rPr>
          <w:rFonts w:cstheme="minorHAnsi"/>
          <w:lang w:bidi="si-LK"/>
        </w:rPr>
        <w:t>H</w:t>
      </w:r>
      <w:r w:rsidRPr="00A84C6B">
        <w:rPr>
          <w:rFonts w:cstheme="minorHAnsi"/>
          <w:lang w:bidi="si-LK"/>
        </w:rPr>
        <w:t>owever, it is a blunt instrument in that tax obligations do not respond to price-driven changes in profitability (say, if shipping prices, and hence revenues and profits, increase or decrease).  Indonesia’s approach is linked to gross revenues</w:t>
      </w:r>
      <w:r w:rsidR="00441C89">
        <w:rPr>
          <w:rFonts w:cstheme="minorHAnsi"/>
          <w:lang w:bidi="si-LK"/>
        </w:rPr>
        <w:t xml:space="preserve"> which</w:t>
      </w:r>
      <w:r w:rsidRPr="00A84C6B">
        <w:rPr>
          <w:rFonts w:cstheme="minorHAnsi"/>
          <w:lang w:bidi="si-LK"/>
        </w:rPr>
        <w:t xml:space="preserve"> may provide for a better link to net profits when the price of shipping varies a lot</w:t>
      </w:r>
      <w:r w:rsidR="00441C89">
        <w:rPr>
          <w:rFonts w:cstheme="minorHAnsi"/>
          <w:lang w:bidi="si-LK"/>
        </w:rPr>
        <w:t>–</w:t>
      </w:r>
      <w:r w:rsidRPr="00A84C6B">
        <w:rPr>
          <w:rFonts w:cstheme="minorHAnsi"/>
          <w:lang w:bidi="si-LK"/>
        </w:rPr>
        <w:t xml:space="preserve">as was the case during the COVID-19 pandemic. Whether this regime offers tax relief compared to </w:t>
      </w:r>
      <w:proofErr w:type="gramStart"/>
      <w:r w:rsidRPr="00A84C6B">
        <w:rPr>
          <w:rFonts w:cstheme="minorHAnsi"/>
          <w:lang w:bidi="si-LK"/>
        </w:rPr>
        <w:t>the CIT</w:t>
      </w:r>
      <w:proofErr w:type="gramEnd"/>
      <w:r w:rsidRPr="00A84C6B">
        <w:rPr>
          <w:rFonts w:cstheme="minorHAnsi"/>
          <w:lang w:bidi="si-LK"/>
        </w:rPr>
        <w:t xml:space="preserve"> depends</w:t>
      </w:r>
      <w:r w:rsidRPr="00DA5922">
        <w:rPr>
          <w:rFonts w:cstheme="minorHAnsi"/>
          <w:lang w:bidi="si-LK"/>
        </w:rPr>
        <w:t xml:space="preserve"> on the actual profit margins of businesses. The net profit margins of the shipping and airline industries are generally well below 10 percent but can </w:t>
      </w:r>
      <w:r w:rsidRPr="00FD66AB">
        <w:rPr>
          <w:rFonts w:cstheme="minorHAnsi"/>
          <w:lang w:bidi="si-LK"/>
        </w:rPr>
        <w:t xml:space="preserve">fluctuate significantly. During the COVID-19 pandemic, for example, the </w:t>
      </w:r>
      <w:r w:rsidR="00441C89" w:rsidRPr="00FD66AB">
        <w:rPr>
          <w:rFonts w:cstheme="minorHAnsi"/>
          <w:lang w:bidi="si-LK"/>
        </w:rPr>
        <w:t>earnings before interest and tax</w:t>
      </w:r>
      <w:r w:rsidR="00CF13FF" w:rsidRPr="00FD66AB">
        <w:rPr>
          <w:rFonts w:cstheme="minorHAnsi"/>
          <w:lang w:bidi="si-LK"/>
        </w:rPr>
        <w:t xml:space="preserve"> (</w:t>
      </w:r>
      <w:r w:rsidRPr="00FD66AB">
        <w:rPr>
          <w:rFonts w:cstheme="minorHAnsi"/>
          <w:lang w:bidi="si-LK"/>
        </w:rPr>
        <w:t>EBIT</w:t>
      </w:r>
      <w:r w:rsidR="00CF13FF" w:rsidRPr="00FD66AB">
        <w:rPr>
          <w:rFonts w:cstheme="minorHAnsi"/>
          <w:lang w:bidi="si-LK"/>
        </w:rPr>
        <w:t>)</w:t>
      </w:r>
      <w:r w:rsidRPr="00FD66AB">
        <w:rPr>
          <w:rFonts w:cstheme="minorHAnsi"/>
          <w:lang w:bidi="si-LK"/>
        </w:rPr>
        <w:t xml:space="preserve"> margin</w:t>
      </w:r>
      <w:r w:rsidRPr="00DA5922">
        <w:rPr>
          <w:rFonts w:cstheme="minorHAnsi"/>
          <w:lang w:bidi="si-LK"/>
        </w:rPr>
        <w:t xml:space="preserve"> for container shipping companies rose above 50 percent due to high demand (Statista 202</w:t>
      </w:r>
      <w:r w:rsidR="000B38D2">
        <w:rPr>
          <w:rFonts w:cstheme="minorHAnsi"/>
          <w:lang w:bidi="si-LK"/>
        </w:rPr>
        <w:t>4</w:t>
      </w:r>
      <w:r w:rsidRPr="00DA5922">
        <w:rPr>
          <w:rFonts w:cstheme="minorHAnsi"/>
          <w:lang w:bidi="si-LK"/>
        </w:rPr>
        <w:t>).</w:t>
      </w:r>
    </w:p>
    <w:p w14:paraId="08CD4EB2" w14:textId="77777777" w:rsidR="00130BE0" w:rsidRPr="002D5942" w:rsidRDefault="00130BE0" w:rsidP="00130BE0">
      <w:pPr>
        <w:pStyle w:val="Heading2"/>
        <w:rPr>
          <w:rFonts w:asciiTheme="minorHAnsi" w:hAnsiTheme="minorHAnsi" w:cstheme="minorHAnsi"/>
          <w:color w:val="4472C4" w:themeColor="accent1"/>
          <w:sz w:val="24"/>
          <w:szCs w:val="24"/>
        </w:rPr>
      </w:pPr>
      <w:bookmarkStart w:id="20" w:name="_Toc177819037"/>
      <w:r w:rsidRPr="002D5942">
        <w:rPr>
          <w:rFonts w:asciiTheme="minorHAnsi" w:hAnsiTheme="minorHAnsi" w:cstheme="minorHAnsi"/>
          <w:color w:val="4472C4" w:themeColor="accent1"/>
          <w:sz w:val="24"/>
          <w:szCs w:val="24"/>
        </w:rPr>
        <w:t>Sector-specific final taxes</w:t>
      </w:r>
      <w:bookmarkEnd w:id="20"/>
    </w:p>
    <w:p w14:paraId="4750C965" w14:textId="529C4AB3" w:rsidR="00130BE0" w:rsidRDefault="005D0574" w:rsidP="00130BE0">
      <w:pPr>
        <w:pStyle w:val="ListParagraph"/>
        <w:numPr>
          <w:ilvl w:val="0"/>
          <w:numId w:val="12"/>
        </w:numPr>
        <w:autoSpaceDE w:val="0"/>
        <w:autoSpaceDN w:val="0"/>
        <w:adjustRightInd w:val="0"/>
        <w:spacing w:before="120" w:after="240"/>
        <w:ind w:left="0" w:firstLine="0"/>
        <w:contextualSpacing w:val="0"/>
        <w:jc w:val="both"/>
      </w:pPr>
      <w:r>
        <w:rPr>
          <w:rFonts w:cstheme="minorHAnsi"/>
          <w:b/>
          <w:bCs/>
          <w:lang w:bidi="si-LK"/>
        </w:rPr>
        <w:t>S</w:t>
      </w:r>
      <w:r w:rsidR="00130BE0" w:rsidRPr="0019163E">
        <w:rPr>
          <w:rFonts w:cstheme="minorHAnsi"/>
          <w:b/>
          <w:bCs/>
          <w:lang w:bidi="si-LK"/>
        </w:rPr>
        <w:t>ector-specific final tax provisions</w:t>
      </w:r>
      <w:r w:rsidR="00130BE0" w:rsidRPr="0019163E" w:rsidDel="007823DB">
        <w:rPr>
          <w:rFonts w:cstheme="minorHAnsi"/>
          <w:b/>
          <w:bCs/>
          <w:lang w:bidi="si-LK"/>
        </w:rPr>
        <w:t xml:space="preserve"> </w:t>
      </w:r>
      <w:r w:rsidR="00130BE0" w:rsidRPr="0019163E">
        <w:rPr>
          <w:rFonts w:cstheme="minorHAnsi"/>
          <w:b/>
          <w:bCs/>
          <w:lang w:bidi="si-LK"/>
        </w:rPr>
        <w:t xml:space="preserve">apply to businesses offering construction services, rental real estate services, and land and property sales. </w:t>
      </w:r>
      <w:r w:rsidR="00130BE0">
        <w:t xml:space="preserve">These provisions </w:t>
      </w:r>
      <w:r w:rsidR="00130BE0" w:rsidRPr="00510794">
        <w:t xml:space="preserve">aim to </w:t>
      </w:r>
      <w:r w:rsidR="00130BE0">
        <w:t xml:space="preserve">simplify tax filing and improve </w:t>
      </w:r>
      <w:r w:rsidR="00130BE0" w:rsidRPr="00510794">
        <w:t>compliance</w:t>
      </w:r>
      <w:r w:rsidR="00CF13FF">
        <w:rPr>
          <w:rFonts w:cstheme="minorHAnsi"/>
        </w:rPr>
        <w:t>–</w:t>
      </w:r>
      <w:r w:rsidR="00130BE0" w:rsidRPr="00510794">
        <w:t xml:space="preserve">particularly </w:t>
      </w:r>
      <w:r w:rsidR="00130BE0">
        <w:t xml:space="preserve">in these sectors with a </w:t>
      </w:r>
      <w:r w:rsidR="00130BE0" w:rsidRPr="00510794">
        <w:t>high likelihood of informal</w:t>
      </w:r>
      <w:r w:rsidR="00130BE0">
        <w:t xml:space="preserve"> operators</w:t>
      </w:r>
      <w:r w:rsidR="00130BE0" w:rsidRPr="00510794">
        <w:t xml:space="preserve">. </w:t>
      </w:r>
      <w:r w:rsidR="00130BE0">
        <w:t>Under this regime, construction sector businesses are subject to final tax rates ranging from 1.75 percent to 6 percent of their gross turnover.</w:t>
      </w:r>
      <w:r w:rsidR="00130BE0">
        <w:rPr>
          <w:rStyle w:val="FootnoteReference"/>
        </w:rPr>
        <w:footnoteReference w:id="31"/>
      </w:r>
      <w:r w:rsidR="00130BE0">
        <w:t xml:space="preserve"> The rates vary based on business certification</w:t>
      </w:r>
      <w:r w:rsidR="00CF13FF">
        <w:t>,</w:t>
      </w:r>
      <w:r w:rsidR="00130BE0">
        <w:rPr>
          <w:rStyle w:val="FootnoteReference"/>
        </w:rPr>
        <w:footnoteReference w:id="32"/>
      </w:r>
      <w:r w:rsidR="00130BE0">
        <w:t xml:space="preserve"> business size, and type of activity.</w:t>
      </w:r>
      <w:r w:rsidR="00130BE0">
        <w:rPr>
          <w:rStyle w:val="FootnoteReference"/>
        </w:rPr>
        <w:footnoteReference w:id="33"/>
      </w:r>
      <w:r w:rsidR="00130BE0">
        <w:t xml:space="preserve"> Likewise, businesses offering services relating to the </w:t>
      </w:r>
      <w:r w:rsidR="00130BE0" w:rsidRPr="00510794">
        <w:t>rental of land or buildings</w:t>
      </w:r>
      <w:r w:rsidR="00130BE0">
        <w:rPr>
          <w:rStyle w:val="FootnoteReference"/>
        </w:rPr>
        <w:footnoteReference w:id="34"/>
      </w:r>
      <w:r w:rsidR="00130BE0">
        <w:t xml:space="preserve"> are </w:t>
      </w:r>
      <w:r w:rsidR="00130BE0" w:rsidRPr="00510794">
        <w:t>subject to</w:t>
      </w:r>
      <w:r w:rsidR="00130BE0">
        <w:t xml:space="preserve"> </w:t>
      </w:r>
      <w:r w:rsidR="00130BE0" w:rsidRPr="00510794">
        <w:t xml:space="preserve">a </w:t>
      </w:r>
      <w:r w:rsidR="00130BE0">
        <w:t xml:space="preserve">final </w:t>
      </w:r>
      <w:r w:rsidR="00130BE0" w:rsidRPr="00510794">
        <w:t>tax rate of 10</w:t>
      </w:r>
      <w:r w:rsidR="00130BE0">
        <w:t xml:space="preserve"> percent</w:t>
      </w:r>
      <w:r w:rsidR="00130BE0" w:rsidRPr="00510794">
        <w:t xml:space="preserve"> on gross revenues.</w:t>
      </w:r>
      <w:r w:rsidR="00130BE0">
        <w:t xml:space="preserve"> Moreover, land and property sales by real </w:t>
      </w:r>
      <w:r w:rsidR="00130BE0">
        <w:lastRenderedPageBreak/>
        <w:t>estate businesses are subject to a final tax of 1.0 percent of sale value for basic houses and basic apartments, and 2.5 percent of sale value for all other types of land and property.</w:t>
      </w:r>
      <w:r w:rsidR="009F620F">
        <w:rPr>
          <w:rStyle w:val="FootnoteReference"/>
        </w:rPr>
        <w:footnoteReference w:id="35"/>
      </w:r>
      <w:r w:rsidR="00130BE0">
        <w:t xml:space="preserve"> </w:t>
      </w:r>
    </w:p>
    <w:p w14:paraId="014B1384" w14:textId="111CECD4" w:rsidR="00130BE0" w:rsidRDefault="00130BE0" w:rsidP="00130BE0">
      <w:pPr>
        <w:pStyle w:val="ListParagraph"/>
        <w:numPr>
          <w:ilvl w:val="0"/>
          <w:numId w:val="12"/>
        </w:numPr>
        <w:autoSpaceDE w:val="0"/>
        <w:autoSpaceDN w:val="0"/>
        <w:adjustRightInd w:val="0"/>
        <w:spacing w:before="120" w:after="240"/>
        <w:ind w:left="0" w:firstLine="0"/>
        <w:contextualSpacing w:val="0"/>
        <w:jc w:val="both"/>
      </w:pPr>
      <w:r w:rsidRPr="0019163E">
        <w:rPr>
          <w:b/>
          <w:bCs/>
        </w:rPr>
        <w:t>There is evidence that corporate taxation of the construction sector under the special final tax regime is underperforming.</w:t>
      </w:r>
      <w:r w:rsidRPr="000F7AE0">
        <w:rPr>
          <w:rStyle w:val="FootnoteReference"/>
          <w:b/>
          <w:bCs/>
        </w:rPr>
        <w:footnoteReference w:id="36"/>
      </w:r>
      <w:r>
        <w:t xml:space="preserve"> The construction sector is notable for its high incidence of sole proprietorship and informality</w:t>
      </w:r>
      <w:r w:rsidR="00CF13FF">
        <w:t>.</w:t>
      </w:r>
      <w:r w:rsidR="00D8147B">
        <w:rPr>
          <w:rStyle w:val="FootnoteReference"/>
        </w:rPr>
        <w:footnoteReference w:id="37"/>
      </w:r>
      <w:r>
        <w:t xml:space="preserve"> This is common across many countries and both can be drivers of lower compliance. Despite simplified tax arrangements aimed at mitigating these factors, growth in the sector’s tax collections has considerably lagged growth in the sector’s total output. As a result, income tax collections have been gradually falling as a share of GDP even while the construction sector's share of GDP has been rising. This is important given the sector accounts for over 10 percent of the Indonesian economy. One issue at hand may be the multi-rate setup of the special regime. This can raise the risks of deliberate misreporting of activity categorization (</w:t>
      </w:r>
      <w:r w:rsidR="00CF13FF">
        <w:t>for example</w:t>
      </w:r>
      <w:r>
        <w:t>, firm size or type of activity) to benefit from reduced tax rates. It can also open the door to higher tax-shifting risks. For example, when multiple construction entities operate as a group but span across different types of activities and, thereby, different tax rates, they may seek to shift group costs to the higher-taxed entities in the group. It is worth noting that the final tax provisions for the construction sector will come under review in 2025.</w:t>
      </w:r>
      <w:r>
        <w:rPr>
          <w:rStyle w:val="FootnoteReference"/>
        </w:rPr>
        <w:footnoteReference w:id="38"/>
      </w:r>
      <w:r>
        <w:t xml:space="preserve"> </w:t>
      </w:r>
    </w:p>
    <w:p w14:paraId="3838710A" w14:textId="77777777" w:rsidR="00130BE0" w:rsidRPr="002D5942" w:rsidRDefault="00130BE0" w:rsidP="00130BE0">
      <w:pPr>
        <w:pStyle w:val="Heading2"/>
        <w:rPr>
          <w:rFonts w:asciiTheme="minorHAnsi" w:hAnsiTheme="minorHAnsi" w:cstheme="minorHAnsi"/>
          <w:color w:val="4472C4" w:themeColor="accent1"/>
          <w:sz w:val="24"/>
          <w:szCs w:val="24"/>
        </w:rPr>
      </w:pPr>
      <w:bookmarkStart w:id="21" w:name="_Toc177819038"/>
      <w:r>
        <w:rPr>
          <w:rFonts w:asciiTheme="minorHAnsi" w:hAnsiTheme="minorHAnsi" w:cstheme="minorHAnsi"/>
          <w:color w:val="4472C4" w:themeColor="accent1"/>
          <w:sz w:val="24"/>
          <w:szCs w:val="24"/>
        </w:rPr>
        <w:t>Taxation of income from digital goods and services</w:t>
      </w:r>
      <w:bookmarkEnd w:id="21"/>
    </w:p>
    <w:p w14:paraId="68556E6A" w14:textId="435654FF" w:rsidR="00130BE0" w:rsidRPr="000F629B" w:rsidRDefault="00130BE0" w:rsidP="00130BE0">
      <w:pPr>
        <w:pStyle w:val="ListParagraph"/>
        <w:numPr>
          <w:ilvl w:val="0"/>
          <w:numId w:val="12"/>
        </w:numPr>
        <w:spacing w:before="120"/>
        <w:ind w:left="0" w:firstLine="0"/>
        <w:contextualSpacing w:val="0"/>
        <w:jc w:val="both"/>
      </w:pPr>
      <w:r w:rsidRPr="000F629B">
        <w:rPr>
          <w:b/>
          <w:bCs/>
        </w:rPr>
        <w:t>Some types of foreign firms do not pay income tax on their earnings on sales of digital goods and services in Indonesia.</w:t>
      </w:r>
      <w:r w:rsidRPr="000F629B">
        <w:t xml:space="preserve"> Foreign firms with business activities in Indonesia that have been </w:t>
      </w:r>
      <w:r w:rsidRPr="00C6011E">
        <w:t>designated as ‘permanent establishments’ for tax purposes, are subject to Indonesia’s standard</w:t>
      </w:r>
      <w:r w:rsidRPr="000F629B">
        <w:t xml:space="preserve"> income tax frameworks. This also applies to their income from sales of digital goods and services. </w:t>
      </w:r>
      <w:r w:rsidR="000F629B">
        <w:t>There</w:t>
      </w:r>
      <w:r w:rsidRPr="000F629B">
        <w:t xml:space="preserve"> are</w:t>
      </w:r>
      <w:r w:rsidR="000F629B">
        <w:t>, however,</w:t>
      </w:r>
      <w:r w:rsidRPr="000F629B">
        <w:t xml:space="preserve"> many foreign firms that do not satisfy the definition of </w:t>
      </w:r>
      <w:proofErr w:type="gramStart"/>
      <w:r w:rsidRPr="000F629B">
        <w:t>a PE</w:t>
      </w:r>
      <w:proofErr w:type="gramEnd"/>
      <w:r w:rsidRPr="000F629B">
        <w:t>. These include, for instance, firms providing purely digital goods and services, such as e-books, streaming content, or web-hosting services</w:t>
      </w:r>
      <w:r w:rsidR="000F629B">
        <w:t xml:space="preserve"> that do not</w:t>
      </w:r>
      <w:r w:rsidRPr="000F629B">
        <w:t xml:space="preserve"> hav</w:t>
      </w:r>
      <w:r w:rsidR="000F629B">
        <w:t>e</w:t>
      </w:r>
      <w:r w:rsidRPr="000F629B">
        <w:t xml:space="preserve"> a physical presence in Indonesia. Indonesia does not currently collect income tax from the Indonesian earnings of these non-PE foreign firms. </w:t>
      </w:r>
    </w:p>
    <w:p w14:paraId="3079BF63" w14:textId="77777777" w:rsidR="00130BE0" w:rsidRDefault="00130BE0" w:rsidP="00130BE0">
      <w:pPr>
        <w:pStyle w:val="ListParagraph"/>
        <w:numPr>
          <w:ilvl w:val="0"/>
          <w:numId w:val="12"/>
        </w:numPr>
        <w:spacing w:before="120"/>
        <w:ind w:left="0" w:firstLine="0"/>
        <w:contextualSpacing w:val="0"/>
        <w:jc w:val="both"/>
      </w:pPr>
      <w:r w:rsidRPr="00DB4C0D">
        <w:rPr>
          <w:b/>
        </w:rPr>
        <w:t>Non-PE foreign firms are subject to a test for significant economic presence which, in principle, assigns taxpayer status to the larger firms.</w:t>
      </w:r>
      <w:r>
        <w:t xml:space="preserve"> This test classifies a non-PE firm as having a significant economic presence in Indonesia if it meets certain minimum criteria on number of transactions, transaction value, number of shipping packages, or the amount of traffic or platform access. According to the law, firms with a significant economic presence in Indonesia are also subject to Indonesia’s usual income tax frameworks.</w:t>
      </w:r>
    </w:p>
    <w:p w14:paraId="49AFFB80" w14:textId="109FCA4B" w:rsidR="00130BE0" w:rsidRDefault="00130BE0" w:rsidP="00130BE0">
      <w:pPr>
        <w:pStyle w:val="ListParagraph"/>
        <w:numPr>
          <w:ilvl w:val="0"/>
          <w:numId w:val="12"/>
        </w:numPr>
        <w:spacing w:before="120"/>
        <w:ind w:left="0" w:firstLine="0"/>
        <w:contextualSpacing w:val="0"/>
        <w:jc w:val="both"/>
      </w:pPr>
      <w:r w:rsidRPr="00DB4C0D">
        <w:rPr>
          <w:b/>
        </w:rPr>
        <w:t>Nonetheless, the Indonesian government has refrained from collecting income taxes from such firms due to potential conflicts under international tax law.</w:t>
      </w:r>
      <w:r w:rsidR="00370D43">
        <w:rPr>
          <w:rStyle w:val="FootnoteReference"/>
          <w:b/>
        </w:rPr>
        <w:footnoteReference w:id="39"/>
      </w:r>
      <w:r w:rsidRPr="00DB4C0D">
        <w:rPr>
          <w:b/>
        </w:rPr>
        <w:t xml:space="preserve"> </w:t>
      </w:r>
      <w:r w:rsidRPr="00605151">
        <w:t xml:space="preserve">These firms are neither physically located nor legally registered in Indonesia. This creates challenges in monitoring and imposing legal requirements on such firms. As discussed in a later section, this reason alone has not been sufficient to stop the government from </w:t>
      </w:r>
      <w:r w:rsidR="000F629B">
        <w:t>imposing</w:t>
      </w:r>
      <w:r w:rsidRPr="00605151">
        <w:t xml:space="preserve"> </w:t>
      </w:r>
      <w:r w:rsidR="000F629B">
        <w:t>VAT</w:t>
      </w:r>
      <w:r w:rsidRPr="00605151">
        <w:t xml:space="preserve"> on their sales. By contrast, the added difficulty under income taxation is that unilaterally imposing </w:t>
      </w:r>
      <w:r>
        <w:t xml:space="preserve">a </w:t>
      </w:r>
      <w:r w:rsidRPr="00605151">
        <w:t>CIT on digital goods and services could potentially conflict with Indonesia’s existing double</w:t>
      </w:r>
      <w:r w:rsidR="000F629B">
        <w:t>-</w:t>
      </w:r>
      <w:r w:rsidRPr="00605151">
        <w:t>taxation agreements.</w:t>
      </w:r>
      <w:r>
        <w:rPr>
          <w:rStyle w:val="FootnoteReference"/>
        </w:rPr>
        <w:footnoteReference w:id="40"/>
      </w:r>
      <w:r>
        <w:t xml:space="preserve"> It can lead to tax revenue implications in the home jurisdiction of the firms in </w:t>
      </w:r>
      <w:proofErr w:type="gramStart"/>
      <w:r>
        <w:t>question, and</w:t>
      </w:r>
      <w:proofErr w:type="gramEnd"/>
      <w:r>
        <w:t xml:space="preserve"> thereby result in retaliatory sanctions by foreign </w:t>
      </w:r>
      <w:r>
        <w:lastRenderedPageBreak/>
        <w:t>government</w:t>
      </w:r>
      <w:r w:rsidR="00344154">
        <w:t>s</w:t>
      </w:r>
      <w:r>
        <w:t>. In particular, the Indonesian tax authorities have had concerns over such retaliation arising from authorities in the United States</w:t>
      </w:r>
      <w:r w:rsidR="000F629B">
        <w:rPr>
          <w:rFonts w:cstheme="minorHAnsi"/>
        </w:rPr>
        <w:t>–</w:t>
      </w:r>
      <w:r>
        <w:t>the home jurisdiction for a large share of digital good</w:t>
      </w:r>
      <w:r w:rsidR="000F629B">
        <w:t>s</w:t>
      </w:r>
      <w:r>
        <w:t xml:space="preserve"> and service</w:t>
      </w:r>
      <w:r w:rsidR="000F629B">
        <w:t>s</w:t>
      </w:r>
      <w:r>
        <w:t xml:space="preserve"> providers.</w:t>
      </w:r>
      <w:r>
        <w:rPr>
          <w:rStyle w:val="FootnoteReference"/>
        </w:rPr>
        <w:footnoteReference w:id="41"/>
      </w:r>
      <w:r>
        <w:t xml:space="preserve"> </w:t>
      </w:r>
    </w:p>
    <w:p w14:paraId="7F5042B9" w14:textId="77777777" w:rsidR="00130BE0" w:rsidRPr="002D5942" w:rsidRDefault="00130BE0" w:rsidP="00130BE0">
      <w:pPr>
        <w:pStyle w:val="Heading2"/>
        <w:rPr>
          <w:rFonts w:asciiTheme="minorHAnsi" w:hAnsiTheme="minorHAnsi" w:cstheme="minorHAnsi"/>
          <w:color w:val="4472C4" w:themeColor="accent1"/>
          <w:sz w:val="24"/>
          <w:szCs w:val="24"/>
        </w:rPr>
      </w:pPr>
      <w:bookmarkStart w:id="22" w:name="_Toc177819039"/>
      <w:r w:rsidRPr="002D5942">
        <w:rPr>
          <w:rFonts w:asciiTheme="minorHAnsi" w:hAnsiTheme="minorHAnsi" w:cstheme="minorHAnsi"/>
          <w:color w:val="4472C4" w:themeColor="accent1"/>
          <w:sz w:val="24"/>
          <w:szCs w:val="24"/>
        </w:rPr>
        <w:t>Special rates and tax incentives</w:t>
      </w:r>
      <w:bookmarkEnd w:id="22"/>
      <w:r w:rsidRPr="002D5942">
        <w:rPr>
          <w:rFonts w:asciiTheme="minorHAnsi" w:hAnsiTheme="minorHAnsi" w:cstheme="minorHAnsi"/>
          <w:color w:val="4472C4" w:themeColor="accent1"/>
          <w:sz w:val="24"/>
          <w:szCs w:val="24"/>
        </w:rPr>
        <w:t xml:space="preserve"> </w:t>
      </w:r>
    </w:p>
    <w:p w14:paraId="451CC29F" w14:textId="648D1914" w:rsidR="00130BE0" w:rsidRDefault="00130BE0" w:rsidP="00130BE0">
      <w:pPr>
        <w:pStyle w:val="ListParagraph"/>
        <w:numPr>
          <w:ilvl w:val="0"/>
          <w:numId w:val="12"/>
        </w:numPr>
        <w:spacing w:before="120"/>
        <w:ind w:left="0" w:firstLine="0"/>
        <w:contextualSpacing w:val="0"/>
        <w:jc w:val="both"/>
      </w:pPr>
      <w:r w:rsidRPr="0019163E">
        <w:rPr>
          <w:b/>
          <w:bCs/>
        </w:rPr>
        <w:t xml:space="preserve">An extensive set of special rates and tax incentives are also available for those engaged in certain activities or within certain sectors. </w:t>
      </w:r>
      <w:r>
        <w:t xml:space="preserve">For MSMEs under the CIT regime (instead of the AFT regime), with annual revenues less than </w:t>
      </w:r>
      <w:r w:rsidR="00CB262B">
        <w:t xml:space="preserve">Rp </w:t>
      </w:r>
      <w:r>
        <w:t>50 billion, a reduced CIT rate of 11 percent is applicable for taxable income derived from the first R</w:t>
      </w:r>
      <w:r w:rsidR="00CB262B">
        <w:t>p</w:t>
      </w:r>
      <w:r>
        <w:t xml:space="preserve"> 4.8 billion of turnover.</w:t>
      </w:r>
      <w:r>
        <w:rPr>
          <w:rStyle w:val="FootnoteReference"/>
        </w:rPr>
        <w:footnoteReference w:id="42"/>
      </w:r>
      <w:r>
        <w:t xml:space="preserve"> For businesses that list at least 40 percent of their equity on the Indonesia</w:t>
      </w:r>
      <w:r w:rsidR="000F629B">
        <w:t>n</w:t>
      </w:r>
      <w:r>
        <w:t xml:space="preserve"> stock exchange, a reduced CIT rate of 19 percent is applicable on taxable income. For these firms, 40 percent of listed equity needs to be held by at least 300 shareholders, with each owning less than 5 percent of total equity; and this condition must be met for at least half the days of the relevant tax year. </w:t>
      </w:r>
    </w:p>
    <w:p w14:paraId="7B631AB6" w14:textId="77777777" w:rsidR="00130BE0" w:rsidRPr="0019163E" w:rsidRDefault="00130BE0" w:rsidP="00130BE0">
      <w:pPr>
        <w:pStyle w:val="ListParagraph"/>
        <w:numPr>
          <w:ilvl w:val="0"/>
          <w:numId w:val="12"/>
        </w:numPr>
        <w:spacing w:before="120"/>
        <w:ind w:left="0" w:firstLine="0"/>
        <w:contextualSpacing w:val="0"/>
        <w:jc w:val="both"/>
        <w:rPr>
          <w:rFonts w:cstheme="minorHAnsi"/>
          <w:lang w:bidi="si-LK"/>
        </w:rPr>
      </w:pPr>
      <w:r w:rsidRPr="0019163E">
        <w:rPr>
          <w:rFonts w:cstheme="minorHAnsi"/>
          <w:b/>
          <w:bCs/>
          <w:lang w:bidi="si-LK"/>
        </w:rPr>
        <w:t xml:space="preserve">There are four other major tax incentive schemes for Indonesian businesses. </w:t>
      </w:r>
      <w:r w:rsidRPr="0019163E">
        <w:rPr>
          <w:rFonts w:cstheme="minorHAnsi"/>
          <w:lang w:bidi="si-LK"/>
        </w:rPr>
        <w:t>These are largely aimed at promoting investment in pioneer sectors, boosting regional development, and promoting activities with spillovers such as research and development, apprenticeships, and internships.</w:t>
      </w:r>
      <w:r>
        <w:rPr>
          <w:rStyle w:val="FootnoteReference"/>
          <w:rFonts w:cstheme="minorHAnsi"/>
          <w:lang w:bidi="si-LK"/>
        </w:rPr>
        <w:footnoteReference w:id="43"/>
      </w:r>
      <w:r w:rsidRPr="0019163E">
        <w:rPr>
          <w:rFonts w:cstheme="minorHAnsi"/>
          <w:b/>
          <w:bCs/>
          <w:lang w:bidi="si-LK"/>
        </w:rPr>
        <w:t xml:space="preserve"> </w:t>
      </w:r>
      <w:r w:rsidRPr="0019163E">
        <w:rPr>
          <w:rFonts w:cstheme="minorHAnsi"/>
          <w:lang w:bidi="si-LK"/>
        </w:rPr>
        <w:t>The</w:t>
      </w:r>
      <w:r w:rsidRPr="0019163E">
        <w:rPr>
          <w:rFonts w:cstheme="minorHAnsi"/>
          <w:b/>
          <w:bCs/>
          <w:lang w:bidi="si-LK"/>
        </w:rPr>
        <w:t xml:space="preserve"> </w:t>
      </w:r>
      <w:r w:rsidRPr="0019163E">
        <w:rPr>
          <w:rFonts w:cstheme="minorHAnsi"/>
          <w:lang w:bidi="si-LK"/>
        </w:rPr>
        <w:t xml:space="preserve">four schemes are: </w:t>
      </w:r>
    </w:p>
    <w:p w14:paraId="2404A6DD" w14:textId="6389F5D9" w:rsidR="00130BE0" w:rsidRPr="001F1322" w:rsidRDefault="00130BE0" w:rsidP="006C27CE">
      <w:pPr>
        <w:pStyle w:val="ListParagraph"/>
        <w:numPr>
          <w:ilvl w:val="0"/>
          <w:numId w:val="50"/>
        </w:numPr>
        <w:autoSpaceDE w:val="0"/>
        <w:autoSpaceDN w:val="0"/>
        <w:adjustRightInd w:val="0"/>
        <w:spacing w:before="120"/>
        <w:jc w:val="both"/>
        <w:rPr>
          <w:rFonts w:cstheme="minorHAnsi"/>
          <w:lang w:bidi="si-LK"/>
        </w:rPr>
      </w:pPr>
      <w:r w:rsidRPr="002529DA">
        <w:rPr>
          <w:rFonts w:cstheme="minorHAnsi"/>
          <w:b/>
          <w:bCs/>
          <w:i/>
          <w:iCs/>
          <w:u w:val="single"/>
          <w:lang w:bidi="si-LK"/>
        </w:rPr>
        <w:t>Tax holidays</w:t>
      </w:r>
      <w:r w:rsidRPr="001F1322">
        <w:rPr>
          <w:rFonts w:cstheme="minorHAnsi"/>
          <w:lang w:bidi="si-LK"/>
        </w:rPr>
        <w:t xml:space="preserve">: provide tax relief to eligible investments in 18 </w:t>
      </w:r>
      <w:r>
        <w:rPr>
          <w:rFonts w:cstheme="minorHAnsi"/>
          <w:lang w:bidi="si-LK"/>
        </w:rPr>
        <w:t>pioneer</w:t>
      </w:r>
      <w:r w:rsidRPr="001F1322">
        <w:rPr>
          <w:rFonts w:cstheme="minorHAnsi"/>
          <w:lang w:bidi="si-LK"/>
        </w:rPr>
        <w:t xml:space="preserve"> sectors.</w:t>
      </w:r>
      <w:r w:rsidRPr="001F1322">
        <w:rPr>
          <w:rStyle w:val="FootnoteReference"/>
          <w:rFonts w:cstheme="minorHAnsi"/>
          <w:lang w:bidi="si-LK"/>
        </w:rPr>
        <w:footnoteReference w:id="44"/>
      </w:r>
      <w:r w:rsidRPr="001F1322">
        <w:rPr>
          <w:rFonts w:cstheme="minorHAnsi"/>
          <w:lang w:bidi="si-LK"/>
        </w:rPr>
        <w:t xml:space="preserve"> For investments </w:t>
      </w:r>
      <w:r>
        <w:rPr>
          <w:rFonts w:cstheme="minorHAnsi"/>
          <w:lang w:bidi="si-LK"/>
        </w:rPr>
        <w:t xml:space="preserve">of at least </w:t>
      </w:r>
      <w:r w:rsidRPr="001F1322">
        <w:rPr>
          <w:rFonts w:cstheme="minorHAnsi"/>
          <w:lang w:bidi="si-LK"/>
        </w:rPr>
        <w:t>R</w:t>
      </w:r>
      <w:r w:rsidR="00CB262B">
        <w:rPr>
          <w:rFonts w:cstheme="minorHAnsi"/>
          <w:lang w:bidi="si-LK"/>
        </w:rPr>
        <w:t>p</w:t>
      </w:r>
      <w:r w:rsidRPr="001F1322">
        <w:rPr>
          <w:rFonts w:cstheme="minorHAnsi"/>
          <w:lang w:bidi="si-LK"/>
        </w:rPr>
        <w:t xml:space="preserve"> 500 billion, full CIT relief may be provided for a period ranging from 5 to 20 years, followed by a two-year phase-out during which </w:t>
      </w:r>
      <w:r w:rsidR="000F629B">
        <w:rPr>
          <w:rFonts w:cstheme="minorHAnsi"/>
          <w:lang w:bidi="si-LK"/>
        </w:rPr>
        <w:t xml:space="preserve">a </w:t>
      </w:r>
      <w:r w:rsidRPr="001F1322">
        <w:rPr>
          <w:rFonts w:cstheme="minorHAnsi"/>
          <w:lang w:bidi="si-LK"/>
        </w:rPr>
        <w:t>50 percent tax rate discount is applied</w:t>
      </w:r>
      <w:r>
        <w:rPr>
          <w:rFonts w:cstheme="minorHAnsi"/>
          <w:lang w:bidi="si-LK"/>
        </w:rPr>
        <w:t xml:space="preserve"> (Figure 2.</w:t>
      </w:r>
      <w:r w:rsidR="000F1DC0">
        <w:rPr>
          <w:rFonts w:cstheme="minorHAnsi"/>
          <w:lang w:bidi="si-LK"/>
        </w:rPr>
        <w:t>6</w:t>
      </w:r>
      <w:r>
        <w:rPr>
          <w:rFonts w:cstheme="minorHAnsi"/>
          <w:lang w:bidi="si-LK"/>
        </w:rPr>
        <w:t>)</w:t>
      </w:r>
      <w:r w:rsidRPr="001F1322">
        <w:rPr>
          <w:rFonts w:cstheme="minorHAnsi"/>
          <w:lang w:bidi="si-LK"/>
        </w:rPr>
        <w:t>.</w:t>
      </w:r>
      <w:r>
        <w:rPr>
          <w:rStyle w:val="FootnoteReference"/>
          <w:rFonts w:cstheme="minorHAnsi"/>
          <w:lang w:bidi="si-LK"/>
        </w:rPr>
        <w:footnoteReference w:id="45"/>
      </w:r>
      <w:r w:rsidRPr="001F1322">
        <w:rPr>
          <w:rFonts w:cstheme="minorHAnsi"/>
          <w:lang w:bidi="si-LK"/>
        </w:rPr>
        <w:t xml:space="preserve"> Similarly, for investments between R</w:t>
      </w:r>
      <w:r w:rsidR="00CB262B">
        <w:rPr>
          <w:rFonts w:cstheme="minorHAnsi"/>
          <w:lang w:bidi="si-LK"/>
        </w:rPr>
        <w:t>p</w:t>
      </w:r>
      <w:r w:rsidRPr="001F1322">
        <w:rPr>
          <w:rFonts w:cstheme="minorHAnsi"/>
          <w:lang w:bidi="si-LK"/>
        </w:rPr>
        <w:t xml:space="preserve"> 100 million and R</w:t>
      </w:r>
      <w:r w:rsidR="00CB262B">
        <w:rPr>
          <w:rFonts w:cstheme="minorHAnsi"/>
          <w:lang w:bidi="si-LK"/>
        </w:rPr>
        <w:t>p</w:t>
      </w:r>
      <w:r w:rsidRPr="001F1322">
        <w:rPr>
          <w:rFonts w:cstheme="minorHAnsi"/>
          <w:lang w:bidi="si-LK"/>
        </w:rPr>
        <w:t xml:space="preserve"> 500 million, a 50 percent CIT rate discount may be offered for five years, followed by a two-year phase-out at a 25 percent discount. </w:t>
      </w:r>
      <w:r>
        <w:rPr>
          <w:rFonts w:cstheme="minorHAnsi"/>
          <w:lang w:bidi="si-LK"/>
        </w:rPr>
        <w:t>At their maximum duration, these are the most generous tax holidays in ASEAN (Figure 2.</w:t>
      </w:r>
      <w:r w:rsidR="000F1DC0">
        <w:rPr>
          <w:rFonts w:cstheme="minorHAnsi"/>
          <w:lang w:bidi="si-LK"/>
        </w:rPr>
        <w:t>7</w:t>
      </w:r>
      <w:r>
        <w:rPr>
          <w:rFonts w:cstheme="minorHAnsi"/>
          <w:lang w:bidi="si-LK"/>
        </w:rPr>
        <w:t xml:space="preserve">). </w:t>
      </w:r>
    </w:p>
    <w:p w14:paraId="618231BE" w14:textId="48E2BD7C" w:rsidR="00130BE0" w:rsidRPr="001F1322" w:rsidRDefault="00130BE0" w:rsidP="006C27CE">
      <w:pPr>
        <w:pStyle w:val="ListParagraph"/>
        <w:numPr>
          <w:ilvl w:val="0"/>
          <w:numId w:val="50"/>
        </w:numPr>
        <w:autoSpaceDE w:val="0"/>
        <w:autoSpaceDN w:val="0"/>
        <w:adjustRightInd w:val="0"/>
        <w:spacing w:before="120"/>
        <w:jc w:val="both"/>
        <w:rPr>
          <w:rFonts w:cstheme="minorHAnsi"/>
          <w:lang w:bidi="si-LK"/>
        </w:rPr>
      </w:pPr>
      <w:r w:rsidRPr="002529DA">
        <w:rPr>
          <w:rFonts w:cstheme="minorHAnsi"/>
          <w:b/>
          <w:bCs/>
          <w:i/>
          <w:iCs/>
          <w:u w:val="single"/>
          <w:lang w:bidi="si-LK"/>
        </w:rPr>
        <w:t>Tax allowances</w:t>
      </w:r>
      <w:r w:rsidRPr="001F1322">
        <w:rPr>
          <w:rFonts w:cstheme="minorHAnsi"/>
          <w:lang w:bidi="si-LK"/>
        </w:rPr>
        <w:t xml:space="preserve">: offer 30 percent income tax deductions on the value of large tangible fixed investments as well as accelerated depreciation and extended loss-carry forward. This is available </w:t>
      </w:r>
      <w:proofErr w:type="gramStart"/>
      <w:r w:rsidRPr="001F1322">
        <w:rPr>
          <w:rFonts w:cstheme="minorHAnsi"/>
          <w:lang w:bidi="si-LK"/>
        </w:rPr>
        <w:t>to</w:t>
      </w:r>
      <w:proofErr w:type="gramEnd"/>
      <w:r w:rsidRPr="001F1322">
        <w:rPr>
          <w:rFonts w:cstheme="minorHAnsi"/>
          <w:lang w:bidi="si-LK"/>
        </w:rPr>
        <w:t xml:space="preserve"> 166 industry sectors </w:t>
      </w:r>
      <w:r w:rsidR="00D52FFA">
        <w:rPr>
          <w:rFonts w:cstheme="minorHAnsi"/>
          <w:lang w:bidi="si-LK"/>
        </w:rPr>
        <w:t>and</w:t>
      </w:r>
      <w:r w:rsidRPr="001F1322">
        <w:rPr>
          <w:rFonts w:cstheme="minorHAnsi"/>
          <w:lang w:bidi="si-LK"/>
        </w:rPr>
        <w:t xml:space="preserve"> another 17 in specific geographic locations. To be eligible, the business must be making a large investment, creating significant employment, or be using high local content. </w:t>
      </w:r>
    </w:p>
    <w:p w14:paraId="5ABB2E79" w14:textId="6B274680" w:rsidR="00130BE0" w:rsidRPr="001F1322" w:rsidRDefault="00130BE0" w:rsidP="006C27CE">
      <w:pPr>
        <w:pStyle w:val="ListParagraph"/>
        <w:numPr>
          <w:ilvl w:val="0"/>
          <w:numId w:val="50"/>
        </w:numPr>
        <w:autoSpaceDE w:val="0"/>
        <w:autoSpaceDN w:val="0"/>
        <w:adjustRightInd w:val="0"/>
        <w:spacing w:before="120"/>
        <w:jc w:val="both"/>
        <w:rPr>
          <w:rFonts w:cstheme="minorHAnsi"/>
          <w:lang w:bidi="si-LK"/>
        </w:rPr>
      </w:pPr>
      <w:r w:rsidRPr="002529DA">
        <w:rPr>
          <w:rFonts w:cstheme="minorHAnsi"/>
          <w:b/>
          <w:bCs/>
          <w:i/>
          <w:iCs/>
          <w:u w:val="single"/>
          <w:lang w:bidi="si-LK"/>
        </w:rPr>
        <w:t>Super tax deductions</w:t>
      </w:r>
      <w:r w:rsidRPr="001F1322">
        <w:rPr>
          <w:rFonts w:cstheme="minorHAnsi"/>
          <w:lang w:bidi="si-LK"/>
        </w:rPr>
        <w:t xml:space="preserve">: offer investment-related tax deductions to large businesses that are not eligible for the previous two schemes but are making new investments and operating in </w:t>
      </w:r>
      <w:r>
        <w:rPr>
          <w:rFonts w:cstheme="minorHAnsi"/>
          <w:lang w:bidi="si-LK"/>
        </w:rPr>
        <w:t xml:space="preserve">dozens of </w:t>
      </w:r>
      <w:r w:rsidRPr="001F1322">
        <w:rPr>
          <w:rFonts w:cstheme="minorHAnsi"/>
          <w:lang w:bidi="si-LK"/>
        </w:rPr>
        <w:t xml:space="preserve">eligible </w:t>
      </w:r>
      <w:r>
        <w:rPr>
          <w:rFonts w:cstheme="minorHAnsi"/>
          <w:lang w:bidi="si-LK"/>
        </w:rPr>
        <w:t xml:space="preserve">labor-intensive </w:t>
      </w:r>
      <w:r w:rsidRPr="001F1322">
        <w:rPr>
          <w:rFonts w:cstheme="minorHAnsi"/>
          <w:lang w:bidi="si-LK"/>
        </w:rPr>
        <w:t xml:space="preserve">sectors. Under this scheme, new </w:t>
      </w:r>
      <w:proofErr w:type="gramStart"/>
      <w:r w:rsidRPr="001F1322">
        <w:rPr>
          <w:rFonts w:cstheme="minorHAnsi"/>
          <w:lang w:bidi="si-LK"/>
        </w:rPr>
        <w:t>apprenticeship</w:t>
      </w:r>
      <w:proofErr w:type="gramEnd"/>
      <w:r w:rsidRPr="001F1322">
        <w:rPr>
          <w:rFonts w:cstheme="minorHAnsi"/>
          <w:lang w:bidi="si-LK"/>
        </w:rPr>
        <w:t xml:space="preserve">, </w:t>
      </w:r>
      <w:proofErr w:type="gramStart"/>
      <w:r w:rsidRPr="001F1322">
        <w:rPr>
          <w:rFonts w:cstheme="minorHAnsi"/>
          <w:lang w:bidi="si-LK"/>
        </w:rPr>
        <w:t>internship</w:t>
      </w:r>
      <w:proofErr w:type="gramEnd"/>
      <w:r w:rsidRPr="001F1322">
        <w:rPr>
          <w:rFonts w:cstheme="minorHAnsi"/>
          <w:lang w:bidi="si-LK"/>
        </w:rPr>
        <w:t xml:space="preserve">, and research and development programs also receive outsized deductions. </w:t>
      </w:r>
    </w:p>
    <w:p w14:paraId="59F2B9BD" w14:textId="451EEB3A" w:rsidR="00130BE0" w:rsidRDefault="00130BE0" w:rsidP="006C27CE">
      <w:pPr>
        <w:pStyle w:val="ListParagraph"/>
        <w:numPr>
          <w:ilvl w:val="0"/>
          <w:numId w:val="50"/>
        </w:numPr>
        <w:autoSpaceDE w:val="0"/>
        <w:autoSpaceDN w:val="0"/>
        <w:adjustRightInd w:val="0"/>
        <w:spacing w:before="120" w:after="240"/>
        <w:jc w:val="both"/>
        <w:rPr>
          <w:rFonts w:cstheme="minorHAnsi"/>
          <w:lang w:bidi="si-LK"/>
        </w:rPr>
      </w:pPr>
      <w:r w:rsidRPr="00C6011E">
        <w:rPr>
          <w:rFonts w:cstheme="minorHAnsi"/>
          <w:b/>
          <w:bCs/>
          <w:i/>
          <w:iCs/>
          <w:u w:val="single"/>
          <w:lang w:bidi="si-LK"/>
        </w:rPr>
        <w:t>Special economic zones (</w:t>
      </w:r>
      <w:proofErr w:type="gramStart"/>
      <w:r w:rsidRPr="00C6011E">
        <w:rPr>
          <w:rFonts w:cstheme="minorHAnsi"/>
          <w:b/>
          <w:bCs/>
          <w:i/>
          <w:iCs/>
          <w:u w:val="single"/>
          <w:lang w:bidi="si-LK"/>
        </w:rPr>
        <w:t>SEZs)</w:t>
      </w:r>
      <w:r w:rsidRPr="00C6011E">
        <w:rPr>
          <w:rFonts w:cstheme="minorHAnsi"/>
          <w:lang w:bidi="si-LK"/>
        </w:rPr>
        <w:t>:</w:t>
      </w:r>
      <w:proofErr w:type="gramEnd"/>
      <w:r w:rsidRPr="00C6011E">
        <w:rPr>
          <w:rFonts w:cstheme="minorHAnsi"/>
          <w:lang w:bidi="si-LK"/>
        </w:rPr>
        <w:t xml:space="preserve"> offer CIT relief </w:t>
      </w:r>
      <w:proofErr w:type="gramStart"/>
      <w:r w:rsidRPr="00C6011E">
        <w:rPr>
          <w:rFonts w:cstheme="minorHAnsi"/>
          <w:lang w:bidi="si-LK"/>
        </w:rPr>
        <w:t>similar to</w:t>
      </w:r>
      <w:proofErr w:type="gramEnd"/>
      <w:r w:rsidRPr="00C6011E">
        <w:rPr>
          <w:rFonts w:cstheme="minorHAnsi"/>
          <w:lang w:bidi="si-LK"/>
        </w:rPr>
        <w:t xml:space="preserve"> a combination of the tax holidays and</w:t>
      </w:r>
      <w:r w:rsidRPr="001F1322">
        <w:rPr>
          <w:rFonts w:cstheme="minorHAnsi"/>
          <w:lang w:bidi="si-LK"/>
        </w:rPr>
        <w:t xml:space="preserve"> tax allowances schemes described above. </w:t>
      </w:r>
      <w:r w:rsidR="008F0C72">
        <w:rPr>
          <w:rFonts w:cstheme="minorHAnsi"/>
          <w:lang w:bidi="si-LK"/>
        </w:rPr>
        <w:t xml:space="preserve">Available </w:t>
      </w:r>
      <w:r w:rsidRPr="001F1322">
        <w:rPr>
          <w:rFonts w:cstheme="minorHAnsi"/>
          <w:lang w:bidi="si-LK"/>
        </w:rPr>
        <w:t xml:space="preserve">to businesses that manage, or operate in, </w:t>
      </w:r>
      <w:r w:rsidR="00D52FFA">
        <w:rPr>
          <w:rFonts w:cstheme="minorHAnsi"/>
          <w:lang w:bidi="si-LK"/>
        </w:rPr>
        <w:t>SEZs</w:t>
      </w:r>
      <w:r w:rsidRPr="001F1322">
        <w:rPr>
          <w:rFonts w:cstheme="minorHAnsi"/>
          <w:lang w:bidi="si-LK"/>
        </w:rPr>
        <w:t xml:space="preserve">.  </w:t>
      </w:r>
    </w:p>
    <w:p w14:paraId="4FCC6312" w14:textId="77777777" w:rsidR="00130BE0" w:rsidRDefault="00130BE0" w:rsidP="00130BE0">
      <w:r>
        <w:br w:type="page"/>
      </w:r>
    </w:p>
    <w:tbl>
      <w:tblPr>
        <w:tblStyle w:val="TableGrid"/>
        <w:tblW w:w="945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723"/>
      </w:tblGrid>
      <w:tr w:rsidR="00130BE0" w:rsidRPr="008001F1" w14:paraId="3319B782" w14:textId="77777777">
        <w:tc>
          <w:tcPr>
            <w:tcW w:w="4727" w:type="dxa"/>
          </w:tcPr>
          <w:p w14:paraId="6F019A74" w14:textId="38383AE6" w:rsidR="00130BE0" w:rsidRPr="002529DA" w:rsidRDefault="00130BE0" w:rsidP="006300A6">
            <w:pPr>
              <w:pStyle w:val="Caption"/>
              <w:rPr>
                <w:rFonts w:cstheme="minorHAnsi"/>
                <w:sz w:val="20"/>
              </w:rPr>
            </w:pPr>
            <w:bookmarkStart w:id="23" w:name="_Toc177593056"/>
            <w:r w:rsidRPr="002529DA">
              <w:rPr>
                <w:rFonts w:cstheme="minorHAnsi"/>
                <w:sz w:val="20"/>
              </w:rPr>
              <w:lastRenderedPageBreak/>
              <w:t>Figure 2.</w:t>
            </w:r>
            <w:r w:rsidR="006127BC">
              <w:fldChar w:fldCharType="begin"/>
            </w:r>
            <w:r w:rsidR="006127BC">
              <w:instrText xml:space="preserve"> SEQ Figure \* ARABIC \s 1 </w:instrText>
            </w:r>
            <w:r w:rsidR="006127BC">
              <w:fldChar w:fldCharType="separate"/>
            </w:r>
            <w:r w:rsidR="006127BC">
              <w:rPr>
                <w:noProof/>
              </w:rPr>
              <w:t>6</w:t>
            </w:r>
            <w:r w:rsidR="006127BC">
              <w:fldChar w:fldCharType="end"/>
            </w:r>
            <w:r w:rsidR="002041C7">
              <w:t xml:space="preserve"> </w:t>
            </w:r>
            <w:r w:rsidRPr="002529DA">
              <w:rPr>
                <w:rFonts w:cstheme="minorHAnsi"/>
                <w:sz w:val="20"/>
              </w:rPr>
              <w:t>Duration of Indonesia’s CIT holidays</w:t>
            </w:r>
            <w:r>
              <w:rPr>
                <w:rFonts w:cstheme="minorHAnsi"/>
                <w:sz w:val="20"/>
              </w:rPr>
              <w:br/>
            </w:r>
            <w:r w:rsidRPr="006300A6">
              <w:rPr>
                <w:rFonts w:cstheme="minorHAnsi"/>
                <w:b w:val="0"/>
                <w:i/>
                <w:iCs/>
                <w:color w:val="auto"/>
                <w:sz w:val="20"/>
              </w:rPr>
              <w:t>(percent, CIT rate; years since commencement)</w:t>
            </w:r>
            <w:bookmarkEnd w:id="23"/>
          </w:p>
        </w:tc>
        <w:tc>
          <w:tcPr>
            <w:tcW w:w="4723" w:type="dxa"/>
          </w:tcPr>
          <w:p w14:paraId="2B8F4A14" w14:textId="79E62494" w:rsidR="00130BE0" w:rsidRPr="002529DA" w:rsidRDefault="00130BE0" w:rsidP="006300A6">
            <w:pPr>
              <w:pStyle w:val="Caption"/>
              <w:jc w:val="left"/>
              <w:rPr>
                <w:rFonts w:cstheme="minorHAnsi"/>
                <w:sz w:val="20"/>
              </w:rPr>
            </w:pPr>
            <w:bookmarkStart w:id="24" w:name="_Toc177593057"/>
            <w:r w:rsidRPr="002529DA">
              <w:rPr>
                <w:rFonts w:cstheme="minorHAnsi"/>
                <w:sz w:val="20"/>
              </w:rPr>
              <w:t>Figure 2.</w:t>
            </w:r>
            <w:r w:rsidR="00016358">
              <w:rPr>
                <w:rFonts w:cstheme="minorHAnsi"/>
                <w:sz w:val="20"/>
              </w:rPr>
              <w:t>7</w:t>
            </w:r>
            <w:r w:rsidRPr="002529DA">
              <w:rPr>
                <w:rFonts w:cstheme="minorHAnsi"/>
                <w:sz w:val="20"/>
              </w:rPr>
              <w:t xml:space="preserve">: </w:t>
            </w:r>
            <w:r>
              <w:rPr>
                <w:rFonts w:cstheme="minorHAnsi"/>
                <w:sz w:val="20"/>
              </w:rPr>
              <w:t>D</w:t>
            </w:r>
            <w:r w:rsidRPr="002529DA">
              <w:rPr>
                <w:rFonts w:cstheme="minorHAnsi"/>
                <w:sz w:val="20"/>
              </w:rPr>
              <w:t xml:space="preserve">uration of tax holidays in ASEAN </w:t>
            </w:r>
            <w:r>
              <w:rPr>
                <w:rFonts w:cstheme="minorHAnsi"/>
                <w:sz w:val="20"/>
              </w:rPr>
              <w:br/>
            </w:r>
            <w:r w:rsidRPr="006300A6">
              <w:rPr>
                <w:rFonts w:cstheme="minorHAnsi"/>
                <w:b w:val="0"/>
                <w:i/>
                <w:iCs/>
                <w:color w:val="auto"/>
                <w:sz w:val="20"/>
              </w:rPr>
              <w:t>(years)</w:t>
            </w:r>
            <w:bookmarkEnd w:id="24"/>
          </w:p>
        </w:tc>
      </w:tr>
      <w:tr w:rsidR="00130BE0" w14:paraId="4CCCF178" w14:textId="77777777">
        <w:tc>
          <w:tcPr>
            <w:tcW w:w="4727" w:type="dxa"/>
          </w:tcPr>
          <w:p w14:paraId="7CA1D2AF" w14:textId="77777777" w:rsidR="00130BE0" w:rsidRDefault="00130BE0">
            <w:pPr>
              <w:ind w:left="0" w:firstLine="0"/>
              <w:jc w:val="center"/>
            </w:pPr>
            <w:r>
              <w:rPr>
                <w:noProof/>
              </w:rPr>
              <w:drawing>
                <wp:inline distT="0" distB="0" distL="0" distR="0" wp14:anchorId="417AA947" wp14:editId="19BCEED9">
                  <wp:extent cx="2838450" cy="2135874"/>
                  <wp:effectExtent l="0" t="0" r="0" b="0"/>
                  <wp:docPr id="9" name="Chart 9">
                    <a:extLst xmlns:a="http://schemas.openxmlformats.org/drawingml/2006/main">
                      <a:ext uri="{FF2B5EF4-FFF2-40B4-BE49-F238E27FC236}">
                        <a16:creationId xmlns:a16="http://schemas.microsoft.com/office/drawing/2014/main" id="{B120EEFC-4C3F-DD0D-A2EE-84158AB817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4723" w:type="dxa"/>
          </w:tcPr>
          <w:p w14:paraId="671C8952" w14:textId="77777777" w:rsidR="00130BE0" w:rsidRDefault="00130BE0">
            <w:pPr>
              <w:ind w:left="0" w:firstLine="0"/>
            </w:pPr>
            <w:r w:rsidRPr="00487DA6">
              <w:rPr>
                <w:noProof/>
              </w:rPr>
              <w:drawing>
                <wp:inline distT="0" distB="0" distL="0" distR="0" wp14:anchorId="0023BD73" wp14:editId="7627843F">
                  <wp:extent cx="2812473" cy="2143465"/>
                  <wp:effectExtent l="0" t="0" r="698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2">
                            <a:extLst>
                              <a:ext uri="{28A0092B-C50C-407E-A947-70E740481C1C}">
                                <a14:useLocalDpi xmlns:a14="http://schemas.microsoft.com/office/drawing/2010/main" val="0"/>
                              </a:ext>
                            </a:extLst>
                          </a:blip>
                          <a:srcRect l="5084"/>
                          <a:stretch/>
                        </pic:blipFill>
                        <pic:spPr bwMode="auto">
                          <a:xfrm>
                            <a:off x="0" y="0"/>
                            <a:ext cx="2848315" cy="217078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30BE0" w:rsidRPr="004512BF" w14:paraId="39CB86BF" w14:textId="77777777">
        <w:tc>
          <w:tcPr>
            <w:tcW w:w="4727" w:type="dxa"/>
          </w:tcPr>
          <w:p w14:paraId="6D586AE6" w14:textId="536B1089" w:rsidR="00130BE0" w:rsidRPr="004512BF" w:rsidRDefault="00130BE0">
            <w:pPr>
              <w:ind w:left="0" w:firstLine="0"/>
              <w:rPr>
                <w:sz w:val="18"/>
                <w:szCs w:val="18"/>
              </w:rPr>
            </w:pPr>
            <w:r w:rsidRPr="006300A6">
              <w:rPr>
                <w:i/>
                <w:iCs/>
                <w:sz w:val="18"/>
                <w:szCs w:val="18"/>
              </w:rPr>
              <w:t>Source</w:t>
            </w:r>
            <w:r w:rsidRPr="004512BF">
              <w:rPr>
                <w:sz w:val="18"/>
                <w:szCs w:val="18"/>
              </w:rPr>
              <w:t xml:space="preserve">: </w:t>
            </w:r>
            <w:r w:rsidRPr="00066A82">
              <w:rPr>
                <w:sz w:val="18"/>
                <w:szCs w:val="18"/>
              </w:rPr>
              <w:t>OECD (2020b)</w:t>
            </w:r>
            <w:r w:rsidR="009E2FBB">
              <w:rPr>
                <w:sz w:val="18"/>
                <w:szCs w:val="18"/>
              </w:rPr>
              <w:t>.</w:t>
            </w:r>
            <w:r>
              <w:rPr>
                <w:sz w:val="18"/>
                <w:szCs w:val="18"/>
              </w:rPr>
              <w:t xml:space="preserve"> </w:t>
            </w:r>
          </w:p>
        </w:tc>
        <w:tc>
          <w:tcPr>
            <w:tcW w:w="4723" w:type="dxa"/>
          </w:tcPr>
          <w:p w14:paraId="7409DF61" w14:textId="2ACE916F" w:rsidR="00130BE0" w:rsidRPr="004512BF" w:rsidRDefault="00130BE0" w:rsidP="00551313">
            <w:pPr>
              <w:keepNext/>
              <w:ind w:left="0" w:firstLine="0"/>
              <w:rPr>
                <w:sz w:val="18"/>
                <w:szCs w:val="18"/>
              </w:rPr>
            </w:pPr>
            <w:r w:rsidRPr="006300A6">
              <w:rPr>
                <w:i/>
                <w:iCs/>
                <w:sz w:val="18"/>
                <w:szCs w:val="18"/>
              </w:rPr>
              <w:t>Source</w:t>
            </w:r>
            <w:r w:rsidRPr="004512BF">
              <w:rPr>
                <w:sz w:val="18"/>
                <w:szCs w:val="18"/>
              </w:rPr>
              <w:t xml:space="preserve">: </w:t>
            </w:r>
            <w:r w:rsidR="00B5673D">
              <w:rPr>
                <w:sz w:val="18"/>
                <w:szCs w:val="18"/>
              </w:rPr>
              <w:t xml:space="preserve">Government websites of respective countries. </w:t>
            </w:r>
            <w:r w:rsidR="000225E1">
              <w:rPr>
                <w:sz w:val="18"/>
                <w:szCs w:val="18"/>
              </w:rPr>
              <w:t xml:space="preserve"> </w:t>
            </w:r>
          </w:p>
        </w:tc>
      </w:tr>
    </w:tbl>
    <w:p w14:paraId="4FFD26A0" w14:textId="2135557D" w:rsidR="00130BE0" w:rsidRPr="00C6011E" w:rsidRDefault="00130BE0" w:rsidP="00130BE0">
      <w:pPr>
        <w:pStyle w:val="ListParagraph"/>
        <w:numPr>
          <w:ilvl w:val="0"/>
          <w:numId w:val="12"/>
        </w:numPr>
        <w:spacing w:before="240"/>
        <w:ind w:left="0" w:firstLine="0"/>
        <w:contextualSpacing w:val="0"/>
        <w:jc w:val="both"/>
        <w:rPr>
          <w:rFonts w:ascii="Calibri" w:hAnsi="Calibri" w:cs="Calibri"/>
          <w:lang w:bidi="si-LK"/>
        </w:rPr>
      </w:pPr>
      <w:r w:rsidRPr="00C6011E">
        <w:rPr>
          <w:rFonts w:ascii="Calibri" w:hAnsi="Calibri" w:cs="Calibri"/>
          <w:b/>
          <w:lang w:bidi="si-LK"/>
        </w:rPr>
        <w:t xml:space="preserve">There is substantive literature demonstrating that tax incentives often do not have the benefits that governments intend. </w:t>
      </w:r>
      <w:r w:rsidRPr="00C6011E">
        <w:rPr>
          <w:rFonts w:ascii="Calibri" w:hAnsi="Calibri" w:cs="Calibri"/>
          <w:lang w:bidi="si-LK"/>
        </w:rPr>
        <w:t>They have been generally unsuccessful in promoting economic growth and attracting investment</w:t>
      </w:r>
      <w:r w:rsidR="00D52FFA" w:rsidRPr="00C6011E">
        <w:rPr>
          <w:rFonts w:ascii="Calibri" w:hAnsi="Calibri" w:cs="Calibri"/>
          <w:lang w:bidi="si-LK"/>
        </w:rPr>
        <w:t>–</w:t>
      </w:r>
      <w:r w:rsidRPr="00C6011E">
        <w:rPr>
          <w:rFonts w:ascii="Calibri" w:hAnsi="Calibri" w:cs="Calibri"/>
          <w:lang w:bidi="si-LK"/>
        </w:rPr>
        <w:t>especially foreign direct investment</w:t>
      </w:r>
      <w:r w:rsidR="00627C69" w:rsidRPr="00C6011E">
        <w:rPr>
          <w:rFonts w:ascii="Calibri" w:hAnsi="Calibri" w:cs="Calibri"/>
          <w:lang w:bidi="si-LK"/>
        </w:rPr>
        <w:t xml:space="preserve"> </w:t>
      </w:r>
      <w:r w:rsidR="00D52FFA" w:rsidRPr="00C6011E">
        <w:rPr>
          <w:rFonts w:ascii="Calibri" w:hAnsi="Calibri" w:cs="Calibri"/>
          <w:lang w:bidi="si-LK"/>
        </w:rPr>
        <w:t xml:space="preserve">(FDI) </w:t>
      </w:r>
      <w:r w:rsidR="00627C69" w:rsidRPr="00C6011E">
        <w:rPr>
          <w:rFonts w:ascii="Calibri" w:hAnsi="Calibri" w:cs="Calibri"/>
          <w:lang w:bidi="si-LK"/>
        </w:rPr>
        <w:t>(IMF 2009; Van Parys and James 2010)</w:t>
      </w:r>
      <w:r w:rsidRPr="00C6011E">
        <w:rPr>
          <w:rFonts w:ascii="Calibri" w:hAnsi="Calibri" w:cs="Calibri"/>
          <w:lang w:bidi="si-LK"/>
        </w:rPr>
        <w:t xml:space="preserve">. There is limited research on the impacts of Indonesia’s specific tax holidays and incentives on new investment activity. Of the few studies that exist, the results are mixed; for instance, </w:t>
      </w:r>
      <w:proofErr w:type="spellStart"/>
      <w:r w:rsidRPr="00C6011E">
        <w:rPr>
          <w:rFonts w:ascii="Calibri" w:hAnsi="Calibri" w:cs="Calibri"/>
          <w:lang w:bidi="si-LK"/>
        </w:rPr>
        <w:t>Nuryani</w:t>
      </w:r>
      <w:proofErr w:type="spellEnd"/>
      <w:r w:rsidR="00DC509C" w:rsidRPr="00C6011E">
        <w:rPr>
          <w:rFonts w:ascii="Calibri" w:hAnsi="Calibri" w:cs="Calibri"/>
          <w:lang w:bidi="si-LK"/>
        </w:rPr>
        <w:t xml:space="preserve"> et al. </w:t>
      </w:r>
      <w:r w:rsidRPr="00C6011E">
        <w:rPr>
          <w:rFonts w:ascii="Calibri" w:hAnsi="Calibri" w:cs="Calibri"/>
          <w:lang w:bidi="si-LK"/>
        </w:rPr>
        <w:t xml:space="preserve">(2022) and Tovi (2022) fail to find an impact of tax holidays, whereas Bella and </w:t>
      </w:r>
      <w:proofErr w:type="spellStart"/>
      <w:r w:rsidRPr="00C6011E">
        <w:rPr>
          <w:rFonts w:ascii="Calibri" w:hAnsi="Calibri" w:cs="Calibri"/>
          <w:lang w:bidi="si-LK"/>
        </w:rPr>
        <w:t>Yudianto</w:t>
      </w:r>
      <w:proofErr w:type="spellEnd"/>
      <w:r w:rsidRPr="00C6011E">
        <w:rPr>
          <w:rFonts w:ascii="Calibri" w:hAnsi="Calibri" w:cs="Calibri"/>
          <w:lang w:bidi="si-LK"/>
        </w:rPr>
        <w:t xml:space="preserve"> (2021) find a positive impact on FDI inflows. Several studies have investigated the impact on output, exports, employment, and productivity of </w:t>
      </w:r>
      <w:proofErr w:type="gramStart"/>
      <w:r w:rsidRPr="00C6011E">
        <w:rPr>
          <w:rFonts w:ascii="Calibri" w:hAnsi="Calibri" w:cs="Calibri"/>
          <w:lang w:bidi="si-LK"/>
        </w:rPr>
        <w:t>SEZs</w:t>
      </w:r>
      <w:proofErr w:type="gramEnd"/>
      <w:r w:rsidRPr="00C6011E">
        <w:rPr>
          <w:rFonts w:ascii="Calibri" w:hAnsi="Calibri" w:cs="Calibri"/>
          <w:lang w:bidi="si-LK"/>
        </w:rPr>
        <w:t xml:space="preserve"> but most find limited, absent, or mixed impacts</w:t>
      </w:r>
      <w:r w:rsidR="003F21C0" w:rsidRPr="00C6011E">
        <w:rPr>
          <w:rFonts w:ascii="Calibri" w:hAnsi="Calibri" w:cs="Calibri"/>
          <w:lang w:bidi="si-LK"/>
        </w:rPr>
        <w:t xml:space="preserve"> (</w:t>
      </w:r>
      <w:r w:rsidR="00407705" w:rsidRPr="00C6011E">
        <w:rPr>
          <w:rFonts w:ascii="Calibri" w:hAnsi="Calibri" w:cs="Calibri"/>
          <w:lang w:bidi="si-LK"/>
        </w:rPr>
        <w:t>for example</w:t>
      </w:r>
      <w:r w:rsidR="003F21C0" w:rsidRPr="00C6011E">
        <w:rPr>
          <w:rFonts w:ascii="Calibri" w:hAnsi="Calibri" w:cs="Calibri"/>
          <w:lang w:bidi="si-LK"/>
        </w:rPr>
        <w:t xml:space="preserve">, </w:t>
      </w:r>
      <w:proofErr w:type="spellStart"/>
      <w:r w:rsidR="003F21C0" w:rsidRPr="00C6011E">
        <w:rPr>
          <w:rFonts w:ascii="Calibri" w:hAnsi="Calibri" w:cs="Calibri"/>
          <w:lang w:bidi="si-LK"/>
        </w:rPr>
        <w:t>Aritenang</w:t>
      </w:r>
      <w:proofErr w:type="spellEnd"/>
      <w:r w:rsidR="003F21C0" w:rsidRPr="00C6011E">
        <w:rPr>
          <w:rFonts w:ascii="Calibri" w:hAnsi="Calibri" w:cs="Calibri"/>
          <w:lang w:bidi="si-LK"/>
        </w:rPr>
        <w:t xml:space="preserve"> and </w:t>
      </w:r>
      <w:proofErr w:type="spellStart"/>
      <w:r w:rsidR="003F21C0" w:rsidRPr="00C6011E">
        <w:rPr>
          <w:rFonts w:ascii="Calibri" w:hAnsi="Calibri" w:cs="Calibri"/>
          <w:lang w:bidi="si-LK"/>
        </w:rPr>
        <w:t>Chandramidi</w:t>
      </w:r>
      <w:proofErr w:type="spellEnd"/>
      <w:r w:rsidR="003F21C0" w:rsidRPr="00C6011E">
        <w:rPr>
          <w:rFonts w:ascii="Calibri" w:hAnsi="Calibri" w:cs="Calibri"/>
          <w:lang w:bidi="si-LK"/>
        </w:rPr>
        <w:t xml:space="preserve"> 20</w:t>
      </w:r>
      <w:r w:rsidR="00C470BC" w:rsidRPr="00C6011E">
        <w:rPr>
          <w:rFonts w:ascii="Calibri" w:hAnsi="Calibri" w:cs="Calibri"/>
          <w:lang w:bidi="si-LK"/>
        </w:rPr>
        <w:t>20</w:t>
      </w:r>
      <w:r w:rsidR="003F21C0" w:rsidRPr="00C6011E">
        <w:rPr>
          <w:rFonts w:ascii="Calibri" w:hAnsi="Calibri" w:cs="Calibri"/>
          <w:lang w:bidi="si-LK"/>
        </w:rPr>
        <w:t>; Negara and Hutchinson 2018; Wicaksono and Mangunsong 202</w:t>
      </w:r>
      <w:r w:rsidR="00142D3F" w:rsidRPr="00C6011E">
        <w:rPr>
          <w:rFonts w:ascii="Calibri" w:hAnsi="Calibri" w:cs="Calibri"/>
          <w:lang w:bidi="si-LK"/>
        </w:rPr>
        <w:t>3</w:t>
      </w:r>
      <w:r w:rsidR="003F21C0" w:rsidRPr="00C6011E">
        <w:rPr>
          <w:rFonts w:ascii="Calibri" w:hAnsi="Calibri" w:cs="Calibri"/>
          <w:lang w:bidi="si-LK"/>
        </w:rPr>
        <w:t>; Rothenberg et al</w:t>
      </w:r>
      <w:r w:rsidR="004B2AE6" w:rsidRPr="00C6011E">
        <w:rPr>
          <w:rFonts w:ascii="Calibri" w:hAnsi="Calibri" w:cs="Calibri"/>
          <w:lang w:bidi="si-LK"/>
        </w:rPr>
        <w:t>.</w:t>
      </w:r>
      <w:r w:rsidR="003F21C0" w:rsidRPr="00C6011E">
        <w:rPr>
          <w:rFonts w:ascii="Calibri" w:hAnsi="Calibri" w:cs="Calibri"/>
          <w:lang w:bidi="si-LK"/>
        </w:rPr>
        <w:t xml:space="preserve"> 2017)</w:t>
      </w:r>
      <w:r w:rsidRPr="00C6011E">
        <w:rPr>
          <w:rFonts w:ascii="Calibri" w:hAnsi="Calibri" w:cs="Calibri"/>
          <w:lang w:bidi="si-LK"/>
        </w:rPr>
        <w:t>. Moreover, tax incentives introduce distortions in the tax system</w:t>
      </w:r>
      <w:r w:rsidR="0043063E" w:rsidRPr="00C6011E">
        <w:rPr>
          <w:rStyle w:val="FootnoteReference"/>
          <w:rFonts w:ascii="Calibri" w:hAnsi="Calibri" w:cs="Calibri"/>
          <w:lang w:bidi="si-LK"/>
        </w:rPr>
        <w:footnoteReference w:id="46"/>
      </w:r>
      <w:r w:rsidRPr="00C6011E">
        <w:rPr>
          <w:rFonts w:ascii="Calibri" w:hAnsi="Calibri" w:cs="Calibri"/>
          <w:lang w:bidi="si-LK"/>
        </w:rPr>
        <w:t xml:space="preserve"> and create opportunities for tax planning and avoidance</w:t>
      </w:r>
      <w:r w:rsidR="00DB39E4" w:rsidRPr="00C6011E">
        <w:rPr>
          <w:rFonts w:ascii="Calibri" w:hAnsi="Calibri" w:cs="Calibri"/>
          <w:lang w:bidi="si-LK"/>
        </w:rPr>
        <w:t xml:space="preserve"> (and evasion)</w:t>
      </w:r>
      <w:r w:rsidRPr="00C6011E">
        <w:rPr>
          <w:rFonts w:ascii="Calibri" w:hAnsi="Calibri" w:cs="Calibri"/>
          <w:lang w:bidi="si-LK"/>
        </w:rPr>
        <w:t>, as businesses strategically structure their operations or transactions to exploit preferential tax treatments.</w:t>
      </w:r>
    </w:p>
    <w:p w14:paraId="3DBFAEC7" w14:textId="6F20B110" w:rsidR="00130BE0" w:rsidRPr="00A84A08" w:rsidRDefault="00130BE0" w:rsidP="00130BE0">
      <w:pPr>
        <w:pStyle w:val="ListParagraph"/>
        <w:numPr>
          <w:ilvl w:val="0"/>
          <w:numId w:val="12"/>
        </w:numPr>
        <w:spacing w:before="240"/>
        <w:ind w:left="0" w:firstLine="0"/>
        <w:contextualSpacing w:val="0"/>
        <w:jc w:val="both"/>
        <w:rPr>
          <w:rFonts w:ascii="Calibri" w:hAnsi="Calibri" w:cs="Calibri"/>
          <w:lang w:bidi="si-LK"/>
        </w:rPr>
      </w:pPr>
      <w:r w:rsidRPr="00DB4C0D">
        <w:rPr>
          <w:rFonts w:ascii="Calibri" w:hAnsi="Calibri" w:cs="Calibri"/>
          <w:b/>
          <w:lang w:bidi="si-LK"/>
        </w:rPr>
        <w:t>Profits-based tax incentives, such as CIT holidays and partial rate reductions, are less efficient than cost-based tax incentives, such as tax allowances and super deductions (IMF et al</w:t>
      </w:r>
      <w:r w:rsidR="00103CAC">
        <w:rPr>
          <w:rFonts w:ascii="Calibri" w:hAnsi="Calibri" w:cs="Calibri"/>
          <w:b/>
          <w:lang w:bidi="si-LK"/>
        </w:rPr>
        <w:t>.</w:t>
      </w:r>
      <w:r w:rsidRPr="00DB4C0D">
        <w:rPr>
          <w:rFonts w:ascii="Calibri" w:hAnsi="Calibri" w:cs="Calibri"/>
          <w:b/>
          <w:lang w:bidi="si-LK"/>
        </w:rPr>
        <w:t xml:space="preserve"> 2015).</w:t>
      </w:r>
      <w:r w:rsidRPr="00DB4C0D">
        <w:rPr>
          <w:rFonts w:ascii="Calibri" w:hAnsi="Calibri" w:cs="Calibri"/>
          <w:lang w:bidi="si-LK"/>
        </w:rPr>
        <w:t xml:space="preserve"> The former are calculated based on a business’s profits. They raise the profitability of profit-making businesses (but not of loss-making businesses</w:t>
      </w:r>
      <w:r w:rsidR="00407705">
        <w:rPr>
          <w:rFonts w:ascii="Calibri" w:hAnsi="Calibri" w:cs="Calibri"/>
          <w:lang w:bidi="si-LK"/>
        </w:rPr>
        <w:t>),</w:t>
      </w:r>
      <w:r>
        <w:rPr>
          <w:rStyle w:val="FootnoteReference"/>
          <w:rFonts w:ascii="Calibri" w:hAnsi="Calibri" w:cs="Calibri"/>
          <w:lang w:bidi="si-LK"/>
        </w:rPr>
        <w:footnoteReference w:id="47"/>
      </w:r>
      <w:r w:rsidRPr="00DB4C0D">
        <w:rPr>
          <w:rFonts w:ascii="Calibri" w:hAnsi="Calibri" w:cs="Calibri"/>
          <w:lang w:bidi="si-LK"/>
        </w:rPr>
        <w:t xml:space="preserve"> and hence benefit activities that might have proceeded anyway. By contrast, cost-based tax incentives increase the deductions that firms can claim when calculating gross profits. They can</w:t>
      </w:r>
      <w:r w:rsidR="00407705">
        <w:rPr>
          <w:rFonts w:ascii="Calibri" w:hAnsi="Calibri" w:cs="Calibri"/>
          <w:lang w:bidi="si-LK"/>
        </w:rPr>
        <w:t>, therefore,</w:t>
      </w:r>
      <w:r w:rsidRPr="00DB4C0D">
        <w:rPr>
          <w:rFonts w:ascii="Calibri" w:hAnsi="Calibri" w:cs="Calibri"/>
          <w:lang w:bidi="si-LK"/>
        </w:rPr>
        <w:t xml:space="preserve"> switch a business into profitable territory and catalyze new investment that otherwise would not occur. While a significant rationalization of Indonesia’s tax incentives might be a favorable but politically difficult policy choice, Indonesia could at least aim to raise the efficiency of its tax incentives by narrowing eligibility of tax holidays and replacing them with cost-based alternatives. </w:t>
      </w:r>
    </w:p>
    <w:p w14:paraId="7DA0DC49" w14:textId="5076D0A8" w:rsidR="00130BE0" w:rsidRPr="00A17575" w:rsidRDefault="003B18F8" w:rsidP="00130BE0">
      <w:pPr>
        <w:pStyle w:val="ListParagraph"/>
        <w:numPr>
          <w:ilvl w:val="0"/>
          <w:numId w:val="12"/>
        </w:numPr>
        <w:spacing w:before="240"/>
        <w:ind w:left="0" w:firstLine="0"/>
        <w:contextualSpacing w:val="0"/>
        <w:jc w:val="both"/>
        <w:rPr>
          <w:rFonts w:cstheme="minorHAnsi"/>
          <w:lang w:bidi="si-LK"/>
        </w:rPr>
      </w:pPr>
      <w:r>
        <w:rPr>
          <w:rFonts w:cstheme="minorHAnsi"/>
          <w:b/>
          <w:bCs/>
          <w:lang w:bidi="si-LK"/>
        </w:rPr>
        <w:t>T</w:t>
      </w:r>
      <w:r w:rsidR="00130BE0" w:rsidRPr="00A17575">
        <w:rPr>
          <w:rFonts w:cstheme="minorHAnsi"/>
          <w:b/>
          <w:bCs/>
          <w:lang w:bidi="si-LK"/>
        </w:rPr>
        <w:t xml:space="preserve">he uptake of these various tax incentives in Indonesia has been limited over the years. </w:t>
      </w:r>
      <w:r w:rsidR="00130BE0" w:rsidRPr="00A17575">
        <w:rPr>
          <w:rFonts w:cstheme="minorHAnsi"/>
          <w:lang w:bidi="si-LK"/>
        </w:rPr>
        <w:t xml:space="preserve">For example, between 2011 and 2015, only five businesses successfully applied for tax </w:t>
      </w:r>
      <w:r w:rsidR="000430B4" w:rsidRPr="00A17575">
        <w:rPr>
          <w:rFonts w:cstheme="minorHAnsi"/>
          <w:lang w:bidi="si-LK"/>
        </w:rPr>
        <w:t>holidays:</w:t>
      </w:r>
      <w:r w:rsidR="00130BE0" w:rsidRPr="00A17575">
        <w:rPr>
          <w:rFonts w:cstheme="minorHAnsi"/>
          <w:lang w:bidi="si-LK"/>
        </w:rPr>
        <w:t xml:space="preserve"> two of them in 2011 and </w:t>
      </w:r>
      <w:r w:rsidR="00407705">
        <w:rPr>
          <w:rFonts w:cstheme="minorHAnsi"/>
          <w:lang w:bidi="si-LK"/>
        </w:rPr>
        <w:t>three</w:t>
      </w:r>
      <w:r w:rsidR="00130BE0" w:rsidRPr="00A17575">
        <w:rPr>
          <w:rFonts w:cstheme="minorHAnsi"/>
          <w:lang w:bidi="si-LK"/>
        </w:rPr>
        <w:t xml:space="preserve"> in 2015 (Tovi 2022). In 2016 no new businesses received tax holidays, while one received a tax allowance. In 2017, no firms applied for tax holidays but then in 2018 there were </w:t>
      </w:r>
      <w:r w:rsidR="00407705">
        <w:rPr>
          <w:rFonts w:cstheme="minorHAnsi"/>
          <w:lang w:bidi="si-LK"/>
        </w:rPr>
        <w:t>eight</w:t>
      </w:r>
      <w:r w:rsidR="00130BE0" w:rsidRPr="00A17575">
        <w:rPr>
          <w:rFonts w:cstheme="minorHAnsi"/>
          <w:lang w:bidi="si-LK"/>
        </w:rPr>
        <w:t xml:space="preserve"> successful appli</w:t>
      </w:r>
      <w:r w:rsidR="00407705">
        <w:rPr>
          <w:rFonts w:cstheme="minorHAnsi"/>
          <w:lang w:bidi="si-LK"/>
        </w:rPr>
        <w:t>cants</w:t>
      </w:r>
      <w:r w:rsidR="00130BE0" w:rsidRPr="00A17575">
        <w:rPr>
          <w:rFonts w:cstheme="minorHAnsi"/>
          <w:lang w:bidi="si-LK"/>
        </w:rPr>
        <w:t xml:space="preserve">. Data on more recent outcomes is not on hand but data on </w:t>
      </w:r>
      <w:r w:rsidR="00D84EFA">
        <w:rPr>
          <w:rFonts w:cstheme="minorHAnsi"/>
          <w:lang w:bidi="si-LK"/>
        </w:rPr>
        <w:t xml:space="preserve">the claimed benefits </w:t>
      </w:r>
      <w:r w:rsidR="00130BE0" w:rsidRPr="00A17575">
        <w:rPr>
          <w:rFonts w:cstheme="minorHAnsi"/>
          <w:lang w:bidi="si-LK"/>
        </w:rPr>
        <w:t xml:space="preserve">suggests that participation remains surprisingly limited. </w:t>
      </w:r>
      <w:r w:rsidR="00130BE0">
        <w:rPr>
          <w:rFonts w:cstheme="minorHAnsi"/>
          <w:lang w:bidi="si-LK"/>
        </w:rPr>
        <w:t>T</w:t>
      </w:r>
      <w:r w:rsidR="00130BE0" w:rsidRPr="00A17575">
        <w:rPr>
          <w:rFonts w:cstheme="minorHAnsi"/>
          <w:lang w:bidi="si-LK"/>
        </w:rPr>
        <w:t>he low uptake reinforces the view that, at the margin, tax considerations are a second-order concern for businesses looking to invest, and they are frequently trumped by other constraints of the investment climate. In lower- and middle-</w:t>
      </w:r>
      <w:r w:rsidR="00130BE0" w:rsidRPr="00A17575">
        <w:rPr>
          <w:rFonts w:cstheme="minorHAnsi"/>
          <w:lang w:bidi="si-LK"/>
        </w:rPr>
        <w:lastRenderedPageBreak/>
        <w:t xml:space="preserve">income countries, investor surveys typically find that a large majority of respondents would have proceeded with their investments even without the tax incentives that they were offered (James 2020). </w:t>
      </w:r>
    </w:p>
    <w:p w14:paraId="1F2FCE1D" w14:textId="4D228737" w:rsidR="00130BE0" w:rsidRDefault="00130BE0" w:rsidP="00130BE0">
      <w:pPr>
        <w:pStyle w:val="ListParagraph"/>
        <w:numPr>
          <w:ilvl w:val="0"/>
          <w:numId w:val="12"/>
        </w:numPr>
        <w:spacing w:before="240"/>
        <w:ind w:left="0" w:firstLine="0"/>
        <w:contextualSpacing w:val="0"/>
        <w:jc w:val="both"/>
      </w:pPr>
      <w:r w:rsidRPr="00A17575">
        <w:rPr>
          <w:b/>
          <w:bCs/>
        </w:rPr>
        <w:t>Tax incentives create a fiscal burden that governments must weigh up against the economic benefits being delivered.</w:t>
      </w:r>
      <w:r>
        <w:t xml:space="preserve"> Each incentive lowers the revenues that government would otherwise receive from some tax instrument</w:t>
      </w:r>
      <w:r w:rsidR="00407705">
        <w:rPr>
          <w:rFonts w:cstheme="minorHAnsi"/>
        </w:rPr>
        <w:t>–</w:t>
      </w:r>
      <w:r>
        <w:t>under the assumption that the benefiting business activity would have proceeded anyway. These foregone revenues are referred to as tax expenditures.</w:t>
      </w:r>
      <w:r w:rsidR="00381250">
        <w:rPr>
          <w:rStyle w:val="FootnoteReference"/>
        </w:rPr>
        <w:footnoteReference w:id="48"/>
      </w:r>
      <w:r>
        <w:t xml:space="preserve"> The Indonesian government publishes an annual Tax Expenditure Report with </w:t>
      </w:r>
      <w:r w:rsidR="00600040">
        <w:t xml:space="preserve">details </w:t>
      </w:r>
      <w:r>
        <w:t>of several tax expenditures.</w:t>
      </w:r>
      <w:r w:rsidR="00B4043F">
        <w:t xml:space="preserve"> </w:t>
      </w:r>
      <w:r w:rsidR="00AF24C3">
        <w:t>T</w:t>
      </w:r>
      <w:r w:rsidR="004A2F20">
        <w:t xml:space="preserve">he </w:t>
      </w:r>
      <w:r w:rsidR="00703887">
        <w:t>report</w:t>
      </w:r>
      <w:r w:rsidR="00B539C8">
        <w:t xml:space="preserve"> </w:t>
      </w:r>
      <w:r w:rsidR="00314C08">
        <w:t xml:space="preserve">includes </w:t>
      </w:r>
      <w:r w:rsidR="003405B5">
        <w:t xml:space="preserve">sensible estimates </w:t>
      </w:r>
      <w:r w:rsidR="00F134D0">
        <w:t xml:space="preserve">of </w:t>
      </w:r>
      <w:r w:rsidR="00E52B14">
        <w:t xml:space="preserve">tax revenue </w:t>
      </w:r>
      <w:r w:rsidR="00F134D0">
        <w:t>losses</w:t>
      </w:r>
      <w:r w:rsidR="00344CEC">
        <w:rPr>
          <w:rFonts w:cstheme="minorHAnsi"/>
        </w:rPr>
        <w:t>–</w:t>
      </w:r>
      <w:r w:rsidR="00E52B14">
        <w:t xml:space="preserve">although accuracy can sometimes be limited by data constraints. </w:t>
      </w:r>
      <w:r w:rsidR="00900E5C">
        <w:t>Unfortunately</w:t>
      </w:r>
      <w:r w:rsidR="00573AB2">
        <w:t xml:space="preserve">, </w:t>
      </w:r>
      <w:r w:rsidR="00B4043F">
        <w:t xml:space="preserve">a comprehensive assessment of the </w:t>
      </w:r>
      <w:r w:rsidR="00B539C8">
        <w:t xml:space="preserve">corresponding </w:t>
      </w:r>
      <w:r w:rsidR="00B4043F">
        <w:t xml:space="preserve">economic </w:t>
      </w:r>
      <w:r w:rsidR="00CE3E6D">
        <w:t xml:space="preserve">benefits of </w:t>
      </w:r>
      <w:r w:rsidR="00B539C8">
        <w:t xml:space="preserve">these </w:t>
      </w:r>
      <w:r w:rsidR="00CE3E6D">
        <w:t>tax expenditures is not available.</w:t>
      </w:r>
      <w:r>
        <w:t xml:space="preserve"> </w:t>
      </w:r>
    </w:p>
    <w:tbl>
      <w:tblPr>
        <w:tblStyle w:val="TableGrid3"/>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696"/>
      </w:tblGrid>
      <w:tr w:rsidR="00130BE0" w:rsidRPr="005A4F3D" w14:paraId="1751E3DB" w14:textId="77777777">
        <w:trPr>
          <w:trHeight w:val="432"/>
        </w:trPr>
        <w:tc>
          <w:tcPr>
            <w:tcW w:w="4844" w:type="dxa"/>
            <w:vMerge w:val="restart"/>
          </w:tcPr>
          <w:p w14:paraId="0802F01A" w14:textId="6A9E2840" w:rsidR="00130BE0" w:rsidRPr="005A4F3D" w:rsidRDefault="00130BE0">
            <w:pPr>
              <w:pStyle w:val="ListParagraph"/>
              <w:numPr>
                <w:ilvl w:val="0"/>
                <w:numId w:val="12"/>
              </w:numPr>
              <w:ind w:left="0" w:firstLine="0"/>
              <w:contextualSpacing w:val="0"/>
              <w:jc w:val="both"/>
              <w:rPr>
                <w:rFonts w:asciiTheme="minorHAnsi" w:hAnsiTheme="minorHAnsi" w:cstheme="minorHAnsi"/>
                <w:color w:val="000000" w:themeColor="text1"/>
                <w:sz w:val="22"/>
                <w:szCs w:val="22"/>
              </w:rPr>
            </w:pPr>
            <w:r w:rsidRPr="00E118B4">
              <w:rPr>
                <w:rFonts w:asciiTheme="minorHAnsi" w:hAnsiTheme="minorHAnsi" w:cstheme="minorHAnsi"/>
                <w:b/>
                <w:sz w:val="22"/>
                <w:szCs w:val="22"/>
              </w:rPr>
              <w:t xml:space="preserve">Estimates </w:t>
            </w:r>
            <w:proofErr w:type="gramStart"/>
            <w:r w:rsidRPr="00E118B4">
              <w:rPr>
                <w:rFonts w:asciiTheme="minorHAnsi" w:hAnsiTheme="minorHAnsi" w:cstheme="minorHAnsi"/>
                <w:b/>
                <w:sz w:val="22"/>
                <w:szCs w:val="22"/>
              </w:rPr>
              <w:t>since</w:t>
            </w:r>
            <w:proofErr w:type="gramEnd"/>
            <w:r w:rsidRPr="00E118B4">
              <w:rPr>
                <w:rFonts w:asciiTheme="minorHAnsi" w:hAnsiTheme="minorHAnsi" w:cstheme="minorHAnsi"/>
                <w:b/>
                <w:sz w:val="22"/>
                <w:szCs w:val="22"/>
              </w:rPr>
              <w:t xml:space="preserve"> the mid-2010s point to a raft of tax expenditures with a combined fiscal burden of </w:t>
            </w:r>
            <w:r w:rsidR="003829C2">
              <w:rPr>
                <w:rFonts w:asciiTheme="minorHAnsi" w:hAnsiTheme="minorHAnsi" w:cstheme="minorHAnsi"/>
                <w:b/>
                <w:sz w:val="22"/>
                <w:szCs w:val="22"/>
              </w:rPr>
              <w:t>about</w:t>
            </w:r>
            <w:r w:rsidRPr="00E118B4">
              <w:rPr>
                <w:rFonts w:asciiTheme="minorHAnsi" w:hAnsiTheme="minorHAnsi" w:cstheme="minorHAnsi"/>
                <w:b/>
                <w:sz w:val="22"/>
                <w:szCs w:val="22"/>
              </w:rPr>
              <w:t xml:space="preserve"> 0.6</w:t>
            </w:r>
            <w:r w:rsidR="006822F9">
              <w:rPr>
                <w:rFonts w:asciiTheme="minorHAnsi" w:hAnsiTheme="minorHAnsi" w:cstheme="minorHAnsi"/>
                <w:b/>
                <w:sz w:val="22"/>
                <w:szCs w:val="22"/>
              </w:rPr>
              <w:t xml:space="preserve"> to 0.7</w:t>
            </w:r>
            <w:r w:rsidRPr="00E118B4">
              <w:rPr>
                <w:rFonts w:asciiTheme="minorHAnsi" w:hAnsiTheme="minorHAnsi" w:cstheme="minorHAnsi"/>
                <w:b/>
                <w:sz w:val="22"/>
                <w:szCs w:val="22"/>
              </w:rPr>
              <w:t xml:space="preserve"> percent of GDP (Figure </w:t>
            </w:r>
            <w:r>
              <w:rPr>
                <w:rFonts w:asciiTheme="minorHAnsi" w:hAnsiTheme="minorHAnsi" w:cstheme="minorHAnsi"/>
                <w:b/>
                <w:sz w:val="22"/>
                <w:szCs w:val="22"/>
              </w:rPr>
              <w:t>2.</w:t>
            </w:r>
            <w:r w:rsidR="000F1DC0">
              <w:rPr>
                <w:rFonts w:asciiTheme="minorHAnsi" w:hAnsiTheme="minorHAnsi" w:cstheme="minorHAnsi"/>
                <w:b/>
                <w:sz w:val="22"/>
                <w:szCs w:val="22"/>
              </w:rPr>
              <w:t>8</w:t>
            </w:r>
            <w:r w:rsidRPr="00E118B4">
              <w:rPr>
                <w:rFonts w:asciiTheme="minorHAnsi" w:hAnsiTheme="minorHAnsi" w:cstheme="minorHAnsi"/>
                <w:b/>
                <w:sz w:val="22"/>
                <w:szCs w:val="22"/>
              </w:rPr>
              <w:t xml:space="preserve">). </w:t>
            </w:r>
            <w:r w:rsidRPr="00E118B4">
              <w:rPr>
                <w:rFonts w:asciiTheme="minorHAnsi" w:hAnsiTheme="minorHAnsi" w:cstheme="minorHAnsi"/>
                <w:sz w:val="22"/>
                <w:szCs w:val="22"/>
              </w:rPr>
              <w:t>In 202</w:t>
            </w:r>
            <w:r w:rsidR="006822F9">
              <w:rPr>
                <w:rFonts w:asciiTheme="minorHAnsi" w:hAnsiTheme="minorHAnsi" w:cstheme="minorHAnsi"/>
                <w:sz w:val="22"/>
                <w:szCs w:val="22"/>
              </w:rPr>
              <w:t>2</w:t>
            </w:r>
            <w:r w:rsidRPr="00E118B4">
              <w:rPr>
                <w:rFonts w:asciiTheme="minorHAnsi" w:hAnsiTheme="minorHAnsi" w:cstheme="minorHAnsi"/>
                <w:sz w:val="22"/>
                <w:szCs w:val="22"/>
              </w:rPr>
              <w:t xml:space="preserve">, tax </w:t>
            </w:r>
            <w:r w:rsidRPr="00F05E3C">
              <w:rPr>
                <w:rFonts w:asciiTheme="minorHAnsi" w:hAnsiTheme="minorHAnsi" w:cstheme="minorHAnsi"/>
                <w:sz w:val="22"/>
                <w:szCs w:val="22"/>
              </w:rPr>
              <w:t xml:space="preserve">expenditures for </w:t>
            </w:r>
            <w:r w:rsidR="006822F9">
              <w:rPr>
                <w:rFonts w:asciiTheme="minorHAnsi" w:hAnsiTheme="minorHAnsi" w:cstheme="minorHAnsi"/>
                <w:sz w:val="22"/>
                <w:szCs w:val="22"/>
              </w:rPr>
              <w:t xml:space="preserve">MSMEs </w:t>
            </w:r>
            <w:r w:rsidRPr="00F05E3C">
              <w:rPr>
                <w:rFonts w:asciiTheme="minorHAnsi" w:hAnsiTheme="minorHAnsi" w:cstheme="minorHAnsi"/>
                <w:sz w:val="22"/>
                <w:szCs w:val="22"/>
              </w:rPr>
              <w:t>were significant and account</w:t>
            </w:r>
            <w:r w:rsidR="00B521E1">
              <w:rPr>
                <w:rFonts w:asciiTheme="minorHAnsi" w:hAnsiTheme="minorHAnsi" w:cstheme="minorHAnsi"/>
                <w:sz w:val="22"/>
                <w:szCs w:val="22"/>
              </w:rPr>
              <w:t>ed</w:t>
            </w:r>
            <w:r w:rsidRPr="00F05E3C">
              <w:rPr>
                <w:rFonts w:asciiTheme="minorHAnsi" w:hAnsiTheme="minorHAnsi" w:cstheme="minorHAnsi"/>
                <w:sz w:val="22"/>
                <w:szCs w:val="22"/>
              </w:rPr>
              <w:t xml:space="preserve"> for average foregone revenues of 0.1</w:t>
            </w:r>
            <w:r w:rsidR="008C033A">
              <w:rPr>
                <w:rFonts w:asciiTheme="minorHAnsi" w:hAnsiTheme="minorHAnsi" w:cstheme="minorHAnsi"/>
                <w:sz w:val="22"/>
                <w:szCs w:val="22"/>
              </w:rPr>
              <w:t>0</w:t>
            </w:r>
            <w:r w:rsidRPr="00F05E3C">
              <w:rPr>
                <w:rFonts w:asciiTheme="minorHAnsi" w:hAnsiTheme="minorHAnsi" w:cstheme="minorHAnsi"/>
                <w:sz w:val="22"/>
                <w:szCs w:val="22"/>
              </w:rPr>
              <w:t xml:space="preserve"> percent of GDP. This includes the reduced CIT rate of 11 percent and the AFT for MSMEs. The reduced CIT rate for publicly</w:t>
            </w:r>
            <w:r w:rsidR="005C3781">
              <w:rPr>
                <w:rFonts w:asciiTheme="minorHAnsi" w:hAnsiTheme="minorHAnsi" w:cstheme="minorHAnsi"/>
                <w:sz w:val="22"/>
                <w:szCs w:val="22"/>
              </w:rPr>
              <w:t xml:space="preserve"> </w:t>
            </w:r>
            <w:r w:rsidRPr="00F05E3C">
              <w:rPr>
                <w:rFonts w:asciiTheme="minorHAnsi" w:hAnsiTheme="minorHAnsi" w:cstheme="minorHAnsi"/>
                <w:sz w:val="22"/>
                <w:szCs w:val="22"/>
              </w:rPr>
              <w:t xml:space="preserve">listed corporations </w:t>
            </w:r>
            <w:proofErr w:type="gramStart"/>
            <w:r w:rsidRPr="00F05E3C">
              <w:rPr>
                <w:rFonts w:asciiTheme="minorHAnsi" w:hAnsiTheme="minorHAnsi" w:cstheme="minorHAnsi"/>
                <w:sz w:val="22"/>
                <w:szCs w:val="22"/>
              </w:rPr>
              <w:t>cost</w:t>
            </w:r>
            <w:r w:rsidR="009A0CA0">
              <w:rPr>
                <w:rFonts w:asciiTheme="minorHAnsi" w:hAnsiTheme="minorHAnsi" w:cstheme="minorHAnsi"/>
                <w:sz w:val="22"/>
                <w:szCs w:val="22"/>
              </w:rPr>
              <w:t>ed</w:t>
            </w:r>
            <w:proofErr w:type="gramEnd"/>
            <w:r w:rsidRPr="00F05E3C">
              <w:rPr>
                <w:rFonts w:asciiTheme="minorHAnsi" w:hAnsiTheme="minorHAnsi" w:cstheme="minorHAnsi"/>
                <w:sz w:val="22"/>
                <w:szCs w:val="22"/>
              </w:rPr>
              <w:t xml:space="preserve"> </w:t>
            </w:r>
            <w:proofErr w:type="gramStart"/>
            <w:r w:rsidRPr="00F05E3C">
              <w:rPr>
                <w:rFonts w:asciiTheme="minorHAnsi" w:hAnsiTheme="minorHAnsi" w:cstheme="minorHAnsi"/>
                <w:sz w:val="22"/>
                <w:szCs w:val="22"/>
              </w:rPr>
              <w:t>government</w:t>
            </w:r>
            <w:proofErr w:type="gramEnd"/>
            <w:r w:rsidRPr="00F05E3C">
              <w:rPr>
                <w:rFonts w:asciiTheme="minorHAnsi" w:hAnsiTheme="minorHAnsi" w:cstheme="minorHAnsi"/>
                <w:sz w:val="22"/>
                <w:szCs w:val="22"/>
              </w:rPr>
              <w:t xml:space="preserve"> </w:t>
            </w:r>
            <w:r w:rsidR="003829C2">
              <w:rPr>
                <w:rFonts w:asciiTheme="minorHAnsi" w:hAnsiTheme="minorHAnsi" w:cstheme="minorHAnsi"/>
                <w:sz w:val="22"/>
                <w:szCs w:val="22"/>
              </w:rPr>
              <w:t>about</w:t>
            </w:r>
            <w:r w:rsidRPr="00F05E3C">
              <w:rPr>
                <w:rFonts w:asciiTheme="minorHAnsi" w:hAnsiTheme="minorHAnsi" w:cstheme="minorHAnsi"/>
                <w:sz w:val="22"/>
                <w:szCs w:val="22"/>
              </w:rPr>
              <w:t xml:space="preserve"> 0.0</w:t>
            </w:r>
            <w:r w:rsidR="009A0CA0">
              <w:rPr>
                <w:rFonts w:asciiTheme="minorHAnsi" w:hAnsiTheme="minorHAnsi" w:cstheme="minorHAnsi"/>
                <w:sz w:val="22"/>
                <w:szCs w:val="22"/>
              </w:rPr>
              <w:t>4</w:t>
            </w:r>
            <w:r w:rsidRPr="00F05E3C">
              <w:rPr>
                <w:rFonts w:asciiTheme="minorHAnsi" w:hAnsiTheme="minorHAnsi" w:cstheme="minorHAnsi"/>
                <w:sz w:val="22"/>
                <w:szCs w:val="22"/>
              </w:rPr>
              <w:t xml:space="preserve"> percent of GDP, while the </w:t>
            </w:r>
            <w:r>
              <w:rPr>
                <w:rFonts w:asciiTheme="minorHAnsi" w:hAnsiTheme="minorHAnsi" w:cstheme="minorHAnsi"/>
                <w:sz w:val="22"/>
                <w:szCs w:val="22"/>
              </w:rPr>
              <w:t xml:space="preserve">combination of </w:t>
            </w:r>
            <w:r w:rsidRPr="00F05E3C">
              <w:rPr>
                <w:rFonts w:asciiTheme="minorHAnsi" w:hAnsiTheme="minorHAnsi" w:cstheme="minorHAnsi"/>
                <w:sz w:val="22"/>
                <w:szCs w:val="22"/>
              </w:rPr>
              <w:t>tax holidays, allowances</w:t>
            </w:r>
            <w:r>
              <w:rPr>
                <w:rFonts w:asciiTheme="minorHAnsi" w:hAnsiTheme="minorHAnsi" w:cstheme="minorHAnsi"/>
                <w:sz w:val="22"/>
                <w:szCs w:val="22"/>
              </w:rPr>
              <w:t>,</w:t>
            </w:r>
            <w:r w:rsidRPr="00F05E3C">
              <w:rPr>
                <w:rFonts w:asciiTheme="minorHAnsi" w:hAnsiTheme="minorHAnsi" w:cstheme="minorHAnsi"/>
                <w:sz w:val="22"/>
                <w:szCs w:val="22"/>
              </w:rPr>
              <w:t xml:space="preserve"> and super deductions </w:t>
            </w:r>
            <w:proofErr w:type="gramStart"/>
            <w:r w:rsidRPr="00F05E3C">
              <w:rPr>
                <w:rFonts w:asciiTheme="minorHAnsi" w:hAnsiTheme="minorHAnsi" w:cstheme="minorHAnsi"/>
                <w:sz w:val="22"/>
                <w:szCs w:val="22"/>
              </w:rPr>
              <w:t>results</w:t>
            </w:r>
            <w:proofErr w:type="gramEnd"/>
            <w:r w:rsidRPr="00F05E3C">
              <w:rPr>
                <w:rFonts w:asciiTheme="minorHAnsi" w:hAnsiTheme="minorHAnsi" w:cstheme="minorHAnsi"/>
                <w:sz w:val="22"/>
                <w:szCs w:val="22"/>
              </w:rPr>
              <w:t xml:space="preserve"> in tax losses of a further 0.0</w:t>
            </w:r>
            <w:r w:rsidR="00E6260C">
              <w:rPr>
                <w:rFonts w:asciiTheme="minorHAnsi" w:hAnsiTheme="minorHAnsi" w:cstheme="minorHAnsi"/>
                <w:sz w:val="22"/>
                <w:szCs w:val="22"/>
              </w:rPr>
              <w:t>3</w:t>
            </w:r>
            <w:r w:rsidRPr="00F05E3C">
              <w:rPr>
                <w:rFonts w:asciiTheme="minorHAnsi" w:hAnsiTheme="minorHAnsi" w:cstheme="minorHAnsi"/>
                <w:sz w:val="22"/>
                <w:szCs w:val="22"/>
              </w:rPr>
              <w:t xml:space="preserve"> percent of GDP. This latter estimate may also be underestimated, as it is difficult to estimate tax expenditures from tax holidays </w:t>
            </w:r>
            <w:r w:rsidR="00DC104C">
              <w:rPr>
                <w:rFonts w:asciiTheme="minorHAnsi" w:hAnsiTheme="minorHAnsi" w:cstheme="minorHAnsi"/>
                <w:sz w:val="22"/>
                <w:szCs w:val="22"/>
              </w:rPr>
              <w:t xml:space="preserve">in Indonesia, because benefiting firms are not required to </w:t>
            </w:r>
            <w:r w:rsidR="00F80334">
              <w:rPr>
                <w:rFonts w:asciiTheme="minorHAnsi" w:hAnsiTheme="minorHAnsi" w:cstheme="minorHAnsi"/>
                <w:sz w:val="22"/>
                <w:szCs w:val="22"/>
              </w:rPr>
              <w:t xml:space="preserve">file </w:t>
            </w:r>
            <w:r w:rsidR="00DC104C">
              <w:rPr>
                <w:rFonts w:asciiTheme="minorHAnsi" w:hAnsiTheme="minorHAnsi" w:cstheme="minorHAnsi"/>
                <w:sz w:val="22"/>
                <w:szCs w:val="22"/>
              </w:rPr>
              <w:t>a</w:t>
            </w:r>
            <w:r w:rsidR="00F80334">
              <w:rPr>
                <w:rFonts w:asciiTheme="minorHAnsi" w:hAnsiTheme="minorHAnsi" w:cstheme="minorHAnsi"/>
                <w:sz w:val="22"/>
                <w:szCs w:val="22"/>
              </w:rPr>
              <w:t>n income</w:t>
            </w:r>
            <w:r w:rsidR="00DC104C">
              <w:rPr>
                <w:rFonts w:asciiTheme="minorHAnsi" w:hAnsiTheme="minorHAnsi" w:cstheme="minorHAnsi"/>
                <w:sz w:val="22"/>
                <w:szCs w:val="22"/>
              </w:rPr>
              <w:t xml:space="preserve"> tax return.</w:t>
            </w:r>
          </w:p>
        </w:tc>
        <w:tc>
          <w:tcPr>
            <w:tcW w:w="4696" w:type="dxa"/>
          </w:tcPr>
          <w:p w14:paraId="73C1C672" w14:textId="02F77378" w:rsidR="00130BE0" w:rsidRPr="008119EC" w:rsidRDefault="00130BE0" w:rsidP="004E3376">
            <w:pPr>
              <w:pStyle w:val="Caption"/>
              <w:jc w:val="left"/>
              <w:rPr>
                <w:rFonts w:asciiTheme="minorHAnsi" w:hAnsiTheme="minorHAnsi" w:cstheme="minorHAnsi"/>
              </w:rPr>
            </w:pPr>
            <w:bookmarkStart w:id="25" w:name="_Toc177593058"/>
            <w:r w:rsidRPr="008119EC">
              <w:rPr>
                <w:rFonts w:asciiTheme="minorHAnsi" w:hAnsiTheme="minorHAnsi" w:cstheme="minorHAnsi"/>
              </w:rPr>
              <w:t>Figure 2.</w:t>
            </w:r>
            <w:r w:rsidR="006127BC">
              <w:fldChar w:fldCharType="begin"/>
            </w:r>
            <w:r w:rsidR="006127BC">
              <w:instrText xml:space="preserve"> SEQ Figure \* ARABIC \s 1 </w:instrText>
            </w:r>
            <w:r w:rsidR="006127BC">
              <w:fldChar w:fldCharType="separate"/>
            </w:r>
            <w:r w:rsidR="006127BC">
              <w:rPr>
                <w:noProof/>
              </w:rPr>
              <w:t>8</w:t>
            </w:r>
            <w:r w:rsidR="006127BC">
              <w:fldChar w:fldCharType="end"/>
            </w:r>
            <w:r w:rsidRPr="008119EC">
              <w:rPr>
                <w:rFonts w:asciiTheme="minorHAnsi" w:hAnsiTheme="minorHAnsi" w:cstheme="minorHAnsi"/>
              </w:rPr>
              <w:t>: Indonesia’s income tax expenditures</w:t>
            </w:r>
            <w:bookmarkEnd w:id="25"/>
            <w:r w:rsidRPr="008119EC">
              <w:rPr>
                <w:rFonts w:asciiTheme="minorHAnsi" w:hAnsiTheme="minorHAnsi" w:cstheme="minorHAnsi"/>
              </w:rPr>
              <w:t xml:space="preserve"> </w:t>
            </w:r>
          </w:p>
          <w:p w14:paraId="6BE6FBAC" w14:textId="5C9C8149" w:rsidR="00130BE0" w:rsidRPr="0096663B" w:rsidRDefault="00130BE0">
            <w:pPr>
              <w:ind w:hanging="5"/>
              <w:jc w:val="both"/>
              <w:rPr>
                <w:i/>
              </w:rPr>
            </w:pPr>
            <w:r w:rsidRPr="008119EC">
              <w:rPr>
                <w:rFonts w:asciiTheme="minorHAnsi" w:hAnsiTheme="minorHAnsi" w:cstheme="minorHAnsi"/>
                <w:i/>
              </w:rPr>
              <w:t>(percent</w:t>
            </w:r>
            <w:r w:rsidR="00C82CFE">
              <w:rPr>
                <w:rFonts w:asciiTheme="minorHAnsi" w:hAnsiTheme="minorHAnsi" w:cstheme="minorHAnsi"/>
                <w:i/>
              </w:rPr>
              <w:t>age</w:t>
            </w:r>
            <w:r w:rsidRPr="008119EC">
              <w:rPr>
                <w:rFonts w:asciiTheme="minorHAnsi" w:hAnsiTheme="minorHAnsi" w:cstheme="minorHAnsi"/>
                <w:i/>
              </w:rPr>
              <w:t xml:space="preserve"> of GDP)</w:t>
            </w:r>
          </w:p>
        </w:tc>
      </w:tr>
      <w:tr w:rsidR="00130BE0" w:rsidRPr="005A4F3D" w14:paraId="701C61AB" w14:textId="77777777">
        <w:trPr>
          <w:trHeight w:val="3204"/>
        </w:trPr>
        <w:tc>
          <w:tcPr>
            <w:tcW w:w="4844" w:type="dxa"/>
            <w:vMerge/>
          </w:tcPr>
          <w:p w14:paraId="3B9F1177" w14:textId="77777777" w:rsidR="00130BE0" w:rsidRPr="005A4F3D" w:rsidRDefault="00130BE0">
            <w:pPr>
              <w:keepNext/>
              <w:ind w:right="144"/>
              <w:rPr>
                <w:rFonts w:cstheme="minorHAnsi"/>
                <w:b/>
                <w:color w:val="FF0000"/>
                <w:sz w:val="16"/>
                <w:szCs w:val="16"/>
              </w:rPr>
            </w:pPr>
          </w:p>
        </w:tc>
        <w:tc>
          <w:tcPr>
            <w:tcW w:w="4696" w:type="dxa"/>
          </w:tcPr>
          <w:p w14:paraId="606DD1F4" w14:textId="7B6C4F91" w:rsidR="00130BE0" w:rsidRPr="005A4F3D" w:rsidRDefault="009E2C6D">
            <w:pPr>
              <w:jc w:val="both"/>
            </w:pPr>
            <w:r>
              <w:rPr>
                <w:noProof/>
              </w:rPr>
              <w:drawing>
                <wp:inline distT="0" distB="0" distL="0" distR="0" wp14:anchorId="053555FB" wp14:editId="6A302BAA">
                  <wp:extent cx="2807208" cy="2276856"/>
                  <wp:effectExtent l="0" t="0" r="0" b="0"/>
                  <wp:docPr id="2067670112" name="Chart 1" title="Chart">
                    <a:extLst xmlns:a="http://schemas.openxmlformats.org/drawingml/2006/main">
                      <a:ext uri="{FF2B5EF4-FFF2-40B4-BE49-F238E27FC236}">
                        <a16:creationId xmlns:a16="http://schemas.microsoft.com/office/drawing/2014/main" id="{76277580-E29E-450B-A3A4-13373A14A0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r w:rsidR="00130BE0" w:rsidRPr="005A4F3D" w14:paraId="4A046452" w14:textId="77777777">
        <w:tc>
          <w:tcPr>
            <w:tcW w:w="4844" w:type="dxa"/>
            <w:vMerge/>
          </w:tcPr>
          <w:p w14:paraId="0BDBC9C5" w14:textId="77777777" w:rsidR="00130BE0" w:rsidRPr="005A4F3D" w:rsidRDefault="00130BE0">
            <w:pPr>
              <w:keepNext/>
              <w:ind w:right="144"/>
              <w:rPr>
                <w:rFonts w:cstheme="minorHAnsi"/>
                <w:b/>
                <w:color w:val="808080" w:themeColor="background1" w:themeShade="80"/>
                <w:sz w:val="16"/>
                <w:szCs w:val="16"/>
              </w:rPr>
            </w:pPr>
          </w:p>
        </w:tc>
        <w:tc>
          <w:tcPr>
            <w:tcW w:w="4696" w:type="dxa"/>
          </w:tcPr>
          <w:p w14:paraId="09D84CBB" w14:textId="3AFC3F15" w:rsidR="00130BE0" w:rsidRPr="00BA242C" w:rsidRDefault="00130BE0" w:rsidP="004E3376">
            <w:pPr>
              <w:keepNext/>
              <w:jc w:val="both"/>
              <w:rPr>
                <w:rFonts w:asciiTheme="minorHAnsi" w:hAnsiTheme="minorHAnsi" w:cstheme="minorHAnsi"/>
                <w:sz w:val="18"/>
                <w:szCs w:val="18"/>
              </w:rPr>
            </w:pPr>
            <w:r w:rsidRPr="00BA242C">
              <w:rPr>
                <w:rFonts w:asciiTheme="minorHAnsi" w:hAnsiTheme="minorHAnsi" w:cstheme="minorHAnsi"/>
                <w:i/>
                <w:iCs/>
                <w:sz w:val="18"/>
                <w:szCs w:val="18"/>
              </w:rPr>
              <w:t>Source</w:t>
            </w:r>
            <w:r w:rsidRPr="00BA242C">
              <w:rPr>
                <w:rFonts w:asciiTheme="minorHAnsi" w:hAnsiTheme="minorHAnsi" w:cstheme="minorHAnsi"/>
                <w:sz w:val="18"/>
                <w:szCs w:val="18"/>
              </w:rPr>
              <w:t xml:space="preserve">: </w:t>
            </w:r>
            <w:r w:rsidR="008B04FF" w:rsidRPr="00BA242C">
              <w:rPr>
                <w:rFonts w:asciiTheme="minorHAnsi" w:hAnsiTheme="minorHAnsi" w:cstheme="minorHAnsi"/>
                <w:sz w:val="18"/>
                <w:szCs w:val="18"/>
              </w:rPr>
              <w:t>Global Tax Expenditures Database</w:t>
            </w:r>
            <w:r w:rsidR="00C736D5" w:rsidRPr="00BA242C">
              <w:rPr>
                <w:rFonts w:asciiTheme="minorHAnsi" w:hAnsiTheme="minorHAnsi" w:cstheme="minorHAnsi"/>
                <w:sz w:val="18"/>
                <w:szCs w:val="18"/>
              </w:rPr>
              <w:t xml:space="preserve"> (1.</w:t>
            </w:r>
            <w:r w:rsidR="0038343D" w:rsidRPr="00BA242C">
              <w:rPr>
                <w:rFonts w:asciiTheme="minorHAnsi" w:hAnsiTheme="minorHAnsi" w:cstheme="minorHAnsi"/>
                <w:sz w:val="18"/>
                <w:szCs w:val="18"/>
              </w:rPr>
              <w:t>3</w:t>
            </w:r>
            <w:r w:rsidR="00C736D5" w:rsidRPr="00BA242C">
              <w:rPr>
                <w:rFonts w:asciiTheme="minorHAnsi" w:hAnsiTheme="minorHAnsi" w:cstheme="minorHAnsi"/>
                <w:sz w:val="18"/>
                <w:szCs w:val="18"/>
              </w:rPr>
              <w:t>.</w:t>
            </w:r>
            <w:r w:rsidR="0038343D" w:rsidRPr="00BA242C">
              <w:rPr>
                <w:rFonts w:asciiTheme="minorHAnsi" w:hAnsiTheme="minorHAnsi" w:cstheme="minorHAnsi"/>
                <w:sz w:val="18"/>
                <w:szCs w:val="18"/>
              </w:rPr>
              <w:t>0</w:t>
            </w:r>
            <w:r w:rsidR="00C736D5" w:rsidRPr="00BA242C">
              <w:rPr>
                <w:rFonts w:asciiTheme="minorHAnsi" w:hAnsiTheme="minorHAnsi" w:cstheme="minorHAnsi"/>
                <w:sz w:val="18"/>
                <w:szCs w:val="18"/>
              </w:rPr>
              <w:t>)</w:t>
            </w:r>
            <w:r w:rsidR="008B04FF" w:rsidRPr="00BA242C">
              <w:rPr>
                <w:rFonts w:asciiTheme="minorHAnsi" w:hAnsiTheme="minorHAnsi" w:cstheme="minorHAnsi"/>
                <w:sz w:val="18"/>
                <w:szCs w:val="18"/>
              </w:rPr>
              <w:t>.</w:t>
            </w:r>
          </w:p>
        </w:tc>
      </w:tr>
    </w:tbl>
    <w:p w14:paraId="25897515" w14:textId="58E4F97E" w:rsidR="00130BE0" w:rsidRPr="002D5942" w:rsidRDefault="00405397" w:rsidP="00130BE0">
      <w:pPr>
        <w:pStyle w:val="Heading2"/>
        <w:rPr>
          <w:rFonts w:asciiTheme="minorHAnsi" w:hAnsiTheme="minorHAnsi" w:cstheme="minorHAnsi"/>
          <w:color w:val="4472C4" w:themeColor="accent1"/>
          <w:sz w:val="24"/>
          <w:szCs w:val="24"/>
        </w:rPr>
      </w:pPr>
      <w:bookmarkStart w:id="26" w:name="_Toc177819040"/>
      <w:r>
        <w:rPr>
          <w:rFonts w:asciiTheme="minorHAnsi" w:hAnsiTheme="minorHAnsi" w:cstheme="minorHAnsi"/>
          <w:color w:val="4472C4" w:themeColor="accent1"/>
          <w:sz w:val="24"/>
          <w:szCs w:val="24"/>
        </w:rPr>
        <w:t>A</w:t>
      </w:r>
      <w:r w:rsidR="00130BE0" w:rsidRPr="002D5942">
        <w:rPr>
          <w:rFonts w:asciiTheme="minorHAnsi" w:hAnsiTheme="minorHAnsi" w:cstheme="minorHAnsi"/>
          <w:color w:val="4472C4" w:themeColor="accent1"/>
          <w:sz w:val="24"/>
          <w:szCs w:val="24"/>
        </w:rPr>
        <w:t xml:space="preserve">dministration and </w:t>
      </w:r>
      <w:r>
        <w:rPr>
          <w:rFonts w:asciiTheme="minorHAnsi" w:hAnsiTheme="minorHAnsi" w:cstheme="minorHAnsi"/>
          <w:color w:val="4472C4" w:themeColor="accent1"/>
          <w:sz w:val="24"/>
          <w:szCs w:val="24"/>
        </w:rPr>
        <w:t>c</w:t>
      </w:r>
      <w:r w:rsidR="00130BE0" w:rsidRPr="002D5942">
        <w:rPr>
          <w:rFonts w:asciiTheme="minorHAnsi" w:hAnsiTheme="minorHAnsi" w:cstheme="minorHAnsi"/>
          <w:color w:val="4472C4" w:themeColor="accent1"/>
          <w:sz w:val="24"/>
          <w:szCs w:val="24"/>
        </w:rPr>
        <w:t>ompliance</w:t>
      </w:r>
      <w:bookmarkEnd w:id="26"/>
    </w:p>
    <w:p w14:paraId="32FB80D9" w14:textId="7B161278" w:rsidR="00F74816" w:rsidRPr="00C6011E" w:rsidRDefault="00C557D9" w:rsidP="00130BE0">
      <w:pPr>
        <w:pStyle w:val="ListParagraph"/>
        <w:numPr>
          <w:ilvl w:val="0"/>
          <w:numId w:val="12"/>
        </w:numPr>
        <w:spacing w:before="120" w:after="200"/>
        <w:ind w:left="0" w:firstLine="0"/>
        <w:contextualSpacing w:val="0"/>
        <w:jc w:val="both"/>
        <w:rPr>
          <w:bCs/>
        </w:rPr>
      </w:pPr>
      <w:r w:rsidRPr="00C6011E">
        <w:rPr>
          <w:b/>
        </w:rPr>
        <w:t>Indonesia’s tax authority is the Directorate General of Taxes</w:t>
      </w:r>
      <w:r w:rsidR="0020103E" w:rsidRPr="00C6011E">
        <w:rPr>
          <w:b/>
        </w:rPr>
        <w:t xml:space="preserve"> </w:t>
      </w:r>
      <w:r w:rsidR="005E57C9" w:rsidRPr="00C6011E">
        <w:rPr>
          <w:b/>
        </w:rPr>
        <w:t xml:space="preserve">(DGT) </w:t>
      </w:r>
      <w:r w:rsidR="0020103E" w:rsidRPr="00C6011E">
        <w:rPr>
          <w:b/>
        </w:rPr>
        <w:t xml:space="preserve">which is situated within </w:t>
      </w:r>
      <w:r w:rsidR="009543FA" w:rsidRPr="00C6011E">
        <w:rPr>
          <w:b/>
        </w:rPr>
        <w:t>MoF</w:t>
      </w:r>
      <w:r w:rsidR="005E57C9" w:rsidRPr="00C6011E">
        <w:rPr>
          <w:b/>
        </w:rPr>
        <w:t xml:space="preserve"> and falls under the</w:t>
      </w:r>
      <w:r w:rsidR="0033789F" w:rsidRPr="00C6011E">
        <w:rPr>
          <w:b/>
        </w:rPr>
        <w:t xml:space="preserve"> purview of the Minister of Finance</w:t>
      </w:r>
      <w:r w:rsidR="0020103E" w:rsidRPr="00C6011E">
        <w:rPr>
          <w:b/>
        </w:rPr>
        <w:t>.</w:t>
      </w:r>
      <w:r w:rsidR="00CB431F" w:rsidRPr="00C6011E">
        <w:rPr>
          <w:b/>
        </w:rPr>
        <w:t xml:space="preserve"> </w:t>
      </w:r>
      <w:r w:rsidR="00402561" w:rsidRPr="00C6011E">
        <w:rPr>
          <w:bCs/>
        </w:rPr>
        <w:t>The DGT has over 40,000 employees</w:t>
      </w:r>
      <w:r w:rsidR="003651C8" w:rsidRPr="00C6011E">
        <w:rPr>
          <w:bCs/>
        </w:rPr>
        <w:t xml:space="preserve"> spread across </w:t>
      </w:r>
      <w:r w:rsidR="007B61F0" w:rsidRPr="00C6011E">
        <w:rPr>
          <w:bCs/>
        </w:rPr>
        <w:t xml:space="preserve">over 500 </w:t>
      </w:r>
      <w:r w:rsidR="003651C8" w:rsidRPr="00C6011E">
        <w:rPr>
          <w:bCs/>
        </w:rPr>
        <w:t xml:space="preserve">organizational subunits. </w:t>
      </w:r>
      <w:r w:rsidR="007B61F0" w:rsidRPr="00C6011E">
        <w:rPr>
          <w:bCs/>
        </w:rPr>
        <w:t xml:space="preserve">This includes a </w:t>
      </w:r>
      <w:r w:rsidR="000E604F" w:rsidRPr="00C6011E">
        <w:rPr>
          <w:bCs/>
        </w:rPr>
        <w:t xml:space="preserve">central </w:t>
      </w:r>
      <w:r w:rsidR="002C0AA8" w:rsidRPr="00C6011E">
        <w:rPr>
          <w:bCs/>
        </w:rPr>
        <w:t xml:space="preserve">DGT </w:t>
      </w:r>
      <w:r w:rsidR="000E604F" w:rsidRPr="00C6011E">
        <w:rPr>
          <w:bCs/>
        </w:rPr>
        <w:t>headquarters</w:t>
      </w:r>
      <w:r w:rsidR="008707D6" w:rsidRPr="00C6011E">
        <w:rPr>
          <w:bCs/>
        </w:rPr>
        <w:t xml:space="preserve"> </w:t>
      </w:r>
      <w:r w:rsidR="00CB5345" w:rsidRPr="00C6011E">
        <w:rPr>
          <w:bCs/>
        </w:rPr>
        <w:t>based in Jakarta</w:t>
      </w:r>
      <w:r w:rsidR="00977060" w:rsidRPr="00C6011E">
        <w:rPr>
          <w:bCs/>
        </w:rPr>
        <w:t xml:space="preserve"> and</w:t>
      </w:r>
      <w:r w:rsidR="000E604F" w:rsidRPr="00C6011E">
        <w:rPr>
          <w:bCs/>
        </w:rPr>
        <w:t xml:space="preserve"> a </w:t>
      </w:r>
      <w:r w:rsidR="00CB5345" w:rsidRPr="00C6011E">
        <w:rPr>
          <w:bCs/>
        </w:rPr>
        <w:t xml:space="preserve">wide range of specialized tax offices that are located across the country. </w:t>
      </w:r>
      <w:proofErr w:type="gramStart"/>
      <w:r w:rsidR="00215166" w:rsidRPr="00C6011E">
        <w:rPr>
          <w:bCs/>
        </w:rPr>
        <w:t>For the purpose of</w:t>
      </w:r>
      <w:proofErr w:type="gramEnd"/>
      <w:r w:rsidR="00215166" w:rsidRPr="00C6011E">
        <w:rPr>
          <w:bCs/>
        </w:rPr>
        <w:t xml:space="preserve"> tax administration, </w:t>
      </w:r>
      <w:r w:rsidR="00E26011" w:rsidRPr="00C6011E">
        <w:rPr>
          <w:bCs/>
        </w:rPr>
        <w:t>taxpayers</w:t>
      </w:r>
      <w:r w:rsidR="00C97ECA" w:rsidRPr="00C6011E">
        <w:rPr>
          <w:bCs/>
        </w:rPr>
        <w:t xml:space="preserve"> are generally designated into one of four categories. </w:t>
      </w:r>
      <w:r w:rsidR="00F12B36" w:rsidRPr="00C6011E">
        <w:rPr>
          <w:bCs/>
        </w:rPr>
        <w:t>Indonesia’s largest taxpayers</w:t>
      </w:r>
      <w:r w:rsidR="00DD0977" w:rsidRPr="00C6011E">
        <w:rPr>
          <w:rStyle w:val="FootnoteReference"/>
          <w:bCs/>
        </w:rPr>
        <w:footnoteReference w:id="49"/>
      </w:r>
      <w:r w:rsidR="00067AB6" w:rsidRPr="00C6011E">
        <w:rPr>
          <w:bCs/>
        </w:rPr>
        <w:t xml:space="preserve"> are overseen by four large tax offices (LTOs)</w:t>
      </w:r>
      <w:r w:rsidR="00B265AA" w:rsidRPr="00C6011E">
        <w:rPr>
          <w:bCs/>
        </w:rPr>
        <w:t>.</w:t>
      </w:r>
      <w:r w:rsidR="001D40BD" w:rsidRPr="00C6011E">
        <w:rPr>
          <w:bCs/>
        </w:rPr>
        <w:t xml:space="preserve"> </w:t>
      </w:r>
      <w:r w:rsidR="00A3599D" w:rsidRPr="00C6011E">
        <w:rPr>
          <w:bCs/>
        </w:rPr>
        <w:t>P</w:t>
      </w:r>
      <w:r w:rsidR="00267C8C" w:rsidRPr="00C6011E">
        <w:rPr>
          <w:bCs/>
        </w:rPr>
        <w:t>ublicly traded companies, oil and gas firms</w:t>
      </w:r>
      <w:r w:rsidR="00A3599D" w:rsidRPr="00C6011E">
        <w:rPr>
          <w:bCs/>
        </w:rPr>
        <w:t xml:space="preserve">, and foreign firms </w:t>
      </w:r>
      <w:r w:rsidR="001F4EBD" w:rsidRPr="00C6011E">
        <w:rPr>
          <w:bCs/>
        </w:rPr>
        <w:t>fall under the responsibility of a small set of special tax offices</w:t>
      </w:r>
      <w:r w:rsidR="001F6651" w:rsidRPr="00C6011E">
        <w:rPr>
          <w:bCs/>
        </w:rPr>
        <w:t xml:space="preserve"> (XTOs)</w:t>
      </w:r>
      <w:r w:rsidR="008812E2" w:rsidRPr="00C6011E">
        <w:rPr>
          <w:bCs/>
        </w:rPr>
        <w:t xml:space="preserve">. </w:t>
      </w:r>
      <w:r w:rsidR="001D40BD" w:rsidRPr="00C6011E">
        <w:rPr>
          <w:bCs/>
        </w:rPr>
        <w:t>Of the remaining taxpayers,</w:t>
      </w:r>
      <w:r w:rsidR="00AC0F66" w:rsidRPr="00C6011E">
        <w:rPr>
          <w:bCs/>
        </w:rPr>
        <w:t xml:space="preserve"> the most important several hundred taxpayers in each re</w:t>
      </w:r>
      <w:r w:rsidR="00200B50" w:rsidRPr="00C6011E">
        <w:rPr>
          <w:bCs/>
        </w:rPr>
        <w:t>gion</w:t>
      </w:r>
      <w:r w:rsidR="000202BD" w:rsidRPr="00C6011E">
        <w:rPr>
          <w:bCs/>
        </w:rPr>
        <w:t xml:space="preserve"> are overseen by </w:t>
      </w:r>
      <w:r w:rsidR="00501DFD" w:rsidRPr="00C6011E">
        <w:rPr>
          <w:bCs/>
        </w:rPr>
        <w:t xml:space="preserve">a </w:t>
      </w:r>
      <w:r w:rsidR="000202BD" w:rsidRPr="00C6011E">
        <w:rPr>
          <w:bCs/>
        </w:rPr>
        <w:t>medium tax office</w:t>
      </w:r>
      <w:r w:rsidR="00501DFD" w:rsidRPr="00C6011E">
        <w:rPr>
          <w:bCs/>
        </w:rPr>
        <w:t xml:space="preserve"> </w:t>
      </w:r>
      <w:r w:rsidR="00AD632A" w:rsidRPr="00C6011E">
        <w:rPr>
          <w:bCs/>
        </w:rPr>
        <w:t xml:space="preserve">(MTO) </w:t>
      </w:r>
      <w:r w:rsidR="00501DFD" w:rsidRPr="00C6011E">
        <w:rPr>
          <w:bCs/>
        </w:rPr>
        <w:t xml:space="preserve">located in </w:t>
      </w:r>
      <w:r w:rsidR="003C75B9" w:rsidRPr="00C6011E">
        <w:rPr>
          <w:bCs/>
        </w:rPr>
        <w:t xml:space="preserve">their </w:t>
      </w:r>
      <w:r w:rsidR="00501DFD" w:rsidRPr="00C6011E">
        <w:rPr>
          <w:bCs/>
        </w:rPr>
        <w:t xml:space="preserve">respective region. </w:t>
      </w:r>
      <w:r w:rsidR="00386FD2" w:rsidRPr="00C6011E">
        <w:rPr>
          <w:bCs/>
        </w:rPr>
        <w:t xml:space="preserve">There were </w:t>
      </w:r>
      <w:r w:rsidR="0058456D" w:rsidRPr="00C6011E">
        <w:rPr>
          <w:bCs/>
        </w:rPr>
        <w:t xml:space="preserve">38 such MTOs at the time of writing. </w:t>
      </w:r>
      <w:r w:rsidR="005E512D" w:rsidRPr="00C6011E">
        <w:rPr>
          <w:bCs/>
        </w:rPr>
        <w:t xml:space="preserve">All other taxpayers are overseen by </w:t>
      </w:r>
      <w:r w:rsidR="00386FD2" w:rsidRPr="00C6011E">
        <w:rPr>
          <w:bCs/>
        </w:rPr>
        <w:t xml:space="preserve">an extensive network of </w:t>
      </w:r>
      <w:r w:rsidR="00CB262B" w:rsidRPr="00C6011E">
        <w:rPr>
          <w:bCs/>
        </w:rPr>
        <w:t>about</w:t>
      </w:r>
      <w:r w:rsidR="00565DED" w:rsidRPr="00C6011E">
        <w:rPr>
          <w:bCs/>
        </w:rPr>
        <w:t xml:space="preserve"> 300 </w:t>
      </w:r>
      <w:r w:rsidR="004808A2" w:rsidRPr="00C6011E">
        <w:rPr>
          <w:bCs/>
        </w:rPr>
        <w:t>locally</w:t>
      </w:r>
      <w:r w:rsidR="00977060" w:rsidRPr="00C6011E">
        <w:rPr>
          <w:bCs/>
        </w:rPr>
        <w:t xml:space="preserve"> </w:t>
      </w:r>
      <w:r w:rsidR="004808A2" w:rsidRPr="00C6011E">
        <w:rPr>
          <w:bCs/>
        </w:rPr>
        <w:t>based primary tax offices (PTOs)</w:t>
      </w:r>
      <w:r w:rsidR="006F0FC7" w:rsidRPr="00C6011E">
        <w:rPr>
          <w:bCs/>
        </w:rPr>
        <w:t>.</w:t>
      </w:r>
      <w:r w:rsidR="001F6651" w:rsidRPr="00C6011E">
        <w:rPr>
          <w:rStyle w:val="FootnoteReference"/>
          <w:bCs/>
        </w:rPr>
        <w:footnoteReference w:id="50"/>
      </w:r>
      <w:r w:rsidR="006F0FC7" w:rsidRPr="00C6011E">
        <w:rPr>
          <w:bCs/>
        </w:rPr>
        <w:t xml:space="preserve"> </w:t>
      </w:r>
      <w:r w:rsidR="00415345" w:rsidRPr="00C6011E">
        <w:rPr>
          <w:bCs/>
        </w:rPr>
        <w:t xml:space="preserve">Many </w:t>
      </w:r>
      <w:r w:rsidR="006F0FC7" w:rsidRPr="00C6011E">
        <w:rPr>
          <w:bCs/>
        </w:rPr>
        <w:t xml:space="preserve">PTOs also have </w:t>
      </w:r>
      <w:r w:rsidR="00F0386F" w:rsidRPr="00C6011E">
        <w:rPr>
          <w:bCs/>
        </w:rPr>
        <w:t xml:space="preserve">a small tax office </w:t>
      </w:r>
      <w:r w:rsidR="00825BF2" w:rsidRPr="00C6011E">
        <w:rPr>
          <w:bCs/>
        </w:rPr>
        <w:t xml:space="preserve">branch </w:t>
      </w:r>
      <w:r w:rsidR="00F0386F" w:rsidRPr="00C6011E">
        <w:rPr>
          <w:bCs/>
        </w:rPr>
        <w:t xml:space="preserve">which </w:t>
      </w:r>
      <w:r w:rsidR="00825BF2" w:rsidRPr="00C6011E">
        <w:rPr>
          <w:bCs/>
        </w:rPr>
        <w:t xml:space="preserve">focuses </w:t>
      </w:r>
      <w:r w:rsidR="00F0386F" w:rsidRPr="00C6011E">
        <w:rPr>
          <w:bCs/>
        </w:rPr>
        <w:t>on service provi</w:t>
      </w:r>
      <w:r w:rsidR="00825BF2" w:rsidRPr="00C6011E">
        <w:rPr>
          <w:bCs/>
        </w:rPr>
        <w:t xml:space="preserve">sion to remote areas. </w:t>
      </w:r>
      <w:r w:rsidR="00FD4991" w:rsidRPr="00C6011E">
        <w:rPr>
          <w:bCs/>
        </w:rPr>
        <w:t xml:space="preserve">Finally, </w:t>
      </w:r>
      <w:r w:rsidR="004A3850" w:rsidRPr="00C6011E">
        <w:rPr>
          <w:bCs/>
        </w:rPr>
        <w:t xml:space="preserve">the DGT operates 34 regional offices </w:t>
      </w:r>
      <w:r w:rsidR="00C83DB4" w:rsidRPr="00C6011E">
        <w:rPr>
          <w:bCs/>
        </w:rPr>
        <w:t xml:space="preserve">with </w:t>
      </w:r>
      <w:r w:rsidR="00CD3195" w:rsidRPr="00C6011E">
        <w:rPr>
          <w:bCs/>
        </w:rPr>
        <w:t xml:space="preserve">performance </w:t>
      </w:r>
      <w:r w:rsidR="00C83DB4" w:rsidRPr="00C6011E">
        <w:rPr>
          <w:bCs/>
        </w:rPr>
        <w:t xml:space="preserve">monitoring and supervision responsibilities over tax offices in their region. </w:t>
      </w:r>
    </w:p>
    <w:p w14:paraId="5FCC226F" w14:textId="6D8E1A61" w:rsidR="00AD2FF8" w:rsidRPr="00A71920" w:rsidRDefault="00AD2FF8" w:rsidP="00130BE0">
      <w:pPr>
        <w:pStyle w:val="ListParagraph"/>
        <w:numPr>
          <w:ilvl w:val="0"/>
          <w:numId w:val="12"/>
        </w:numPr>
        <w:spacing w:before="120" w:after="200"/>
        <w:ind w:left="0" w:firstLine="0"/>
        <w:contextualSpacing w:val="0"/>
        <w:jc w:val="both"/>
        <w:rPr>
          <w:bCs/>
        </w:rPr>
      </w:pPr>
      <w:r w:rsidRPr="00C6011E">
        <w:rPr>
          <w:b/>
        </w:rPr>
        <w:t xml:space="preserve">Each business taxpayer </w:t>
      </w:r>
      <w:r w:rsidR="00420BD0" w:rsidRPr="00C6011E">
        <w:rPr>
          <w:b/>
        </w:rPr>
        <w:t xml:space="preserve">is assigned </w:t>
      </w:r>
      <w:r w:rsidR="0067747C" w:rsidRPr="00C6011E">
        <w:rPr>
          <w:b/>
        </w:rPr>
        <w:t xml:space="preserve">a single </w:t>
      </w:r>
      <w:r w:rsidR="00353622" w:rsidRPr="00C6011E">
        <w:rPr>
          <w:b/>
        </w:rPr>
        <w:t xml:space="preserve">account representative </w:t>
      </w:r>
      <w:r w:rsidR="00087A80" w:rsidRPr="00C6011E">
        <w:rPr>
          <w:b/>
        </w:rPr>
        <w:t>(AR</w:t>
      </w:r>
      <w:proofErr w:type="gramStart"/>
      <w:r w:rsidR="00087A80" w:rsidRPr="00C6011E">
        <w:rPr>
          <w:b/>
        </w:rPr>
        <w:t>)</w:t>
      </w:r>
      <w:proofErr w:type="gramEnd"/>
      <w:r w:rsidR="00906912" w:rsidRPr="00C6011E">
        <w:rPr>
          <w:b/>
        </w:rPr>
        <w:t xml:space="preserve"> </w:t>
      </w:r>
      <w:r w:rsidR="00BD1CF0" w:rsidRPr="00C6011E">
        <w:rPr>
          <w:b/>
        </w:rPr>
        <w:t xml:space="preserve">but </w:t>
      </w:r>
      <w:r w:rsidR="00685F62" w:rsidRPr="00C6011E">
        <w:rPr>
          <w:b/>
        </w:rPr>
        <w:t>larger firms can</w:t>
      </w:r>
      <w:r w:rsidR="00685F62">
        <w:rPr>
          <w:b/>
        </w:rPr>
        <w:t xml:space="preserve"> expect </w:t>
      </w:r>
      <w:r w:rsidR="00284E63">
        <w:rPr>
          <w:b/>
        </w:rPr>
        <w:t xml:space="preserve">more service attention and </w:t>
      </w:r>
      <w:r w:rsidR="00685F62">
        <w:rPr>
          <w:b/>
        </w:rPr>
        <w:t>scrutiny</w:t>
      </w:r>
      <w:r w:rsidR="00BD1CF0">
        <w:rPr>
          <w:b/>
        </w:rPr>
        <w:t xml:space="preserve"> on account of </w:t>
      </w:r>
      <w:r w:rsidR="00FB2960">
        <w:rPr>
          <w:b/>
        </w:rPr>
        <w:t xml:space="preserve">a </w:t>
      </w:r>
      <w:r w:rsidR="00B61C2A">
        <w:rPr>
          <w:b/>
        </w:rPr>
        <w:t>higher</w:t>
      </w:r>
      <w:r w:rsidR="00BD1CF0">
        <w:rPr>
          <w:b/>
        </w:rPr>
        <w:t xml:space="preserve"> </w:t>
      </w:r>
      <w:r w:rsidR="00FB2960">
        <w:rPr>
          <w:b/>
        </w:rPr>
        <w:t>assigned</w:t>
      </w:r>
      <w:r w:rsidR="002E75CB">
        <w:rPr>
          <w:b/>
        </w:rPr>
        <w:t xml:space="preserve"> </w:t>
      </w:r>
      <w:r w:rsidR="00BD1CF0">
        <w:rPr>
          <w:b/>
        </w:rPr>
        <w:t>staff</w:t>
      </w:r>
      <w:r w:rsidR="00FB2960">
        <w:rPr>
          <w:b/>
        </w:rPr>
        <w:t>-</w:t>
      </w:r>
      <w:r w:rsidR="00BD1CF0">
        <w:rPr>
          <w:b/>
        </w:rPr>
        <w:t>to</w:t>
      </w:r>
      <w:r w:rsidR="00FB2960">
        <w:rPr>
          <w:b/>
        </w:rPr>
        <w:t>-</w:t>
      </w:r>
      <w:r w:rsidR="00BD1CF0">
        <w:rPr>
          <w:b/>
        </w:rPr>
        <w:t>taxpayer ratio</w:t>
      </w:r>
      <w:r w:rsidR="0067747C">
        <w:rPr>
          <w:b/>
        </w:rPr>
        <w:t xml:space="preserve">. </w:t>
      </w:r>
      <w:r w:rsidR="00FB2960">
        <w:rPr>
          <w:bCs/>
        </w:rPr>
        <w:lastRenderedPageBreak/>
        <w:t xml:space="preserve">The </w:t>
      </w:r>
      <w:r w:rsidR="00087A80">
        <w:rPr>
          <w:bCs/>
        </w:rPr>
        <w:t xml:space="preserve">AR </w:t>
      </w:r>
      <w:r w:rsidR="008A421B" w:rsidRPr="00A71920">
        <w:rPr>
          <w:bCs/>
        </w:rPr>
        <w:t xml:space="preserve">serves as the </w:t>
      </w:r>
      <w:r w:rsidR="00134D47" w:rsidRPr="00A71920">
        <w:rPr>
          <w:bCs/>
        </w:rPr>
        <w:t xml:space="preserve">primary </w:t>
      </w:r>
      <w:r w:rsidR="008A421B" w:rsidRPr="00A71920">
        <w:rPr>
          <w:bCs/>
        </w:rPr>
        <w:t xml:space="preserve">DGT </w:t>
      </w:r>
      <w:r w:rsidR="00134D47" w:rsidRPr="00A71920">
        <w:rPr>
          <w:bCs/>
        </w:rPr>
        <w:t xml:space="preserve">contact point </w:t>
      </w:r>
      <w:r w:rsidR="00812138" w:rsidRPr="00A71920">
        <w:rPr>
          <w:bCs/>
        </w:rPr>
        <w:t xml:space="preserve">with respect to all taxes that </w:t>
      </w:r>
      <w:r w:rsidR="00FB2960">
        <w:rPr>
          <w:bCs/>
        </w:rPr>
        <w:t xml:space="preserve">a </w:t>
      </w:r>
      <w:r w:rsidR="00812138" w:rsidRPr="00A71920">
        <w:rPr>
          <w:bCs/>
        </w:rPr>
        <w:t>business may owe</w:t>
      </w:r>
      <w:r w:rsidR="00CD7B9C" w:rsidRPr="00A71920">
        <w:rPr>
          <w:bCs/>
        </w:rPr>
        <w:t xml:space="preserve"> and is also responsible for </w:t>
      </w:r>
      <w:r w:rsidR="00032AD7" w:rsidRPr="00A71920">
        <w:rPr>
          <w:bCs/>
        </w:rPr>
        <w:t>standard enforcement actions</w:t>
      </w:r>
      <w:r w:rsidR="00DD2A61" w:rsidRPr="00A71920">
        <w:rPr>
          <w:bCs/>
        </w:rPr>
        <w:t xml:space="preserve"> in the event of disputes</w:t>
      </w:r>
      <w:r w:rsidR="000D4C5C" w:rsidRPr="00A71920">
        <w:rPr>
          <w:bCs/>
        </w:rPr>
        <w:t xml:space="preserve"> or payment delays</w:t>
      </w:r>
      <w:r w:rsidR="00032AD7" w:rsidRPr="00A71920">
        <w:rPr>
          <w:bCs/>
        </w:rPr>
        <w:t>.</w:t>
      </w:r>
      <w:r w:rsidR="000626AA">
        <w:rPr>
          <w:bCs/>
        </w:rPr>
        <w:t xml:space="preserve"> </w:t>
      </w:r>
      <w:r w:rsidR="001163AF">
        <w:rPr>
          <w:bCs/>
        </w:rPr>
        <w:t>In addition to ARs, a</w:t>
      </w:r>
      <w:r w:rsidR="004F4197">
        <w:rPr>
          <w:bCs/>
        </w:rPr>
        <w:t>uditors constitute a separate set of DGT staff</w:t>
      </w:r>
      <w:r w:rsidR="008F4A14">
        <w:rPr>
          <w:bCs/>
        </w:rPr>
        <w:t>, with specialized accounting and financial investigati</w:t>
      </w:r>
      <w:r w:rsidR="004420D8">
        <w:rPr>
          <w:bCs/>
        </w:rPr>
        <w:t>ve</w:t>
      </w:r>
      <w:r w:rsidR="008F4A14">
        <w:rPr>
          <w:bCs/>
        </w:rPr>
        <w:t xml:space="preserve"> skills. </w:t>
      </w:r>
      <w:r w:rsidR="00FC61C0">
        <w:rPr>
          <w:bCs/>
        </w:rPr>
        <w:t xml:space="preserve">ARs and auditors </w:t>
      </w:r>
      <w:r w:rsidR="002C07A6">
        <w:rPr>
          <w:bCs/>
        </w:rPr>
        <w:t xml:space="preserve">may be </w:t>
      </w:r>
      <w:r w:rsidR="00217050">
        <w:rPr>
          <w:bCs/>
        </w:rPr>
        <w:t xml:space="preserve">responsible for </w:t>
      </w:r>
      <w:r w:rsidR="002C07A6">
        <w:rPr>
          <w:bCs/>
        </w:rPr>
        <w:t xml:space="preserve">one or more business taxpayers. </w:t>
      </w:r>
      <w:r w:rsidR="006B4CEC">
        <w:rPr>
          <w:bCs/>
        </w:rPr>
        <w:t>Given the small number of business</w:t>
      </w:r>
      <w:r w:rsidR="00714CCE">
        <w:rPr>
          <w:bCs/>
        </w:rPr>
        <w:t xml:space="preserve">es covered, </w:t>
      </w:r>
      <w:r w:rsidR="00955661">
        <w:rPr>
          <w:bCs/>
        </w:rPr>
        <w:t xml:space="preserve">LTOs </w:t>
      </w:r>
      <w:r w:rsidR="00714CCE">
        <w:rPr>
          <w:bCs/>
        </w:rPr>
        <w:t xml:space="preserve">are understood to </w:t>
      </w:r>
      <w:r w:rsidR="00955661">
        <w:rPr>
          <w:bCs/>
        </w:rPr>
        <w:t xml:space="preserve">have the lowest </w:t>
      </w:r>
      <w:r w:rsidR="001D64F9">
        <w:rPr>
          <w:bCs/>
        </w:rPr>
        <w:t xml:space="preserve">business </w:t>
      </w:r>
      <w:r w:rsidR="00955661">
        <w:rPr>
          <w:bCs/>
        </w:rPr>
        <w:t>taxpayer</w:t>
      </w:r>
      <w:r w:rsidR="002E75CB">
        <w:rPr>
          <w:bCs/>
        </w:rPr>
        <w:t>-</w:t>
      </w:r>
      <w:r w:rsidR="00955661">
        <w:rPr>
          <w:bCs/>
        </w:rPr>
        <w:t>to</w:t>
      </w:r>
      <w:r w:rsidR="002E75CB">
        <w:rPr>
          <w:bCs/>
        </w:rPr>
        <w:t>-</w:t>
      </w:r>
      <w:r w:rsidR="001D64F9">
        <w:rPr>
          <w:bCs/>
        </w:rPr>
        <w:t xml:space="preserve">AR </w:t>
      </w:r>
      <w:r w:rsidR="00955661">
        <w:rPr>
          <w:bCs/>
        </w:rPr>
        <w:t>rati</w:t>
      </w:r>
      <w:r w:rsidR="00087A80">
        <w:rPr>
          <w:bCs/>
        </w:rPr>
        <w:t xml:space="preserve">o. </w:t>
      </w:r>
      <w:r w:rsidR="00823F95">
        <w:rPr>
          <w:bCs/>
        </w:rPr>
        <w:t xml:space="preserve">By contrast, </w:t>
      </w:r>
      <w:r w:rsidR="00177C6F">
        <w:rPr>
          <w:bCs/>
        </w:rPr>
        <w:t xml:space="preserve">Basri et al. (2021) </w:t>
      </w:r>
      <w:r w:rsidR="003F69B3">
        <w:rPr>
          <w:bCs/>
        </w:rPr>
        <w:t xml:space="preserve">find </w:t>
      </w:r>
      <w:r w:rsidR="002329A6">
        <w:rPr>
          <w:bCs/>
        </w:rPr>
        <w:t xml:space="preserve">that </w:t>
      </w:r>
      <w:r w:rsidR="00CB262B">
        <w:rPr>
          <w:bCs/>
        </w:rPr>
        <w:t>about</w:t>
      </w:r>
      <w:r w:rsidR="00714CCE">
        <w:rPr>
          <w:bCs/>
        </w:rPr>
        <w:t xml:space="preserve"> </w:t>
      </w:r>
      <w:r w:rsidR="001D64F9">
        <w:rPr>
          <w:bCs/>
        </w:rPr>
        <w:t>17-26 business taxpayers</w:t>
      </w:r>
      <w:r w:rsidR="00714CCE">
        <w:rPr>
          <w:bCs/>
        </w:rPr>
        <w:t xml:space="preserve"> may be assigned to one AR and </w:t>
      </w:r>
      <w:r w:rsidR="00A50FEB">
        <w:rPr>
          <w:bCs/>
        </w:rPr>
        <w:t xml:space="preserve">an </w:t>
      </w:r>
      <w:r w:rsidR="00714CCE">
        <w:rPr>
          <w:bCs/>
        </w:rPr>
        <w:t>auditor</w:t>
      </w:r>
      <w:r w:rsidR="00584264">
        <w:rPr>
          <w:bCs/>
        </w:rPr>
        <w:t xml:space="preserve"> in an MTO</w:t>
      </w:r>
      <w:r w:rsidR="00823F95">
        <w:rPr>
          <w:bCs/>
        </w:rPr>
        <w:t xml:space="preserve">, </w:t>
      </w:r>
      <w:r w:rsidR="00714CCE">
        <w:rPr>
          <w:bCs/>
        </w:rPr>
        <w:t xml:space="preserve">while </w:t>
      </w:r>
      <w:r w:rsidR="00BA71D4">
        <w:rPr>
          <w:bCs/>
        </w:rPr>
        <w:t xml:space="preserve">56-125 </w:t>
      </w:r>
      <w:r w:rsidR="00714CCE">
        <w:rPr>
          <w:bCs/>
        </w:rPr>
        <w:t xml:space="preserve">business </w:t>
      </w:r>
      <w:r w:rsidR="00BA71D4">
        <w:rPr>
          <w:bCs/>
        </w:rPr>
        <w:t>taxpayers</w:t>
      </w:r>
      <w:r w:rsidR="00714CCE">
        <w:rPr>
          <w:bCs/>
        </w:rPr>
        <w:t xml:space="preserve"> </w:t>
      </w:r>
      <w:r w:rsidR="00850BA6">
        <w:rPr>
          <w:bCs/>
        </w:rPr>
        <w:t xml:space="preserve">and </w:t>
      </w:r>
      <w:r w:rsidR="00584264">
        <w:rPr>
          <w:bCs/>
        </w:rPr>
        <w:t xml:space="preserve">several </w:t>
      </w:r>
      <w:r w:rsidR="00D06A04">
        <w:rPr>
          <w:bCs/>
        </w:rPr>
        <w:t xml:space="preserve">hundreds </w:t>
      </w:r>
      <w:r w:rsidR="00850BA6">
        <w:rPr>
          <w:bCs/>
        </w:rPr>
        <w:t xml:space="preserve">of PIT taxpayers </w:t>
      </w:r>
      <w:r w:rsidR="00714CCE">
        <w:rPr>
          <w:bCs/>
        </w:rPr>
        <w:t xml:space="preserve">may be assigned to one AR and </w:t>
      </w:r>
      <w:r w:rsidR="00A50FEB">
        <w:rPr>
          <w:bCs/>
        </w:rPr>
        <w:t xml:space="preserve">an </w:t>
      </w:r>
      <w:r w:rsidR="00714CCE">
        <w:rPr>
          <w:bCs/>
        </w:rPr>
        <w:t>auditor</w:t>
      </w:r>
      <w:r w:rsidR="00A50FEB">
        <w:rPr>
          <w:bCs/>
        </w:rPr>
        <w:t xml:space="preserve"> in a PTO</w:t>
      </w:r>
      <w:r w:rsidR="00714CCE">
        <w:rPr>
          <w:bCs/>
        </w:rPr>
        <w:t>.</w:t>
      </w:r>
      <w:r w:rsidR="00BA71D4">
        <w:rPr>
          <w:bCs/>
        </w:rPr>
        <w:t xml:space="preserve"> </w:t>
      </w:r>
      <w:r w:rsidR="0031451A">
        <w:rPr>
          <w:bCs/>
        </w:rPr>
        <w:t xml:space="preserve">Consequently, businesses </w:t>
      </w:r>
      <w:r w:rsidR="00A21E5D">
        <w:rPr>
          <w:bCs/>
        </w:rPr>
        <w:t xml:space="preserve">assigned to </w:t>
      </w:r>
      <w:r w:rsidR="0031451A">
        <w:rPr>
          <w:bCs/>
        </w:rPr>
        <w:t>LTOs, XTOs, and MTOs receive considerabl</w:t>
      </w:r>
      <w:r w:rsidR="00FB2960">
        <w:rPr>
          <w:bCs/>
        </w:rPr>
        <w:t>y</w:t>
      </w:r>
      <w:r w:rsidR="0031451A">
        <w:rPr>
          <w:bCs/>
        </w:rPr>
        <w:t xml:space="preserve"> more service attention and scrutiny</w:t>
      </w:r>
      <w:r w:rsidR="00A21E5D">
        <w:rPr>
          <w:bCs/>
        </w:rPr>
        <w:t xml:space="preserve"> than those assigned to PTOs</w:t>
      </w:r>
      <w:r w:rsidR="0031451A">
        <w:rPr>
          <w:bCs/>
        </w:rPr>
        <w:t>.</w:t>
      </w:r>
      <w:r w:rsidR="00FB2960">
        <w:rPr>
          <w:bCs/>
        </w:rPr>
        <w:t xml:space="preserve"> </w:t>
      </w:r>
      <w:r w:rsidR="008D6D68">
        <w:rPr>
          <w:bCs/>
        </w:rPr>
        <w:t>W</w:t>
      </w:r>
      <w:r w:rsidR="00A63FFE">
        <w:rPr>
          <w:bCs/>
        </w:rPr>
        <w:t xml:space="preserve">hile it </w:t>
      </w:r>
      <w:r w:rsidR="008D6D68">
        <w:rPr>
          <w:bCs/>
        </w:rPr>
        <w:t xml:space="preserve">may be sensible for </w:t>
      </w:r>
      <w:r w:rsidR="00A63FFE">
        <w:rPr>
          <w:bCs/>
        </w:rPr>
        <w:t xml:space="preserve">DGT to focus resources on firms with the </w:t>
      </w:r>
      <w:r w:rsidR="008D6D68">
        <w:rPr>
          <w:bCs/>
        </w:rPr>
        <w:t xml:space="preserve">most </w:t>
      </w:r>
      <w:r w:rsidR="00A63FFE">
        <w:rPr>
          <w:bCs/>
        </w:rPr>
        <w:t xml:space="preserve">tax potential, </w:t>
      </w:r>
      <w:r w:rsidR="00FF3B30">
        <w:rPr>
          <w:bCs/>
        </w:rPr>
        <w:t xml:space="preserve">there is some </w:t>
      </w:r>
      <w:r w:rsidR="00A63FFE">
        <w:rPr>
          <w:bCs/>
        </w:rPr>
        <w:t xml:space="preserve">evidence that this </w:t>
      </w:r>
      <w:r w:rsidR="00F820B4">
        <w:rPr>
          <w:bCs/>
        </w:rPr>
        <w:t>dampen</w:t>
      </w:r>
      <w:r w:rsidR="0043723C">
        <w:rPr>
          <w:bCs/>
        </w:rPr>
        <w:t>s</w:t>
      </w:r>
      <w:r w:rsidR="00F820B4">
        <w:rPr>
          <w:bCs/>
        </w:rPr>
        <w:t xml:space="preserve"> </w:t>
      </w:r>
      <w:r w:rsidR="0043723C">
        <w:rPr>
          <w:bCs/>
        </w:rPr>
        <w:t>firms’ incentive</w:t>
      </w:r>
      <w:r w:rsidR="00103586">
        <w:rPr>
          <w:bCs/>
        </w:rPr>
        <w:t>s</w:t>
      </w:r>
      <w:r w:rsidR="0043723C">
        <w:rPr>
          <w:bCs/>
        </w:rPr>
        <w:t xml:space="preserve"> </w:t>
      </w:r>
      <w:r w:rsidR="00F820B4">
        <w:rPr>
          <w:bCs/>
        </w:rPr>
        <w:t>to grow</w:t>
      </w:r>
      <w:r w:rsidR="0043723C">
        <w:rPr>
          <w:bCs/>
        </w:rPr>
        <w:t xml:space="preserve"> (Basri et al. 2021). </w:t>
      </w:r>
    </w:p>
    <w:p w14:paraId="255D718F" w14:textId="2D7E2D39" w:rsidR="00130BE0" w:rsidRPr="00F104BB" w:rsidRDefault="00130BE0" w:rsidP="00130BE0">
      <w:pPr>
        <w:pStyle w:val="ListParagraph"/>
        <w:numPr>
          <w:ilvl w:val="0"/>
          <w:numId w:val="12"/>
        </w:numPr>
        <w:spacing w:before="120" w:after="200"/>
        <w:ind w:left="0" w:firstLine="0"/>
        <w:contextualSpacing w:val="0"/>
        <w:jc w:val="both"/>
        <w:rPr>
          <w:bCs/>
        </w:rPr>
      </w:pPr>
      <w:r w:rsidRPr="00F104BB">
        <w:rPr>
          <w:b/>
        </w:rPr>
        <w:t>Indonesia’s process for paying taxes is not significantly different from many other</w:t>
      </w:r>
      <w:r w:rsidR="004F4D62">
        <w:rPr>
          <w:b/>
        </w:rPr>
        <w:t xml:space="preserve"> countries</w:t>
      </w:r>
      <w:r w:rsidRPr="00F104BB">
        <w:rPr>
          <w:b/>
        </w:rPr>
        <w:t xml:space="preserve"> around the world. </w:t>
      </w:r>
      <w:r w:rsidR="001F3EA1">
        <w:rPr>
          <w:bCs/>
        </w:rPr>
        <w:t xml:space="preserve">Indonesia’s </w:t>
      </w:r>
      <w:r w:rsidRPr="00F104BB">
        <w:rPr>
          <w:bCs/>
        </w:rPr>
        <w:t xml:space="preserve">income tax regime is fundamentally based on a self-assessment principle </w:t>
      </w:r>
      <w:r w:rsidR="001F3EA1">
        <w:rPr>
          <w:bCs/>
        </w:rPr>
        <w:t xml:space="preserve">where </w:t>
      </w:r>
      <w:r w:rsidRPr="00F104BB">
        <w:rPr>
          <w:bCs/>
        </w:rPr>
        <w:t xml:space="preserve">businesses have the responsibility to record, calculate, pay, and file their taxes. </w:t>
      </w:r>
      <w:r w:rsidR="002E6045">
        <w:rPr>
          <w:bCs/>
        </w:rPr>
        <w:t xml:space="preserve">The tax authority </w:t>
      </w:r>
      <w:r w:rsidR="00D71D36">
        <w:rPr>
          <w:bCs/>
        </w:rPr>
        <w:t xml:space="preserve">may then choose to dispute </w:t>
      </w:r>
      <w:r w:rsidR="00F75B82">
        <w:rPr>
          <w:bCs/>
        </w:rPr>
        <w:t xml:space="preserve">the content of </w:t>
      </w:r>
      <w:r w:rsidR="00B20076">
        <w:rPr>
          <w:bCs/>
        </w:rPr>
        <w:t xml:space="preserve">what has been submitted. </w:t>
      </w:r>
      <w:r w:rsidR="00930AB6">
        <w:rPr>
          <w:bCs/>
        </w:rPr>
        <w:t>This contrasts</w:t>
      </w:r>
      <w:r w:rsidR="005F1BBD">
        <w:rPr>
          <w:bCs/>
        </w:rPr>
        <w:t xml:space="preserve">, for example, with </w:t>
      </w:r>
      <w:r w:rsidR="00067C1A">
        <w:rPr>
          <w:bCs/>
        </w:rPr>
        <w:t xml:space="preserve">administrative assessment </w:t>
      </w:r>
      <w:r w:rsidR="005F1BBD">
        <w:rPr>
          <w:bCs/>
        </w:rPr>
        <w:t>system</w:t>
      </w:r>
      <w:r w:rsidR="00067C1A">
        <w:rPr>
          <w:bCs/>
        </w:rPr>
        <w:t>s</w:t>
      </w:r>
      <w:r w:rsidR="005F1BBD">
        <w:rPr>
          <w:bCs/>
        </w:rPr>
        <w:t xml:space="preserve"> </w:t>
      </w:r>
      <w:r w:rsidR="00F5415B">
        <w:rPr>
          <w:bCs/>
        </w:rPr>
        <w:t xml:space="preserve">where the tax authority has </w:t>
      </w:r>
      <w:r w:rsidR="00377BF9">
        <w:rPr>
          <w:bCs/>
        </w:rPr>
        <w:t>a responsibility</w:t>
      </w:r>
      <w:r w:rsidR="00E0108C">
        <w:rPr>
          <w:bCs/>
        </w:rPr>
        <w:t xml:space="preserve"> to examine available and submitted data, calculate </w:t>
      </w:r>
      <w:r w:rsidR="00A270F3">
        <w:rPr>
          <w:bCs/>
        </w:rPr>
        <w:t xml:space="preserve">tax payable, and notify taxpayers of </w:t>
      </w:r>
      <w:r w:rsidR="00D1515D">
        <w:rPr>
          <w:bCs/>
        </w:rPr>
        <w:t xml:space="preserve">their </w:t>
      </w:r>
      <w:r w:rsidR="00A270F3">
        <w:rPr>
          <w:bCs/>
        </w:rPr>
        <w:t xml:space="preserve">liability. </w:t>
      </w:r>
      <w:r w:rsidRPr="00F104BB">
        <w:rPr>
          <w:bCs/>
        </w:rPr>
        <w:t>There are two frequencies at which payment and filing must take place</w:t>
      </w:r>
      <w:r w:rsidR="00860C4D">
        <w:rPr>
          <w:bCs/>
        </w:rPr>
        <w:t xml:space="preserve"> in Indonesia</w:t>
      </w:r>
      <w:r w:rsidRPr="00F104BB">
        <w:rPr>
          <w:bCs/>
        </w:rPr>
        <w:t xml:space="preserve">: monthly and yearly. All CIT-paying businesses are obligated to make monthly pre-payments on their annual CIT obligations. The monthly amount due is calculated based on the previous year’s annual income or, for new firms, on the annualized monthly income. All CIT-paying firms are also required to do a comprehensive annual filing that is due no later than </w:t>
      </w:r>
      <w:r w:rsidR="002E75CB">
        <w:rPr>
          <w:bCs/>
        </w:rPr>
        <w:t>four</w:t>
      </w:r>
      <w:r w:rsidRPr="00F104BB">
        <w:rPr>
          <w:bCs/>
        </w:rPr>
        <w:t xml:space="preserve"> months after the end of the tax year. </w:t>
      </w:r>
    </w:p>
    <w:p w14:paraId="0CDA4701" w14:textId="35052CAB" w:rsidR="00130BE0" w:rsidRPr="00F104BB" w:rsidRDefault="00130BE0" w:rsidP="00130BE0">
      <w:pPr>
        <w:pStyle w:val="ListParagraph"/>
        <w:numPr>
          <w:ilvl w:val="0"/>
          <w:numId w:val="12"/>
        </w:numPr>
        <w:spacing w:before="120" w:after="200"/>
        <w:ind w:left="0" w:firstLine="0"/>
        <w:contextualSpacing w:val="0"/>
        <w:jc w:val="both"/>
        <w:rPr>
          <w:bCs/>
        </w:rPr>
      </w:pPr>
      <w:r w:rsidRPr="00DB4C0D">
        <w:rPr>
          <w:b/>
        </w:rPr>
        <w:t>When completing its annual filing, a firm must first calculate its annual tax obligation and then deduct any accrued tax credits.</w:t>
      </w:r>
      <w:r w:rsidRPr="00F104BB">
        <w:rPr>
          <w:bCs/>
        </w:rPr>
        <w:t xml:space="preserve"> The latter are amounts that have already</w:t>
      </w:r>
      <w:r w:rsidR="004F4D62">
        <w:rPr>
          <w:bCs/>
        </w:rPr>
        <w:t xml:space="preserve"> been</w:t>
      </w:r>
      <w:r w:rsidRPr="00F104BB">
        <w:rPr>
          <w:bCs/>
        </w:rPr>
        <w:t xml:space="preserve"> remitted to the government on behalf of the firm, both </w:t>
      </w:r>
      <w:r w:rsidR="006843FB" w:rsidRPr="00F104BB">
        <w:rPr>
          <w:bCs/>
        </w:rPr>
        <w:t xml:space="preserve">through </w:t>
      </w:r>
      <w:r w:rsidRPr="00F104BB">
        <w:rPr>
          <w:bCs/>
        </w:rPr>
        <w:t xml:space="preserve">its monthly pre-payments and through various withholding arrangements triggered during the year. </w:t>
      </w:r>
      <w:proofErr w:type="gramStart"/>
      <w:r w:rsidRPr="00F104BB">
        <w:rPr>
          <w:bCs/>
        </w:rPr>
        <w:t>The final</w:t>
      </w:r>
      <w:proofErr w:type="gramEnd"/>
      <w:r w:rsidRPr="00F104BB">
        <w:rPr>
          <w:bCs/>
        </w:rPr>
        <w:t xml:space="preserve">, net tax payable can then be paid to the government via banks or post offices. The payment must be made before the filing paperwork is submitted. Such filing is increasingly carried out through e-filing. </w:t>
      </w:r>
    </w:p>
    <w:p w14:paraId="2CE2B2DA" w14:textId="47CD611E" w:rsidR="00130BE0" w:rsidRDefault="00130BE0" w:rsidP="00130BE0">
      <w:pPr>
        <w:pStyle w:val="ListParagraph"/>
        <w:numPr>
          <w:ilvl w:val="0"/>
          <w:numId w:val="12"/>
        </w:numPr>
        <w:spacing w:before="120" w:after="200"/>
        <w:ind w:left="0" w:firstLine="0"/>
        <w:contextualSpacing w:val="0"/>
        <w:jc w:val="both"/>
      </w:pPr>
      <w:r w:rsidRPr="00F104BB">
        <w:rPr>
          <w:b/>
        </w:rPr>
        <w:t xml:space="preserve">The system of withholding taxes is extensive and </w:t>
      </w:r>
      <w:r w:rsidR="00E753E9">
        <w:rPr>
          <w:b/>
        </w:rPr>
        <w:t xml:space="preserve">aimed </w:t>
      </w:r>
      <w:r w:rsidR="00F34669">
        <w:rPr>
          <w:b/>
        </w:rPr>
        <w:t>at</w:t>
      </w:r>
      <w:r w:rsidR="00E753E9">
        <w:rPr>
          <w:b/>
        </w:rPr>
        <w:t xml:space="preserve"> increas</w:t>
      </w:r>
      <w:r w:rsidR="00F34669">
        <w:rPr>
          <w:b/>
        </w:rPr>
        <w:t>ing</w:t>
      </w:r>
      <w:r w:rsidR="00E753E9">
        <w:rPr>
          <w:b/>
        </w:rPr>
        <w:t xml:space="preserve"> compliance</w:t>
      </w:r>
      <w:r w:rsidRPr="00F104BB">
        <w:rPr>
          <w:b/>
        </w:rPr>
        <w:t>.</w:t>
      </w:r>
      <w:r w:rsidRPr="00F104BB">
        <w:rPr>
          <w:bCs/>
        </w:rPr>
        <w:t xml:space="preserve"> </w:t>
      </w:r>
      <w:r>
        <w:t xml:space="preserve">Whenever a firm makes a purchase or earns income, some part of the corresponding monetary transaction may need to be withheld by the counterparty and remitted to </w:t>
      </w:r>
      <w:proofErr w:type="gramStart"/>
      <w:r>
        <w:t>government</w:t>
      </w:r>
      <w:proofErr w:type="gramEnd"/>
      <w:r>
        <w:t>. This is the case, for example, on income from imports, dividends, interest, royalties, rent, prizes, and awards, as well as foreign taxes paid on foreign-sourced income that is creditable. It is also withheld on the supply of good</w:t>
      </w:r>
      <w:r w:rsidR="004F4D62">
        <w:t>s</w:t>
      </w:r>
      <w:r>
        <w:t xml:space="preserve"> and the purchase </w:t>
      </w:r>
      <w:r w:rsidR="00B2470C">
        <w:t xml:space="preserve">of </w:t>
      </w:r>
      <w:r>
        <w:t>luxurious goods (</w:t>
      </w:r>
      <w:r w:rsidR="004F4D62">
        <w:t>for example</w:t>
      </w:r>
      <w:r>
        <w:t xml:space="preserve">, automobiles). These arrangements </w:t>
      </w:r>
      <w:r w:rsidR="004F4D62">
        <w:t xml:space="preserve">are </w:t>
      </w:r>
      <w:r>
        <w:t>all intended to raise compliance and can help to ensure that some taxes are being paid by even those firms flying below the radar. Withholding taxes are responsible for a large share of total tax collections.</w:t>
      </w:r>
    </w:p>
    <w:p w14:paraId="0FF42599" w14:textId="588125E9" w:rsidR="00130BE0" w:rsidRDefault="004F4D62" w:rsidP="00130BE0">
      <w:pPr>
        <w:pStyle w:val="ListParagraph"/>
        <w:numPr>
          <w:ilvl w:val="0"/>
          <w:numId w:val="12"/>
        </w:numPr>
        <w:spacing w:before="120" w:after="200"/>
        <w:ind w:left="0" w:firstLine="0"/>
        <w:contextualSpacing w:val="0"/>
        <w:jc w:val="both"/>
      </w:pPr>
      <w:r>
        <w:rPr>
          <w:b/>
          <w:bCs/>
        </w:rPr>
        <w:t>The</w:t>
      </w:r>
      <w:r w:rsidR="00130BE0" w:rsidRPr="00F104BB">
        <w:rPr>
          <w:b/>
          <w:bCs/>
        </w:rPr>
        <w:t xml:space="preserve"> withholding regime can also pose significant challenges to businesses.</w:t>
      </w:r>
      <w:r w:rsidR="00130BE0">
        <w:t xml:space="preserve"> Despite being a mechanism for supporting the collection of taxes on profits, it can restrict business liquidity even when the business is operating at a loss. It may also lead to difficulties when inadvertently excessive amounts are withheld but can only be refunded after several months. Whenever firms have accumulated greater tax credits at the end of the financial year than the total of their annual taxes owed, </w:t>
      </w:r>
      <w:r w:rsidR="004D5A22">
        <w:t xml:space="preserve">they may either submit a refund claim to the government or claim the overpayment as a tax credit that can be offset against tax obligations in the following year. Due to the need to make an outward financial payment from the government to a private party, the former option is treated with more scrutiny by the authorities. </w:t>
      </w:r>
      <w:r w:rsidR="00130BE0">
        <w:t xml:space="preserve">The tax authority is required to fully evaluate every such refund claim that it receives. </w:t>
      </w:r>
      <w:r>
        <w:t>As</w:t>
      </w:r>
      <w:r w:rsidR="00130BE0">
        <w:t xml:space="preserve"> it </w:t>
      </w:r>
      <w:r>
        <w:t>is</w:t>
      </w:r>
      <w:r w:rsidR="00130BE0">
        <w:t xml:space="preserve"> allowed up to a maximum of 12 months to assess the claim and respond to the taxpayer</w:t>
      </w:r>
      <w:r>
        <w:t xml:space="preserve">, this can </w:t>
      </w:r>
      <w:r w:rsidR="00906AC0">
        <w:t xml:space="preserve">lead to </w:t>
      </w:r>
      <w:r w:rsidR="005304C2">
        <w:t xml:space="preserve">long refund </w:t>
      </w:r>
      <w:r w:rsidR="00906AC0">
        <w:t xml:space="preserve">delays </w:t>
      </w:r>
      <w:r w:rsidR="003D31C1">
        <w:t>from the tax</w:t>
      </w:r>
      <w:r w:rsidR="005304C2">
        <w:t>pay</w:t>
      </w:r>
      <w:r w:rsidR="003D31C1">
        <w:t xml:space="preserve">er’s perspective that </w:t>
      </w:r>
      <w:r w:rsidR="00130BE0">
        <w:t>threaten</w:t>
      </w:r>
      <w:r>
        <w:t xml:space="preserve"> </w:t>
      </w:r>
      <w:r w:rsidR="003D31C1">
        <w:t xml:space="preserve">their </w:t>
      </w:r>
      <w:r w:rsidR="00130BE0">
        <w:t xml:space="preserve">financial viability. </w:t>
      </w:r>
    </w:p>
    <w:p w14:paraId="24530E3D" w14:textId="6AA9F0FE" w:rsidR="00130BE0" w:rsidRPr="00196C0C" w:rsidRDefault="00130BE0" w:rsidP="00130BE0">
      <w:pPr>
        <w:pStyle w:val="ListParagraph"/>
        <w:numPr>
          <w:ilvl w:val="0"/>
          <w:numId w:val="12"/>
        </w:numPr>
        <w:spacing w:before="120" w:after="200"/>
        <w:ind w:left="0" w:firstLine="0"/>
        <w:contextualSpacing w:val="0"/>
        <w:jc w:val="both"/>
      </w:pPr>
      <w:r w:rsidRPr="002B27F2">
        <w:rPr>
          <w:b/>
        </w:rPr>
        <w:lastRenderedPageBreak/>
        <w:t>Measures exist to address some of the burdens caused by withholding but taxpayer uptake is low.</w:t>
      </w:r>
      <w:r>
        <w:t xml:space="preserve"> </w:t>
      </w:r>
      <w:r w:rsidR="00F91DB2">
        <w:t>F</w:t>
      </w:r>
      <w:r>
        <w:t xml:space="preserve">irms </w:t>
      </w:r>
      <w:r w:rsidR="00F91DB2">
        <w:t>can</w:t>
      </w:r>
      <w:r>
        <w:t xml:space="preserve"> be temporarily relieved from withholding arrangements</w:t>
      </w:r>
      <w:r w:rsidR="00F91DB2">
        <w:t xml:space="preserve"> if they</w:t>
      </w:r>
      <w:r>
        <w:t xml:space="preserve"> can prove to the authorities that they</w:t>
      </w:r>
      <w:r w:rsidR="00F91DB2">
        <w:t>:</w:t>
      </w:r>
      <w:r>
        <w:t xml:space="preserve"> (i) will not (or are unlikely to) accrue an income tax obligation in the current tax year due to experiencing losses</w:t>
      </w:r>
      <w:r w:rsidR="00F91DB2">
        <w:t>;</w:t>
      </w:r>
      <w:r>
        <w:t xml:space="preserve"> or (ii) have the right to compensation for a loss</w:t>
      </w:r>
      <w:r w:rsidR="00F91DB2">
        <w:t>;</w:t>
      </w:r>
      <w:r>
        <w:t xml:space="preserve"> or (iii) have already paid tax installments greater than their expected annual tax obligation. Taxpayers that can demonstrate this will receive a letter from the DGT that they can present to potential </w:t>
      </w:r>
      <w:proofErr w:type="spellStart"/>
      <w:r>
        <w:t>withholders</w:t>
      </w:r>
      <w:proofErr w:type="spellEnd"/>
      <w:r>
        <w:t xml:space="preserve"> of their taxes. Nonetheless, taxpayer awareness of this scheme seems limited. The authorities have also set up a special scheme for expediting refunds to firms</w:t>
      </w:r>
      <w:r w:rsidDel="005858CA">
        <w:t xml:space="preserve"> that </w:t>
      </w:r>
      <w:r>
        <w:t xml:space="preserve">meet certain trust-, integrity-, and size-related eligibility criteria. Firms must apply to enter the expedited scheme. Successfully doing so compels the DGT to process their refund claims within three months. Although the eligibility criteria for this scheme are broad and could be met by a significant share of taxpayers, the authorities have indicated that </w:t>
      </w:r>
      <w:r w:rsidR="00E00573">
        <w:t xml:space="preserve">fewer </w:t>
      </w:r>
      <w:r>
        <w:t xml:space="preserve">than 1 percent of registered taxpayers have entered the scheme. </w:t>
      </w:r>
      <w:r w:rsidR="00B131F1">
        <w:t xml:space="preserve">This may be a taxpayer education challenge. Alternatively, it may reflect </w:t>
      </w:r>
      <w:proofErr w:type="gramStart"/>
      <w:r w:rsidR="00B131F1">
        <w:t>underlying</w:t>
      </w:r>
      <w:proofErr w:type="gramEnd"/>
      <w:r w:rsidR="00B131F1">
        <w:t xml:space="preserve"> </w:t>
      </w:r>
      <w:r w:rsidR="00B131F1" w:rsidRPr="00196C0C">
        <w:t>problems with the refunds system, whereby firms may be inclined to steer clear of burdensome, complex, or onerous processes involved in requesting refunds.</w:t>
      </w:r>
      <w:r w:rsidR="00802F7D" w:rsidRPr="00196C0C">
        <w:rPr>
          <w:rStyle w:val="FootnoteReference"/>
        </w:rPr>
        <w:footnoteReference w:id="51"/>
      </w:r>
    </w:p>
    <w:p w14:paraId="7EB5E2A8" w14:textId="77E8B772" w:rsidR="00AA718D" w:rsidRDefault="00130BE0" w:rsidP="00130BE0">
      <w:pPr>
        <w:pStyle w:val="ListParagraph"/>
        <w:numPr>
          <w:ilvl w:val="0"/>
          <w:numId w:val="12"/>
        </w:numPr>
        <w:spacing w:before="120" w:after="200"/>
        <w:ind w:left="0" w:firstLine="0"/>
        <w:contextualSpacing w:val="0"/>
        <w:jc w:val="both"/>
      </w:pPr>
      <w:r w:rsidRPr="00C6011E">
        <w:rPr>
          <w:b/>
        </w:rPr>
        <w:t>The DGT uses data analytics, a compliance risk management (CRM) model</w:t>
      </w:r>
      <w:r w:rsidR="00F91DB2" w:rsidRPr="00C6011E">
        <w:rPr>
          <w:b/>
        </w:rPr>
        <w:t>,</w:t>
      </w:r>
      <w:r w:rsidR="008066F2" w:rsidRPr="00C6011E">
        <w:rPr>
          <w:rStyle w:val="FootnoteReference"/>
          <w:b/>
        </w:rPr>
        <w:footnoteReference w:id="52"/>
      </w:r>
      <w:r w:rsidRPr="00C6011E">
        <w:rPr>
          <w:b/>
        </w:rPr>
        <w:t xml:space="preserve"> and social</w:t>
      </w:r>
      <w:r w:rsidRPr="00196C0C">
        <w:rPr>
          <w:b/>
        </w:rPr>
        <w:t xml:space="preserve"> intelligence</w:t>
      </w:r>
      <w:r w:rsidRPr="00196C0C">
        <w:rPr>
          <w:rStyle w:val="FootnoteReference"/>
          <w:b/>
          <w:bCs/>
        </w:rPr>
        <w:footnoteReference w:id="53"/>
      </w:r>
      <w:r w:rsidRPr="00196C0C">
        <w:rPr>
          <w:b/>
        </w:rPr>
        <w:t xml:space="preserve"> to identify eligible taxpayers, estimate their tax obligation, and predict their compliance likelihood.</w:t>
      </w:r>
      <w:r w:rsidRPr="00196C0C">
        <w:t xml:space="preserve"> They</w:t>
      </w:r>
      <w:r>
        <w:t xml:space="preserve"> draw on dozens of large internal and external data sources to undertake such analysis. This can include matching data across tax regimes: for example, searching for discrepancies between firms’ filings under the VAT regime and those under the CIT regime. It also involves comparing supply chain data on transactions between firms to the income and expenditure that those firms report.</w:t>
      </w:r>
      <w:r w:rsidDel="001E52C2">
        <w:t xml:space="preserve"> </w:t>
      </w:r>
      <w:r w:rsidR="00656728">
        <w:t xml:space="preserve">The </w:t>
      </w:r>
      <w:r w:rsidR="00656728" w:rsidRPr="00656728">
        <w:t>use of third-party data is particularly important for tax enforcement activities for large taxpayers.</w:t>
      </w:r>
      <w:r w:rsidR="00961D7F">
        <w:t xml:space="preserve"> Although the authorities have established the main legal framework </w:t>
      </w:r>
      <w:r w:rsidR="009C4185">
        <w:t xml:space="preserve">for incorporating third-party data into tax administration (stipulated </w:t>
      </w:r>
      <w:r w:rsidR="00F90DFC">
        <w:t>in M</w:t>
      </w:r>
      <w:r w:rsidR="00F91DB2">
        <w:t>inister of Finance</w:t>
      </w:r>
      <w:r w:rsidR="00F90DFC">
        <w:t xml:space="preserve"> Regulation </w:t>
      </w:r>
      <w:r w:rsidR="006745FE">
        <w:t>No. 228/2017)</w:t>
      </w:r>
      <w:r w:rsidR="00C125CA">
        <w:t>, in practice</w:t>
      </w:r>
      <w:r w:rsidR="003829FF">
        <w:t>, conflicting regulations across institu</w:t>
      </w:r>
      <w:r w:rsidR="002136A9">
        <w:t>tions</w:t>
      </w:r>
      <w:r w:rsidR="00DB3F92">
        <w:t xml:space="preserve"> prevent </w:t>
      </w:r>
      <w:r w:rsidR="00BB5469">
        <w:t>DG</w:t>
      </w:r>
      <w:r w:rsidR="00F91DB2">
        <w:t>T</w:t>
      </w:r>
      <w:r w:rsidR="00BB5469">
        <w:t xml:space="preserve"> from accessing many external data sources (see more in Subchapter </w:t>
      </w:r>
      <w:r w:rsidR="009E2B8C">
        <w:t>VAT’s Administration and Compliance)</w:t>
      </w:r>
      <w:r w:rsidR="00BB5469">
        <w:t>.</w:t>
      </w:r>
    </w:p>
    <w:p w14:paraId="7B8CB539" w14:textId="3CC0C001" w:rsidR="00130BE0" w:rsidRDefault="00130BE0" w:rsidP="00130BE0">
      <w:pPr>
        <w:pStyle w:val="ListParagraph"/>
        <w:numPr>
          <w:ilvl w:val="0"/>
          <w:numId w:val="12"/>
        </w:numPr>
        <w:spacing w:before="120" w:after="200"/>
        <w:ind w:left="0" w:firstLine="0"/>
        <w:contextualSpacing w:val="0"/>
        <w:jc w:val="both"/>
      </w:pPr>
      <w:r w:rsidRPr="00F104BB">
        <w:rPr>
          <w:b/>
          <w:bCs/>
        </w:rPr>
        <w:t xml:space="preserve">DGT is authorized to conduct audits on all taxpayers to assess their compliance over the past </w:t>
      </w:r>
      <w:r w:rsidR="00F91DB2">
        <w:rPr>
          <w:b/>
          <w:bCs/>
        </w:rPr>
        <w:t>five</w:t>
      </w:r>
      <w:r w:rsidRPr="00F104BB">
        <w:rPr>
          <w:b/>
          <w:bCs/>
        </w:rPr>
        <w:t xml:space="preserve"> tax years. </w:t>
      </w:r>
      <w:r>
        <w:t xml:space="preserve">In 2021, the tax authority conducted almost 30,000 audits of corporate taxpayers, equivalent to </w:t>
      </w:r>
      <w:r w:rsidR="00CB262B">
        <w:t>about</w:t>
      </w:r>
      <w:r>
        <w:t xml:space="preserve"> 1.8 percent of all registered corporate taxpayers</w:t>
      </w:r>
      <w:r w:rsidR="00C45918">
        <w:t xml:space="preserve"> (D</w:t>
      </w:r>
      <w:r w:rsidR="009543FA">
        <w:t>GT</w:t>
      </w:r>
      <w:r w:rsidR="00C45918">
        <w:t xml:space="preserve"> 2022)</w:t>
      </w:r>
      <w:r>
        <w:t xml:space="preserve">. Tax auditors can request copies of all documents utilized by the taxpayer in calculating their taxes. There are several steps of escalation, appeal, and redress. </w:t>
      </w:r>
      <w:r w:rsidR="006B15E4">
        <w:t xml:space="preserve">Enforcement actions that may be taken by the authorities include, in order of increasing severity, </w:t>
      </w:r>
      <w:proofErr w:type="gramStart"/>
      <w:r w:rsidR="006B15E4">
        <w:t>issuance</w:t>
      </w:r>
      <w:proofErr w:type="gramEnd"/>
      <w:r w:rsidR="006B15E4">
        <w:t xml:space="preserve"> of a warning letter, </w:t>
      </w:r>
      <w:proofErr w:type="gramStart"/>
      <w:r w:rsidR="006B15E4">
        <w:t>issuance</w:t>
      </w:r>
      <w:proofErr w:type="gramEnd"/>
      <w:r w:rsidR="006B15E4">
        <w:t xml:space="preserve"> of a distress warrant, financial account blocking, </w:t>
      </w:r>
      <w:r w:rsidR="00BA19BE">
        <w:t xml:space="preserve">international travel bans, arrest, and asset </w:t>
      </w:r>
      <w:r w:rsidR="00BA19BE" w:rsidRPr="00BA19BE">
        <w:t>seizures</w:t>
      </w:r>
      <w:r w:rsidR="003F5490" w:rsidRPr="00BA19BE">
        <w:t xml:space="preserve">. </w:t>
      </w:r>
      <w:r w:rsidRPr="00BA19BE">
        <w:t>Importantly, the Tax Harmonization Law of 2021 introduced the</w:t>
      </w:r>
      <w:r>
        <w:t xml:space="preserve"> ‘last resort’ (</w:t>
      </w:r>
      <w:proofErr w:type="spellStart"/>
      <w:r w:rsidRPr="00F104BB">
        <w:rPr>
          <w:i/>
          <w:iCs/>
        </w:rPr>
        <w:t>ultimum</w:t>
      </w:r>
      <w:proofErr w:type="spellEnd"/>
      <w:r w:rsidRPr="00F104BB">
        <w:rPr>
          <w:i/>
          <w:iCs/>
        </w:rPr>
        <w:t xml:space="preserve"> </w:t>
      </w:r>
      <w:proofErr w:type="spellStart"/>
      <w:r w:rsidRPr="00F104BB">
        <w:rPr>
          <w:i/>
          <w:iCs/>
        </w:rPr>
        <w:t>remedium</w:t>
      </w:r>
      <w:proofErr w:type="spellEnd"/>
      <w:r>
        <w:t xml:space="preserve">) principle to Indonesia’s taxation regime, thereby relegating criminal sanctions to a last resort when addressing tax matters. </w:t>
      </w:r>
    </w:p>
    <w:p w14:paraId="6011538D" w14:textId="366BC8EE" w:rsidR="00130BE0" w:rsidRDefault="00130BE0" w:rsidP="00130BE0">
      <w:pPr>
        <w:pStyle w:val="ListParagraph"/>
        <w:numPr>
          <w:ilvl w:val="0"/>
          <w:numId w:val="12"/>
        </w:numPr>
        <w:spacing w:before="120" w:after="200"/>
        <w:ind w:left="0" w:firstLine="0"/>
        <w:contextualSpacing w:val="0"/>
        <w:jc w:val="both"/>
      </w:pPr>
      <w:r w:rsidRPr="00F104BB">
        <w:rPr>
          <w:b/>
          <w:bCs/>
        </w:rPr>
        <w:t>There is limited public data available on compliance performance within the CIT regime.</w:t>
      </w:r>
      <w:r>
        <w:t xml:space="preserve"> The </w:t>
      </w:r>
      <w:r w:rsidR="009543FA">
        <w:t>DGT</w:t>
      </w:r>
      <w:r>
        <w:t xml:space="preserve"> publishes annual numbers on registered taxpayers and tax filers, but little else on compliance. For instance, Table 2</w:t>
      </w:r>
      <w:r w:rsidR="004A332C">
        <w:t>.2</w:t>
      </w:r>
      <w:r>
        <w:t xml:space="preserve"> shows that the number of registered corporate taxpayers</w:t>
      </w:r>
      <w:r>
        <w:rPr>
          <w:rStyle w:val="FootnoteReference"/>
        </w:rPr>
        <w:footnoteReference w:id="54"/>
      </w:r>
      <w:r>
        <w:t xml:space="preserve"> increased significantly from 1.2 million to 1.7 million taxpayers over the four years to 2021. The number of corporate filers increased almost at the same pace</w:t>
      </w:r>
      <w:r w:rsidR="00D1002D">
        <w:rPr>
          <w:rFonts w:cstheme="minorHAnsi"/>
        </w:rPr>
        <w:t>–</w:t>
      </w:r>
      <w:r>
        <w:t xml:space="preserve">such that the proportion of registered taxpayers </w:t>
      </w:r>
      <w:r>
        <w:lastRenderedPageBreak/>
        <w:t xml:space="preserve">that filed returns was broadly stable at </w:t>
      </w:r>
      <w:r w:rsidR="00CB262B">
        <w:t>about</w:t>
      </w:r>
      <w:r>
        <w:t xml:space="preserve"> 60 percent. </w:t>
      </w:r>
      <w:r w:rsidR="00D1002D">
        <w:t>While the</w:t>
      </w:r>
      <w:r>
        <w:t xml:space="preserve"> increase in the tax base is a welcome outcome, as is </w:t>
      </w:r>
      <w:r w:rsidR="009E2FF2">
        <w:t xml:space="preserve">the </w:t>
      </w:r>
      <w:r>
        <w:t xml:space="preserve">commensurate increase in tax-return filers, there are constraints on what can be inferred </w:t>
      </w:r>
      <w:r w:rsidR="00E47FE2">
        <w:t xml:space="preserve">about compliance performance </w:t>
      </w:r>
      <w:r>
        <w:t xml:space="preserve">from this data. First, Indonesia’s high levels of business informality are well known, and many small and medium firms that ought to fall into the CIT tax net have simply chosen not to register. Second, the accuracy of the filed taxes is </w:t>
      </w:r>
      <w:r w:rsidR="00B86784">
        <w:t xml:space="preserve">also </w:t>
      </w:r>
      <w:r>
        <w:t xml:space="preserve">unclear. </w:t>
      </w:r>
    </w:p>
    <w:p w14:paraId="13BF2E34" w14:textId="623C9082" w:rsidR="00130BE0" w:rsidRPr="00C369DD" w:rsidRDefault="00130BE0" w:rsidP="00C369DD">
      <w:pPr>
        <w:pStyle w:val="Caption"/>
        <w:rPr>
          <w:rFonts w:cstheme="minorHAnsi"/>
          <w:b w:val="0"/>
          <w:szCs w:val="22"/>
        </w:rPr>
      </w:pPr>
      <w:bookmarkStart w:id="27" w:name="_Toc177576302"/>
      <w:r w:rsidRPr="00C369DD">
        <w:rPr>
          <w:rFonts w:asciiTheme="minorHAnsi" w:hAnsiTheme="minorHAnsi" w:cstheme="minorHAnsi"/>
          <w:szCs w:val="22"/>
        </w:rPr>
        <w:t>Table 2.2: Registered corporate taxpayers versus filing corporate taxpayers</w:t>
      </w:r>
      <w:bookmarkEnd w:id="27"/>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880"/>
        <w:gridCol w:w="1092"/>
        <w:gridCol w:w="1092"/>
        <w:gridCol w:w="1092"/>
        <w:gridCol w:w="1092"/>
        <w:gridCol w:w="1092"/>
      </w:tblGrid>
      <w:tr w:rsidR="00130BE0" w:rsidRPr="001C5712" w14:paraId="00EB6090" w14:textId="77777777" w:rsidTr="00F54FA1">
        <w:trPr>
          <w:trHeight w:val="25"/>
          <w:jc w:val="center"/>
        </w:trPr>
        <w:tc>
          <w:tcPr>
            <w:tcW w:w="2880" w:type="dxa"/>
            <w:shd w:val="clear" w:color="auto" w:fill="D9D9D9"/>
            <w:tcMar>
              <w:top w:w="100" w:type="dxa"/>
              <w:left w:w="100" w:type="dxa"/>
              <w:bottom w:w="100" w:type="dxa"/>
              <w:right w:w="100" w:type="dxa"/>
            </w:tcMar>
          </w:tcPr>
          <w:p w14:paraId="285C3C89" w14:textId="62DDAE6A" w:rsidR="00130BE0" w:rsidRPr="001C5712" w:rsidRDefault="00130BE0" w:rsidP="00C369DD">
            <w:pPr>
              <w:widowControl w:val="0"/>
              <w:pBdr>
                <w:top w:val="nil"/>
                <w:left w:val="nil"/>
                <w:bottom w:val="nil"/>
                <w:right w:val="nil"/>
                <w:between w:val="nil"/>
              </w:pBdr>
              <w:spacing w:after="0"/>
              <w:jc w:val="center"/>
              <w:rPr>
                <w:b/>
                <w:sz w:val="18"/>
                <w:szCs w:val="18"/>
              </w:rPr>
            </w:pPr>
          </w:p>
        </w:tc>
        <w:tc>
          <w:tcPr>
            <w:tcW w:w="1092" w:type="dxa"/>
            <w:shd w:val="clear" w:color="auto" w:fill="D9D9D9"/>
            <w:tcMar>
              <w:top w:w="100" w:type="dxa"/>
              <w:left w:w="100" w:type="dxa"/>
              <w:bottom w:w="100" w:type="dxa"/>
              <w:right w:w="100" w:type="dxa"/>
            </w:tcMar>
          </w:tcPr>
          <w:p w14:paraId="758B1DB9" w14:textId="77777777" w:rsidR="00130BE0" w:rsidRPr="00D55686" w:rsidRDefault="00130BE0" w:rsidP="00D1002D">
            <w:pPr>
              <w:widowControl w:val="0"/>
              <w:pBdr>
                <w:top w:val="nil"/>
                <w:left w:val="nil"/>
                <w:bottom w:val="nil"/>
                <w:right w:val="nil"/>
                <w:between w:val="nil"/>
              </w:pBdr>
              <w:spacing w:after="0"/>
              <w:jc w:val="center"/>
              <w:rPr>
                <w:b/>
                <w:sz w:val="18"/>
                <w:szCs w:val="18"/>
              </w:rPr>
            </w:pPr>
            <w:r w:rsidRPr="00D55686">
              <w:rPr>
                <w:b/>
                <w:sz w:val="18"/>
                <w:szCs w:val="18"/>
              </w:rPr>
              <w:t>2017</w:t>
            </w:r>
          </w:p>
        </w:tc>
        <w:tc>
          <w:tcPr>
            <w:tcW w:w="1092" w:type="dxa"/>
            <w:shd w:val="clear" w:color="auto" w:fill="D9D9D9"/>
          </w:tcPr>
          <w:p w14:paraId="750026C2" w14:textId="77777777" w:rsidR="00130BE0" w:rsidRPr="00D55686" w:rsidRDefault="00130BE0" w:rsidP="00D1002D">
            <w:pPr>
              <w:widowControl w:val="0"/>
              <w:pBdr>
                <w:top w:val="nil"/>
                <w:left w:val="nil"/>
                <w:bottom w:val="nil"/>
                <w:right w:val="nil"/>
                <w:between w:val="nil"/>
              </w:pBdr>
              <w:spacing w:after="0"/>
              <w:jc w:val="center"/>
              <w:rPr>
                <w:b/>
                <w:sz w:val="18"/>
                <w:szCs w:val="18"/>
              </w:rPr>
            </w:pPr>
            <w:r w:rsidRPr="00D55686">
              <w:rPr>
                <w:b/>
                <w:sz w:val="18"/>
                <w:szCs w:val="18"/>
              </w:rPr>
              <w:t>2018</w:t>
            </w:r>
          </w:p>
        </w:tc>
        <w:tc>
          <w:tcPr>
            <w:tcW w:w="1092" w:type="dxa"/>
            <w:shd w:val="clear" w:color="auto" w:fill="D9D9D9"/>
          </w:tcPr>
          <w:p w14:paraId="21DBD7B1" w14:textId="77777777" w:rsidR="00130BE0" w:rsidRPr="00D55686" w:rsidRDefault="00130BE0" w:rsidP="00D1002D">
            <w:pPr>
              <w:widowControl w:val="0"/>
              <w:pBdr>
                <w:top w:val="nil"/>
                <w:left w:val="nil"/>
                <w:bottom w:val="nil"/>
                <w:right w:val="nil"/>
                <w:between w:val="nil"/>
              </w:pBdr>
              <w:spacing w:after="0"/>
              <w:jc w:val="center"/>
              <w:rPr>
                <w:b/>
                <w:sz w:val="18"/>
                <w:szCs w:val="18"/>
              </w:rPr>
            </w:pPr>
            <w:r w:rsidRPr="00D55686">
              <w:rPr>
                <w:b/>
                <w:sz w:val="18"/>
                <w:szCs w:val="18"/>
              </w:rPr>
              <w:t>2019</w:t>
            </w:r>
          </w:p>
        </w:tc>
        <w:tc>
          <w:tcPr>
            <w:tcW w:w="1092" w:type="dxa"/>
            <w:shd w:val="clear" w:color="auto" w:fill="D9D9D9"/>
          </w:tcPr>
          <w:p w14:paraId="09EE547B" w14:textId="77777777" w:rsidR="00130BE0" w:rsidRPr="00D55686" w:rsidRDefault="00130BE0" w:rsidP="00D1002D">
            <w:pPr>
              <w:widowControl w:val="0"/>
              <w:pBdr>
                <w:top w:val="nil"/>
                <w:left w:val="nil"/>
                <w:bottom w:val="nil"/>
                <w:right w:val="nil"/>
                <w:between w:val="nil"/>
              </w:pBdr>
              <w:spacing w:after="0"/>
              <w:jc w:val="center"/>
              <w:rPr>
                <w:b/>
                <w:sz w:val="18"/>
                <w:szCs w:val="18"/>
              </w:rPr>
            </w:pPr>
            <w:r w:rsidRPr="00D55686">
              <w:rPr>
                <w:b/>
                <w:sz w:val="18"/>
                <w:szCs w:val="18"/>
              </w:rPr>
              <w:t>2020</w:t>
            </w:r>
          </w:p>
        </w:tc>
        <w:tc>
          <w:tcPr>
            <w:tcW w:w="1092" w:type="dxa"/>
            <w:shd w:val="clear" w:color="auto" w:fill="D9D9D9"/>
          </w:tcPr>
          <w:p w14:paraId="172BA87C" w14:textId="77777777" w:rsidR="00130BE0" w:rsidRPr="00D55686" w:rsidRDefault="00130BE0" w:rsidP="00D1002D">
            <w:pPr>
              <w:widowControl w:val="0"/>
              <w:pBdr>
                <w:top w:val="nil"/>
                <w:left w:val="nil"/>
                <w:bottom w:val="nil"/>
                <w:right w:val="nil"/>
                <w:between w:val="nil"/>
              </w:pBdr>
              <w:spacing w:after="0"/>
              <w:jc w:val="center"/>
              <w:rPr>
                <w:b/>
                <w:sz w:val="18"/>
                <w:szCs w:val="18"/>
              </w:rPr>
            </w:pPr>
            <w:r w:rsidRPr="00D55686">
              <w:rPr>
                <w:b/>
                <w:sz w:val="18"/>
                <w:szCs w:val="18"/>
              </w:rPr>
              <w:t>2021</w:t>
            </w:r>
          </w:p>
        </w:tc>
      </w:tr>
      <w:tr w:rsidR="00130BE0" w:rsidRPr="001C5712" w14:paraId="79554744" w14:textId="77777777" w:rsidTr="00F54FA1">
        <w:trPr>
          <w:trHeight w:val="20"/>
          <w:jc w:val="center"/>
        </w:trPr>
        <w:tc>
          <w:tcPr>
            <w:tcW w:w="2880" w:type="dxa"/>
            <w:shd w:val="clear" w:color="auto" w:fill="auto"/>
            <w:tcMar>
              <w:top w:w="100" w:type="dxa"/>
              <w:left w:w="100" w:type="dxa"/>
              <w:bottom w:w="100" w:type="dxa"/>
              <w:right w:w="100" w:type="dxa"/>
            </w:tcMar>
          </w:tcPr>
          <w:p w14:paraId="60E41AAD" w14:textId="77777777" w:rsidR="00130BE0" w:rsidRPr="001C5712" w:rsidRDefault="00130BE0">
            <w:pPr>
              <w:widowControl w:val="0"/>
              <w:pBdr>
                <w:top w:val="nil"/>
                <w:left w:val="nil"/>
                <w:bottom w:val="nil"/>
                <w:right w:val="nil"/>
                <w:between w:val="nil"/>
              </w:pBdr>
              <w:spacing w:after="0"/>
              <w:ind w:left="-10" w:firstLine="0"/>
              <w:rPr>
                <w:bCs/>
                <w:sz w:val="18"/>
                <w:szCs w:val="18"/>
              </w:rPr>
            </w:pPr>
            <w:r>
              <w:rPr>
                <w:bCs/>
                <w:sz w:val="18"/>
                <w:szCs w:val="18"/>
              </w:rPr>
              <w:t xml:space="preserve">Taxpayers </w:t>
            </w:r>
            <w:proofErr w:type="gramStart"/>
            <w:r>
              <w:rPr>
                <w:bCs/>
                <w:sz w:val="18"/>
                <w:szCs w:val="18"/>
              </w:rPr>
              <w:t>obligated</w:t>
            </w:r>
            <w:proofErr w:type="gramEnd"/>
            <w:r>
              <w:rPr>
                <w:bCs/>
                <w:sz w:val="18"/>
                <w:szCs w:val="18"/>
              </w:rPr>
              <w:t xml:space="preserve"> to file an </w:t>
            </w:r>
            <w:proofErr w:type="gramStart"/>
            <w:r>
              <w:rPr>
                <w:bCs/>
                <w:sz w:val="18"/>
                <w:szCs w:val="18"/>
              </w:rPr>
              <w:t>annual income</w:t>
            </w:r>
            <w:proofErr w:type="gramEnd"/>
            <w:r>
              <w:rPr>
                <w:bCs/>
                <w:sz w:val="18"/>
                <w:szCs w:val="18"/>
              </w:rPr>
              <w:t xml:space="preserve"> tax return</w:t>
            </w:r>
          </w:p>
        </w:tc>
        <w:tc>
          <w:tcPr>
            <w:tcW w:w="1092" w:type="dxa"/>
            <w:shd w:val="clear" w:color="auto" w:fill="FFFFFF" w:themeFill="background1"/>
            <w:tcMar>
              <w:top w:w="100" w:type="dxa"/>
              <w:left w:w="100" w:type="dxa"/>
              <w:bottom w:w="100" w:type="dxa"/>
              <w:right w:w="100" w:type="dxa"/>
            </w:tcMar>
          </w:tcPr>
          <w:p w14:paraId="29E038B1"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1,188,488</w:t>
            </w:r>
          </w:p>
        </w:tc>
        <w:tc>
          <w:tcPr>
            <w:tcW w:w="1092" w:type="dxa"/>
            <w:shd w:val="clear" w:color="auto" w:fill="FFFFFF" w:themeFill="background1"/>
          </w:tcPr>
          <w:p w14:paraId="19EB9513"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1,451,512</w:t>
            </w:r>
          </w:p>
        </w:tc>
        <w:tc>
          <w:tcPr>
            <w:tcW w:w="1092" w:type="dxa"/>
            <w:shd w:val="clear" w:color="auto" w:fill="FFFFFF" w:themeFill="background1"/>
          </w:tcPr>
          <w:p w14:paraId="7DC2CB45"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1,472,217</w:t>
            </w:r>
          </w:p>
        </w:tc>
        <w:tc>
          <w:tcPr>
            <w:tcW w:w="1092" w:type="dxa"/>
            <w:shd w:val="clear" w:color="auto" w:fill="FFFFFF" w:themeFill="background1"/>
          </w:tcPr>
          <w:p w14:paraId="34FD204F"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1,482,500</w:t>
            </w:r>
          </w:p>
        </w:tc>
        <w:tc>
          <w:tcPr>
            <w:tcW w:w="1092" w:type="dxa"/>
            <w:shd w:val="clear" w:color="auto" w:fill="FFFFFF" w:themeFill="background1"/>
          </w:tcPr>
          <w:p w14:paraId="6DCD557B"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1,652,251</w:t>
            </w:r>
          </w:p>
        </w:tc>
      </w:tr>
      <w:tr w:rsidR="00130BE0" w:rsidRPr="001C5712" w14:paraId="7E725CC6" w14:textId="77777777" w:rsidTr="00F54FA1">
        <w:trPr>
          <w:trHeight w:val="20"/>
          <w:jc w:val="center"/>
        </w:trPr>
        <w:tc>
          <w:tcPr>
            <w:tcW w:w="2880" w:type="dxa"/>
            <w:shd w:val="clear" w:color="auto" w:fill="auto"/>
            <w:tcMar>
              <w:top w:w="100" w:type="dxa"/>
              <w:left w:w="100" w:type="dxa"/>
              <w:bottom w:w="100" w:type="dxa"/>
              <w:right w:w="100" w:type="dxa"/>
            </w:tcMar>
          </w:tcPr>
          <w:p w14:paraId="579BF802" w14:textId="77777777" w:rsidR="00130BE0" w:rsidRPr="001C5712" w:rsidRDefault="00130BE0">
            <w:pPr>
              <w:widowControl w:val="0"/>
              <w:pBdr>
                <w:top w:val="nil"/>
                <w:left w:val="nil"/>
                <w:bottom w:val="nil"/>
                <w:right w:val="nil"/>
                <w:between w:val="nil"/>
              </w:pBdr>
              <w:spacing w:after="0"/>
              <w:ind w:left="-10" w:firstLine="0"/>
              <w:rPr>
                <w:bCs/>
                <w:sz w:val="18"/>
                <w:szCs w:val="18"/>
              </w:rPr>
            </w:pPr>
            <w:r>
              <w:rPr>
                <w:bCs/>
                <w:sz w:val="18"/>
                <w:szCs w:val="18"/>
              </w:rPr>
              <w:t>Taxpayers that filed an annual income tax return</w:t>
            </w:r>
          </w:p>
        </w:tc>
        <w:tc>
          <w:tcPr>
            <w:tcW w:w="1092" w:type="dxa"/>
            <w:shd w:val="clear" w:color="auto" w:fill="FFFFFF" w:themeFill="background1"/>
            <w:tcMar>
              <w:top w:w="100" w:type="dxa"/>
              <w:left w:w="100" w:type="dxa"/>
              <w:bottom w:w="100" w:type="dxa"/>
              <w:right w:w="100" w:type="dxa"/>
            </w:tcMar>
          </w:tcPr>
          <w:p w14:paraId="15864BC2"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774,188</w:t>
            </w:r>
          </w:p>
        </w:tc>
        <w:tc>
          <w:tcPr>
            <w:tcW w:w="1092" w:type="dxa"/>
            <w:shd w:val="clear" w:color="auto" w:fill="FFFFFF" w:themeFill="background1"/>
          </w:tcPr>
          <w:p w14:paraId="5C14FB96"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854,354</w:t>
            </w:r>
          </w:p>
        </w:tc>
        <w:tc>
          <w:tcPr>
            <w:tcW w:w="1092" w:type="dxa"/>
            <w:shd w:val="clear" w:color="auto" w:fill="FFFFFF" w:themeFill="background1"/>
          </w:tcPr>
          <w:p w14:paraId="2C04867B"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963,814</w:t>
            </w:r>
          </w:p>
        </w:tc>
        <w:tc>
          <w:tcPr>
            <w:tcW w:w="1092" w:type="dxa"/>
            <w:shd w:val="clear" w:color="auto" w:fill="FFFFFF" w:themeFill="background1"/>
          </w:tcPr>
          <w:p w14:paraId="44A7E01E"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891,877</w:t>
            </w:r>
          </w:p>
        </w:tc>
        <w:tc>
          <w:tcPr>
            <w:tcW w:w="1092" w:type="dxa"/>
            <w:shd w:val="clear" w:color="auto" w:fill="FFFFFF" w:themeFill="background1"/>
          </w:tcPr>
          <w:p w14:paraId="774DCB04"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1,012,302</w:t>
            </w:r>
          </w:p>
        </w:tc>
      </w:tr>
      <w:tr w:rsidR="00130BE0" w:rsidRPr="001C5712" w14:paraId="1D9B3540" w14:textId="77777777" w:rsidTr="00F54FA1">
        <w:trPr>
          <w:trHeight w:val="20"/>
          <w:jc w:val="center"/>
        </w:trPr>
        <w:tc>
          <w:tcPr>
            <w:tcW w:w="2880" w:type="dxa"/>
            <w:shd w:val="clear" w:color="auto" w:fill="auto"/>
            <w:tcMar>
              <w:top w:w="100" w:type="dxa"/>
              <w:left w:w="100" w:type="dxa"/>
              <w:bottom w:w="100" w:type="dxa"/>
              <w:right w:w="100" w:type="dxa"/>
            </w:tcMar>
          </w:tcPr>
          <w:p w14:paraId="045E0FBE" w14:textId="77777777" w:rsidR="00130BE0" w:rsidRPr="001C5712" w:rsidRDefault="00130BE0">
            <w:pPr>
              <w:widowControl w:val="0"/>
              <w:pBdr>
                <w:top w:val="nil"/>
                <w:left w:val="nil"/>
                <w:bottom w:val="nil"/>
                <w:right w:val="nil"/>
                <w:between w:val="nil"/>
              </w:pBdr>
              <w:spacing w:after="0"/>
              <w:ind w:left="-10" w:firstLine="0"/>
              <w:rPr>
                <w:bCs/>
                <w:sz w:val="18"/>
                <w:szCs w:val="18"/>
              </w:rPr>
            </w:pPr>
            <w:r>
              <w:rPr>
                <w:bCs/>
                <w:sz w:val="18"/>
                <w:szCs w:val="18"/>
              </w:rPr>
              <w:t>Compliance ratio</w:t>
            </w:r>
          </w:p>
        </w:tc>
        <w:tc>
          <w:tcPr>
            <w:tcW w:w="1092" w:type="dxa"/>
            <w:shd w:val="clear" w:color="auto" w:fill="FFFFFF" w:themeFill="background1"/>
            <w:tcMar>
              <w:top w:w="100" w:type="dxa"/>
              <w:left w:w="100" w:type="dxa"/>
              <w:bottom w:w="100" w:type="dxa"/>
              <w:right w:w="100" w:type="dxa"/>
            </w:tcMar>
          </w:tcPr>
          <w:p w14:paraId="278EB096"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65.14%</w:t>
            </w:r>
          </w:p>
        </w:tc>
        <w:tc>
          <w:tcPr>
            <w:tcW w:w="1092" w:type="dxa"/>
            <w:shd w:val="clear" w:color="auto" w:fill="FFFFFF" w:themeFill="background1"/>
          </w:tcPr>
          <w:p w14:paraId="281925B0"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58.86%</w:t>
            </w:r>
          </w:p>
        </w:tc>
        <w:tc>
          <w:tcPr>
            <w:tcW w:w="1092" w:type="dxa"/>
            <w:shd w:val="clear" w:color="auto" w:fill="FFFFFF" w:themeFill="background1"/>
          </w:tcPr>
          <w:p w14:paraId="67C79771"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65.47%</w:t>
            </w:r>
          </w:p>
        </w:tc>
        <w:tc>
          <w:tcPr>
            <w:tcW w:w="1092" w:type="dxa"/>
            <w:shd w:val="clear" w:color="auto" w:fill="FFFFFF" w:themeFill="background1"/>
          </w:tcPr>
          <w:p w14:paraId="6F09C754"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60.16%</w:t>
            </w:r>
          </w:p>
        </w:tc>
        <w:tc>
          <w:tcPr>
            <w:tcW w:w="1092" w:type="dxa"/>
            <w:shd w:val="clear" w:color="auto" w:fill="FFFFFF" w:themeFill="background1"/>
          </w:tcPr>
          <w:p w14:paraId="6530D654" w14:textId="77777777" w:rsidR="00130BE0" w:rsidRPr="001C5712" w:rsidRDefault="00130BE0" w:rsidP="00F54FA1">
            <w:pPr>
              <w:widowControl w:val="0"/>
              <w:pBdr>
                <w:top w:val="nil"/>
                <w:left w:val="nil"/>
                <w:bottom w:val="nil"/>
                <w:right w:val="nil"/>
                <w:between w:val="nil"/>
              </w:pBdr>
              <w:spacing w:after="0"/>
              <w:jc w:val="right"/>
              <w:rPr>
                <w:sz w:val="18"/>
                <w:szCs w:val="18"/>
              </w:rPr>
            </w:pPr>
            <w:r>
              <w:rPr>
                <w:sz w:val="18"/>
                <w:szCs w:val="18"/>
              </w:rPr>
              <w:t>61.27%</w:t>
            </w:r>
          </w:p>
        </w:tc>
      </w:tr>
      <w:tr w:rsidR="00130BE0" w:rsidRPr="001C5712" w14:paraId="651B34CB" w14:textId="77777777" w:rsidTr="00F54FA1">
        <w:trPr>
          <w:trHeight w:val="20"/>
          <w:jc w:val="center"/>
        </w:trPr>
        <w:tc>
          <w:tcPr>
            <w:tcW w:w="2880" w:type="dxa"/>
            <w:shd w:val="clear" w:color="auto" w:fill="auto"/>
            <w:tcMar>
              <w:top w:w="100" w:type="dxa"/>
              <w:left w:w="100" w:type="dxa"/>
              <w:bottom w:w="100" w:type="dxa"/>
              <w:right w:w="100" w:type="dxa"/>
            </w:tcMar>
          </w:tcPr>
          <w:p w14:paraId="66569ED5" w14:textId="77777777" w:rsidR="00130BE0" w:rsidRDefault="00130BE0">
            <w:pPr>
              <w:widowControl w:val="0"/>
              <w:pBdr>
                <w:top w:val="nil"/>
                <w:left w:val="nil"/>
                <w:bottom w:val="nil"/>
                <w:right w:val="nil"/>
                <w:between w:val="nil"/>
              </w:pBdr>
              <w:spacing w:after="0"/>
              <w:ind w:left="-10" w:firstLine="0"/>
              <w:rPr>
                <w:bCs/>
                <w:sz w:val="18"/>
                <w:szCs w:val="18"/>
              </w:rPr>
            </w:pPr>
            <w:r>
              <w:rPr>
                <w:bCs/>
                <w:sz w:val="18"/>
                <w:szCs w:val="18"/>
              </w:rPr>
              <w:t>Audits conducted</w:t>
            </w:r>
          </w:p>
        </w:tc>
        <w:tc>
          <w:tcPr>
            <w:tcW w:w="1092" w:type="dxa"/>
            <w:shd w:val="clear" w:color="auto" w:fill="FFFFFF" w:themeFill="background1"/>
            <w:tcMar>
              <w:top w:w="100" w:type="dxa"/>
              <w:left w:w="100" w:type="dxa"/>
              <w:bottom w:w="100" w:type="dxa"/>
              <w:right w:w="100" w:type="dxa"/>
            </w:tcMar>
          </w:tcPr>
          <w:p w14:paraId="24182F44" w14:textId="77777777" w:rsidR="00130BE0" w:rsidRDefault="00130BE0" w:rsidP="00F54FA1">
            <w:pPr>
              <w:widowControl w:val="0"/>
              <w:pBdr>
                <w:top w:val="nil"/>
                <w:left w:val="nil"/>
                <w:bottom w:val="nil"/>
                <w:right w:val="nil"/>
                <w:between w:val="nil"/>
              </w:pBdr>
              <w:spacing w:after="0"/>
              <w:jc w:val="right"/>
              <w:rPr>
                <w:sz w:val="18"/>
                <w:szCs w:val="18"/>
              </w:rPr>
            </w:pPr>
            <w:r>
              <w:rPr>
                <w:sz w:val="18"/>
                <w:szCs w:val="18"/>
              </w:rPr>
              <w:t>34,148</w:t>
            </w:r>
          </w:p>
        </w:tc>
        <w:tc>
          <w:tcPr>
            <w:tcW w:w="1092" w:type="dxa"/>
            <w:shd w:val="clear" w:color="auto" w:fill="FFFFFF" w:themeFill="background1"/>
          </w:tcPr>
          <w:p w14:paraId="4EDA0E08" w14:textId="77777777" w:rsidR="00130BE0" w:rsidRDefault="00130BE0" w:rsidP="00F54FA1">
            <w:pPr>
              <w:widowControl w:val="0"/>
              <w:pBdr>
                <w:top w:val="nil"/>
                <w:left w:val="nil"/>
                <w:bottom w:val="nil"/>
                <w:right w:val="nil"/>
                <w:between w:val="nil"/>
              </w:pBdr>
              <w:spacing w:after="0"/>
              <w:jc w:val="right"/>
              <w:rPr>
                <w:sz w:val="18"/>
                <w:szCs w:val="18"/>
              </w:rPr>
            </w:pPr>
            <w:r>
              <w:rPr>
                <w:sz w:val="18"/>
                <w:szCs w:val="18"/>
              </w:rPr>
              <w:t>38,405</w:t>
            </w:r>
          </w:p>
        </w:tc>
        <w:tc>
          <w:tcPr>
            <w:tcW w:w="1092" w:type="dxa"/>
            <w:shd w:val="clear" w:color="auto" w:fill="FFFFFF" w:themeFill="background1"/>
          </w:tcPr>
          <w:p w14:paraId="1E5929F1" w14:textId="77777777" w:rsidR="00130BE0" w:rsidRDefault="00130BE0" w:rsidP="00F54FA1">
            <w:pPr>
              <w:widowControl w:val="0"/>
              <w:pBdr>
                <w:top w:val="nil"/>
                <w:left w:val="nil"/>
                <w:bottom w:val="nil"/>
                <w:right w:val="nil"/>
                <w:between w:val="nil"/>
              </w:pBdr>
              <w:spacing w:after="0"/>
              <w:jc w:val="right"/>
              <w:rPr>
                <w:sz w:val="18"/>
                <w:szCs w:val="18"/>
              </w:rPr>
            </w:pPr>
            <w:r>
              <w:rPr>
                <w:sz w:val="18"/>
                <w:szCs w:val="18"/>
              </w:rPr>
              <w:t>35,391</w:t>
            </w:r>
          </w:p>
        </w:tc>
        <w:tc>
          <w:tcPr>
            <w:tcW w:w="1092" w:type="dxa"/>
            <w:shd w:val="clear" w:color="auto" w:fill="FFFFFF" w:themeFill="background1"/>
          </w:tcPr>
          <w:p w14:paraId="5DAABEA4" w14:textId="77777777" w:rsidR="00130BE0" w:rsidRDefault="00130BE0" w:rsidP="00F54FA1">
            <w:pPr>
              <w:widowControl w:val="0"/>
              <w:pBdr>
                <w:top w:val="nil"/>
                <w:left w:val="nil"/>
                <w:bottom w:val="nil"/>
                <w:right w:val="nil"/>
                <w:between w:val="nil"/>
              </w:pBdr>
              <w:spacing w:after="0"/>
              <w:jc w:val="right"/>
              <w:rPr>
                <w:sz w:val="18"/>
                <w:szCs w:val="18"/>
              </w:rPr>
            </w:pPr>
            <w:r>
              <w:rPr>
                <w:sz w:val="18"/>
                <w:szCs w:val="18"/>
              </w:rPr>
              <w:t>35,589</w:t>
            </w:r>
          </w:p>
        </w:tc>
        <w:tc>
          <w:tcPr>
            <w:tcW w:w="1092" w:type="dxa"/>
            <w:shd w:val="clear" w:color="auto" w:fill="FFFFFF" w:themeFill="background1"/>
          </w:tcPr>
          <w:p w14:paraId="7A608D57" w14:textId="77777777" w:rsidR="00130BE0" w:rsidRDefault="00130BE0" w:rsidP="00F54FA1">
            <w:pPr>
              <w:widowControl w:val="0"/>
              <w:pBdr>
                <w:top w:val="nil"/>
                <w:left w:val="nil"/>
                <w:bottom w:val="nil"/>
                <w:right w:val="nil"/>
                <w:between w:val="nil"/>
              </w:pBdr>
              <w:spacing w:after="0"/>
              <w:jc w:val="right"/>
              <w:rPr>
                <w:sz w:val="18"/>
                <w:szCs w:val="18"/>
              </w:rPr>
            </w:pPr>
            <w:r>
              <w:rPr>
                <w:sz w:val="18"/>
                <w:szCs w:val="18"/>
              </w:rPr>
              <w:t>29,491</w:t>
            </w:r>
          </w:p>
        </w:tc>
      </w:tr>
    </w:tbl>
    <w:p w14:paraId="71B6D216" w14:textId="77777777" w:rsidR="00F91DB2" w:rsidRPr="00251FDA" w:rsidRDefault="00F91DB2" w:rsidP="00517F71">
      <w:pPr>
        <w:spacing w:after="0"/>
        <w:ind w:left="426" w:hanging="142"/>
        <w:rPr>
          <w:sz w:val="18"/>
          <w:szCs w:val="18"/>
        </w:rPr>
      </w:pPr>
      <w:r w:rsidRPr="00517F71">
        <w:rPr>
          <w:i/>
          <w:iCs/>
          <w:sz w:val="18"/>
          <w:szCs w:val="18"/>
        </w:rPr>
        <w:t>Source</w:t>
      </w:r>
      <w:r>
        <w:rPr>
          <w:sz w:val="18"/>
          <w:szCs w:val="18"/>
        </w:rPr>
        <w:t>: Annual reports of the DGT.</w:t>
      </w:r>
    </w:p>
    <w:p w14:paraId="5FC5490E" w14:textId="77777777" w:rsidR="00130BE0" w:rsidRDefault="00130BE0" w:rsidP="00517F71">
      <w:pPr>
        <w:spacing w:after="0"/>
        <w:ind w:left="426" w:hanging="142"/>
        <w:rPr>
          <w:sz w:val="18"/>
          <w:szCs w:val="18"/>
        </w:rPr>
      </w:pPr>
      <w:r w:rsidRPr="00517F71">
        <w:rPr>
          <w:i/>
          <w:iCs/>
          <w:sz w:val="18"/>
          <w:szCs w:val="18"/>
        </w:rPr>
        <w:t>Note</w:t>
      </w:r>
      <w:r w:rsidRPr="00251FDA">
        <w:rPr>
          <w:sz w:val="18"/>
          <w:szCs w:val="18"/>
        </w:rPr>
        <w:t xml:space="preserve">: </w:t>
      </w:r>
      <w:r>
        <w:rPr>
          <w:sz w:val="18"/>
          <w:szCs w:val="18"/>
        </w:rPr>
        <w:t>Audits conducted relate to tax filings by businesses for their activities in the previous year.</w:t>
      </w:r>
    </w:p>
    <w:p w14:paraId="77AEF8D5" w14:textId="7FB9339B" w:rsidR="00CC0016" w:rsidRDefault="00130BE0" w:rsidP="00CC0016">
      <w:pPr>
        <w:pStyle w:val="ListParagraph"/>
        <w:numPr>
          <w:ilvl w:val="0"/>
          <w:numId w:val="12"/>
        </w:numPr>
        <w:spacing w:before="120"/>
        <w:ind w:left="0" w:firstLine="0"/>
        <w:contextualSpacing w:val="0"/>
        <w:jc w:val="both"/>
        <w:rPr>
          <w:bCs/>
        </w:rPr>
      </w:pPr>
      <w:r w:rsidRPr="00F104BB">
        <w:rPr>
          <w:b/>
          <w:bCs/>
        </w:rPr>
        <w:t xml:space="preserve">There is considerable evidence of low tax compliance in Indonesia. </w:t>
      </w:r>
      <w:r w:rsidRPr="00F104BB">
        <w:rPr>
          <w:rFonts w:ascii="CMR10" w:hAnsi="CMR10" w:cs="CMR10"/>
          <w:lang w:bidi="si-LK"/>
        </w:rPr>
        <w:t xml:space="preserve">A microsimulation modelling exercise undertaken by the DGT and the World Bank analyzed the results of DGT CIT audits over 2011-15. Based on divergences between taxpayer self-declared liabilities and auditor-assessed liabilities, it concluded that misreporting was a major source of tax noncompliance. </w:t>
      </w:r>
      <w:r w:rsidR="006F6A1E">
        <w:rPr>
          <w:rFonts w:ascii="CMR10" w:hAnsi="CMR10" w:cs="CMR10"/>
          <w:lang w:bidi="si-LK"/>
        </w:rPr>
        <w:t xml:space="preserve">Recent </w:t>
      </w:r>
      <w:r w:rsidRPr="00316068">
        <w:rPr>
          <w:rFonts w:ascii="CMR10" w:hAnsi="CMR10" w:cs="CMR10"/>
          <w:lang w:bidi="si-LK"/>
        </w:rPr>
        <w:t>World Bank research</w:t>
      </w:r>
      <w:r w:rsidR="00831B66">
        <w:rPr>
          <w:rFonts w:ascii="CMR10" w:hAnsi="CMR10" w:cs="CMR10"/>
          <w:lang w:bidi="si-LK"/>
        </w:rPr>
        <w:t xml:space="preserve"> (</w:t>
      </w:r>
      <w:r w:rsidR="00CB6162">
        <w:rPr>
          <w:rFonts w:ascii="CMR10" w:hAnsi="CMR10" w:cs="CMR10"/>
          <w:lang w:bidi="si-LK"/>
        </w:rPr>
        <w:t>Hoy</w:t>
      </w:r>
      <w:r w:rsidR="00F50A45">
        <w:rPr>
          <w:rFonts w:ascii="CMR10" w:hAnsi="CMR10" w:cs="CMR10"/>
          <w:lang w:bidi="si-LK"/>
        </w:rPr>
        <w:t xml:space="preserve"> et al</w:t>
      </w:r>
      <w:r w:rsidR="0078649A">
        <w:rPr>
          <w:rFonts w:ascii="CMR10" w:hAnsi="CMR10" w:cs="CMR10"/>
          <w:lang w:bidi="si-LK"/>
        </w:rPr>
        <w:t>.</w:t>
      </w:r>
      <w:r w:rsidR="00831B66">
        <w:rPr>
          <w:rFonts w:ascii="CMR10" w:hAnsi="CMR10" w:cs="CMR10"/>
          <w:lang w:bidi="si-LK"/>
        </w:rPr>
        <w:t xml:space="preserve"> 2024)</w:t>
      </w:r>
      <w:r w:rsidRPr="00316068">
        <w:rPr>
          <w:rFonts w:ascii="CMR10" w:hAnsi="CMR10" w:cs="CMR10"/>
          <w:lang w:bidi="si-LK"/>
        </w:rPr>
        <w:t xml:space="preserve">, </w:t>
      </w:r>
      <w:r w:rsidR="006F6A1E">
        <w:rPr>
          <w:rFonts w:ascii="CMR10" w:hAnsi="CMR10" w:cs="CMR10"/>
          <w:lang w:bidi="si-LK"/>
        </w:rPr>
        <w:t xml:space="preserve">using a novel </w:t>
      </w:r>
      <w:r w:rsidRPr="00316068">
        <w:rPr>
          <w:rFonts w:ascii="CMR10" w:hAnsi="CMR10" w:cs="CMR10"/>
          <w:lang w:bidi="si-LK"/>
        </w:rPr>
        <w:t xml:space="preserve">survey experiment </w:t>
      </w:r>
      <w:r w:rsidR="00CD4157">
        <w:rPr>
          <w:rFonts w:ascii="CMR10" w:hAnsi="CMR10" w:cs="CMR10"/>
          <w:lang w:bidi="si-LK"/>
        </w:rPr>
        <w:t xml:space="preserve">from </w:t>
      </w:r>
      <w:r w:rsidRPr="00316068">
        <w:rPr>
          <w:rFonts w:ascii="CMR10" w:hAnsi="CMR10" w:cs="CMR10"/>
          <w:lang w:bidi="si-LK"/>
        </w:rPr>
        <w:t xml:space="preserve">the </w:t>
      </w:r>
      <w:r w:rsidR="00DE5A12">
        <w:rPr>
          <w:rFonts w:ascii="CMR10" w:hAnsi="CMR10" w:cs="CMR10"/>
          <w:lang w:bidi="si-LK"/>
        </w:rPr>
        <w:t xml:space="preserve">2003 </w:t>
      </w:r>
      <w:r w:rsidR="00046B55">
        <w:rPr>
          <w:rFonts w:ascii="CMR10" w:hAnsi="CMR10" w:cs="CMR10"/>
          <w:lang w:bidi="si-LK"/>
        </w:rPr>
        <w:t xml:space="preserve">World Bank </w:t>
      </w:r>
      <w:r w:rsidRPr="00316068">
        <w:rPr>
          <w:rFonts w:ascii="CMR10" w:hAnsi="CMR10" w:cs="CMR10"/>
          <w:lang w:bidi="si-LK"/>
        </w:rPr>
        <w:t xml:space="preserve">Enterprise Survey </w:t>
      </w:r>
      <w:r w:rsidR="003377E0">
        <w:rPr>
          <w:rFonts w:ascii="CMR10" w:hAnsi="CMR10" w:cs="CMR10"/>
          <w:lang w:bidi="si-LK"/>
        </w:rPr>
        <w:t xml:space="preserve">(WBES) </w:t>
      </w:r>
      <w:r w:rsidR="00046B55">
        <w:rPr>
          <w:rFonts w:ascii="CMR10" w:hAnsi="CMR10" w:cs="CMR10"/>
          <w:lang w:bidi="si-LK"/>
        </w:rPr>
        <w:t>for Indonesia</w:t>
      </w:r>
      <w:r w:rsidR="00CD4157">
        <w:rPr>
          <w:rFonts w:ascii="CMR10" w:hAnsi="CMR10" w:cs="CMR10"/>
          <w:lang w:bidi="si-LK"/>
        </w:rPr>
        <w:t>,</w:t>
      </w:r>
      <w:r w:rsidR="00046B55">
        <w:rPr>
          <w:rFonts w:ascii="CMR10" w:hAnsi="CMR10" w:cs="CMR10"/>
          <w:lang w:bidi="si-LK"/>
        </w:rPr>
        <w:t xml:space="preserve"> </w:t>
      </w:r>
      <w:r w:rsidRPr="00316068">
        <w:rPr>
          <w:rFonts w:ascii="CMR10" w:hAnsi="CMR10" w:cs="CMR10"/>
          <w:lang w:bidi="si-LK"/>
        </w:rPr>
        <w:t>suggest</w:t>
      </w:r>
      <w:r w:rsidR="00CD4157">
        <w:rPr>
          <w:rFonts w:ascii="CMR10" w:hAnsi="CMR10" w:cs="CMR10"/>
          <w:lang w:bidi="si-LK"/>
        </w:rPr>
        <w:t>s</w:t>
      </w:r>
      <w:r w:rsidRPr="00316068">
        <w:rPr>
          <w:rFonts w:ascii="CMR10" w:hAnsi="CMR10" w:cs="CMR10"/>
          <w:lang w:bidi="si-LK"/>
        </w:rPr>
        <w:t xml:space="preserve"> that </w:t>
      </w:r>
      <w:r w:rsidR="00CB262B">
        <w:rPr>
          <w:rFonts w:ascii="CMR10" w:hAnsi="CMR10" w:cs="CMR10"/>
          <w:lang w:bidi="si-LK"/>
        </w:rPr>
        <w:t>about one-</w:t>
      </w:r>
      <w:r w:rsidR="00CB6162">
        <w:rPr>
          <w:rFonts w:ascii="CMR10" w:hAnsi="CMR10" w:cs="CMR10"/>
          <w:lang w:bidi="si-LK"/>
        </w:rPr>
        <w:t xml:space="preserve">quarter </w:t>
      </w:r>
      <w:r w:rsidRPr="00316068">
        <w:rPr>
          <w:rFonts w:ascii="CMR10" w:hAnsi="CMR10" w:cs="CMR10"/>
          <w:lang w:bidi="si-LK"/>
        </w:rPr>
        <w:t xml:space="preserve">of </w:t>
      </w:r>
      <w:r w:rsidR="004C05C5" w:rsidRPr="00316068">
        <w:rPr>
          <w:rFonts w:ascii="CMR10" w:hAnsi="CMR10" w:cs="CMR10"/>
          <w:lang w:bidi="si-LK"/>
        </w:rPr>
        <w:t xml:space="preserve">registered </w:t>
      </w:r>
      <w:r w:rsidRPr="00316068">
        <w:rPr>
          <w:rFonts w:ascii="CMR10" w:hAnsi="CMR10" w:cs="CMR10"/>
          <w:lang w:bidi="si-LK"/>
        </w:rPr>
        <w:t xml:space="preserve">firms do not pay the full taxes that they believe they owe. </w:t>
      </w:r>
      <w:r w:rsidR="009D2FF5" w:rsidRPr="009D2FF5">
        <w:rPr>
          <w:rFonts w:ascii="CMR10" w:hAnsi="CMR10" w:cs="CMR10"/>
          <w:lang w:bidi="si-LK"/>
        </w:rPr>
        <w:t>Qian</w:t>
      </w:r>
      <w:r w:rsidR="009D2FF5">
        <w:rPr>
          <w:rFonts w:ascii="CMR10" w:hAnsi="CMR10" w:cs="CMR10"/>
          <w:lang w:bidi="si-LK"/>
        </w:rPr>
        <w:t xml:space="preserve"> and </w:t>
      </w:r>
      <w:r w:rsidR="009D2FF5" w:rsidRPr="009D2FF5">
        <w:rPr>
          <w:rFonts w:ascii="CMR10" w:hAnsi="CMR10" w:cs="CMR10"/>
          <w:lang w:bidi="si-LK"/>
        </w:rPr>
        <w:t xml:space="preserve">Poniatowski </w:t>
      </w:r>
      <w:r w:rsidR="001E5411">
        <w:rPr>
          <w:rFonts w:ascii="CMR10" w:hAnsi="CMR10" w:cs="CMR10"/>
          <w:lang w:bidi="si-LK"/>
        </w:rPr>
        <w:t>(</w:t>
      </w:r>
      <w:r w:rsidR="00173001">
        <w:rPr>
          <w:rFonts w:ascii="CMR10" w:hAnsi="CMR10" w:cs="CMR10"/>
          <w:lang w:bidi="si-LK"/>
        </w:rPr>
        <w:t>2024</w:t>
      </w:r>
      <w:r w:rsidR="001E5411">
        <w:rPr>
          <w:rFonts w:ascii="CMR10" w:hAnsi="CMR10" w:cs="CMR10"/>
          <w:lang w:bidi="si-LK"/>
        </w:rPr>
        <w:t>)</w:t>
      </w:r>
      <w:r w:rsidRPr="00F104BB" w:rsidDel="001E5411">
        <w:rPr>
          <w:rFonts w:ascii="CMR10" w:hAnsi="CMR10" w:cs="CMR10"/>
          <w:lang w:bidi="si-LK"/>
        </w:rPr>
        <w:t xml:space="preserve"> </w:t>
      </w:r>
      <w:r w:rsidRPr="00F104BB">
        <w:rPr>
          <w:rFonts w:ascii="CMR10" w:hAnsi="CMR10" w:cs="CMR10"/>
          <w:lang w:bidi="si-LK"/>
        </w:rPr>
        <w:t>suggest that tax losses due to gaps in CIT compliance amount</w:t>
      </w:r>
      <w:r w:rsidR="00D1002D">
        <w:rPr>
          <w:rFonts w:ascii="CMR10" w:hAnsi="CMR10" w:cs="CMR10"/>
          <w:lang w:bidi="si-LK"/>
        </w:rPr>
        <w:t>ed</w:t>
      </w:r>
      <w:r w:rsidRPr="00F104BB">
        <w:rPr>
          <w:rFonts w:ascii="CMR10" w:hAnsi="CMR10" w:cs="CMR10"/>
          <w:lang w:bidi="si-LK"/>
        </w:rPr>
        <w:t xml:space="preserve"> to </w:t>
      </w:r>
      <w:r w:rsidR="002D3019">
        <w:rPr>
          <w:rFonts w:ascii="CMR10" w:hAnsi="CMR10" w:cs="CMR10"/>
          <w:lang w:bidi="si-LK"/>
        </w:rPr>
        <w:t xml:space="preserve">1.1 percent </w:t>
      </w:r>
      <w:r w:rsidRPr="00F104BB">
        <w:rPr>
          <w:rFonts w:ascii="CMR10" w:hAnsi="CMR10" w:cs="CMR10"/>
          <w:lang w:bidi="si-LK"/>
        </w:rPr>
        <w:t>of GDP</w:t>
      </w:r>
      <w:r w:rsidR="002D3019">
        <w:rPr>
          <w:rFonts w:ascii="CMR10" w:hAnsi="CMR10" w:cs="CMR10"/>
          <w:lang w:bidi="si-LK"/>
        </w:rPr>
        <w:t xml:space="preserve"> </w:t>
      </w:r>
      <w:r w:rsidR="009E6999">
        <w:rPr>
          <w:rFonts w:ascii="CMR10" w:hAnsi="CMR10" w:cs="CMR10"/>
          <w:lang w:bidi="si-LK"/>
        </w:rPr>
        <w:t xml:space="preserve">per annum </w:t>
      </w:r>
      <w:r w:rsidR="002D3019">
        <w:rPr>
          <w:rFonts w:ascii="CMR10" w:hAnsi="CMR10" w:cs="CMR10"/>
          <w:lang w:bidi="si-LK"/>
        </w:rPr>
        <w:t>between 2016 and 2021</w:t>
      </w:r>
      <w:r w:rsidRPr="00F104BB">
        <w:rPr>
          <w:rFonts w:ascii="CMR10" w:hAnsi="CMR10" w:cs="CMR10"/>
          <w:lang w:bidi="si-LK"/>
        </w:rPr>
        <w:t xml:space="preserve">. The IMF (2018) reports that less than 25 percent of professional services corporations meet their tax filing obligations. </w:t>
      </w:r>
      <w:r w:rsidRPr="00F104BB">
        <w:rPr>
          <w:bCs/>
        </w:rPr>
        <w:t xml:space="preserve">Indonesia’s long-running challenges with tax compliance might partially explain the country's lower CIT efficiency ratio compared to its ASEAN peers. </w:t>
      </w:r>
    </w:p>
    <w:p w14:paraId="1F8C7FDA" w14:textId="54F7E12C" w:rsidR="00D53EEB" w:rsidRPr="0023040F" w:rsidRDefault="000E588E" w:rsidP="000740AF">
      <w:pPr>
        <w:pStyle w:val="ListParagraph"/>
        <w:numPr>
          <w:ilvl w:val="0"/>
          <w:numId w:val="12"/>
        </w:numPr>
        <w:spacing w:before="120"/>
        <w:ind w:left="0" w:firstLine="0"/>
        <w:contextualSpacing w:val="0"/>
        <w:jc w:val="both"/>
        <w:rPr>
          <w:bCs/>
        </w:rPr>
      </w:pPr>
      <w:r w:rsidRPr="000740AF">
        <w:rPr>
          <w:b/>
        </w:rPr>
        <w:t xml:space="preserve">Reforms to tax administration and tax simplification may </w:t>
      </w:r>
      <w:r w:rsidR="00F005B5" w:rsidRPr="000740AF">
        <w:rPr>
          <w:b/>
        </w:rPr>
        <w:t xml:space="preserve">have the potential </w:t>
      </w:r>
      <w:r w:rsidR="00D86579" w:rsidRPr="000740AF">
        <w:rPr>
          <w:b/>
        </w:rPr>
        <w:t xml:space="preserve">to </w:t>
      </w:r>
      <w:r w:rsidR="00F005B5" w:rsidRPr="000740AF">
        <w:rPr>
          <w:b/>
        </w:rPr>
        <w:t>induce significant increases in</w:t>
      </w:r>
      <w:r w:rsidR="00D86579" w:rsidRPr="000740AF">
        <w:rPr>
          <w:b/>
        </w:rPr>
        <w:t xml:space="preserve"> tax compliance.</w:t>
      </w:r>
      <w:r w:rsidR="00D86579" w:rsidRPr="000740AF">
        <w:rPr>
          <w:bCs/>
        </w:rPr>
        <w:t xml:space="preserve"> </w:t>
      </w:r>
      <w:r w:rsidR="008222C1" w:rsidRPr="000740AF">
        <w:rPr>
          <w:bCs/>
        </w:rPr>
        <w:t xml:space="preserve">Two </w:t>
      </w:r>
      <w:r w:rsidR="00DB5137" w:rsidRPr="000740AF">
        <w:rPr>
          <w:bCs/>
        </w:rPr>
        <w:t xml:space="preserve">recent </w:t>
      </w:r>
      <w:r w:rsidR="00E779A3" w:rsidRPr="000740AF">
        <w:rPr>
          <w:bCs/>
        </w:rPr>
        <w:t xml:space="preserve">Indonesian </w:t>
      </w:r>
      <w:r w:rsidR="008222C1" w:rsidRPr="000740AF">
        <w:rPr>
          <w:bCs/>
        </w:rPr>
        <w:t xml:space="preserve">studies have looked at the impact </w:t>
      </w:r>
      <w:r w:rsidRPr="000740AF">
        <w:rPr>
          <w:bCs/>
        </w:rPr>
        <w:t xml:space="preserve">of previous </w:t>
      </w:r>
      <w:r w:rsidR="00042DDA" w:rsidRPr="000740AF">
        <w:rPr>
          <w:bCs/>
        </w:rPr>
        <w:t xml:space="preserve">reform events on </w:t>
      </w:r>
      <w:r w:rsidR="00723EE8" w:rsidRPr="000740AF">
        <w:rPr>
          <w:bCs/>
        </w:rPr>
        <w:t xml:space="preserve">tax payments and procedural compliance by businesses. </w:t>
      </w:r>
      <w:r w:rsidR="00043931" w:rsidRPr="000740AF">
        <w:rPr>
          <w:bCs/>
        </w:rPr>
        <w:t xml:space="preserve">Basri et al. (2021) </w:t>
      </w:r>
      <w:r w:rsidR="00BB62C8" w:rsidRPr="000740AF">
        <w:rPr>
          <w:bCs/>
        </w:rPr>
        <w:t xml:space="preserve">investigated taxpayer </w:t>
      </w:r>
      <w:r w:rsidR="00E04179" w:rsidRPr="00E04179">
        <w:rPr>
          <w:bCs/>
        </w:rPr>
        <w:t>behavior</w:t>
      </w:r>
      <w:r w:rsidR="00BB62C8" w:rsidRPr="0023040F">
        <w:rPr>
          <w:bCs/>
        </w:rPr>
        <w:t xml:space="preserve"> following </w:t>
      </w:r>
      <w:r w:rsidR="00F71FA3" w:rsidRPr="0023040F">
        <w:rPr>
          <w:bCs/>
        </w:rPr>
        <w:t xml:space="preserve">DGT’s </w:t>
      </w:r>
      <w:r w:rsidR="00BB62C8" w:rsidRPr="0023040F">
        <w:rPr>
          <w:bCs/>
        </w:rPr>
        <w:t>introduction of MTOs</w:t>
      </w:r>
      <w:r w:rsidR="009E457C" w:rsidRPr="0023040F">
        <w:rPr>
          <w:bCs/>
        </w:rPr>
        <w:t xml:space="preserve"> between </w:t>
      </w:r>
      <w:r w:rsidR="00B615A2" w:rsidRPr="0023040F">
        <w:rPr>
          <w:bCs/>
        </w:rPr>
        <w:t>2004</w:t>
      </w:r>
      <w:r w:rsidR="00C436D1" w:rsidRPr="0023040F">
        <w:rPr>
          <w:bCs/>
        </w:rPr>
        <w:t xml:space="preserve"> </w:t>
      </w:r>
      <w:r w:rsidR="009E457C" w:rsidRPr="0023040F">
        <w:rPr>
          <w:bCs/>
        </w:rPr>
        <w:t xml:space="preserve">and </w:t>
      </w:r>
      <w:r w:rsidR="00B615A2" w:rsidRPr="0023040F">
        <w:rPr>
          <w:bCs/>
        </w:rPr>
        <w:t>2007</w:t>
      </w:r>
      <w:r w:rsidR="009E457C" w:rsidRPr="0023040F">
        <w:rPr>
          <w:bCs/>
        </w:rPr>
        <w:t xml:space="preserve">. </w:t>
      </w:r>
      <w:r w:rsidR="00F71FA3" w:rsidRPr="0023040F">
        <w:rPr>
          <w:bCs/>
        </w:rPr>
        <w:t>At the time, h</w:t>
      </w:r>
      <w:r w:rsidR="009E457C" w:rsidRPr="0023040F">
        <w:rPr>
          <w:bCs/>
        </w:rPr>
        <w:t xml:space="preserve">undreds of </w:t>
      </w:r>
      <w:r w:rsidR="00C436D1" w:rsidRPr="0023040F">
        <w:rPr>
          <w:bCs/>
        </w:rPr>
        <w:t>b</w:t>
      </w:r>
      <w:r w:rsidR="006A2838" w:rsidRPr="0023040F">
        <w:rPr>
          <w:bCs/>
        </w:rPr>
        <w:t xml:space="preserve">usiness </w:t>
      </w:r>
      <w:r w:rsidR="00B01A62" w:rsidRPr="0023040F">
        <w:rPr>
          <w:bCs/>
        </w:rPr>
        <w:t>taxpayers</w:t>
      </w:r>
      <w:r w:rsidR="009E457C" w:rsidRPr="0023040F">
        <w:rPr>
          <w:bCs/>
        </w:rPr>
        <w:t xml:space="preserve"> </w:t>
      </w:r>
      <w:r w:rsidR="00EE0AAC" w:rsidRPr="0023040F">
        <w:rPr>
          <w:bCs/>
        </w:rPr>
        <w:t xml:space="preserve">were reassigned </w:t>
      </w:r>
      <w:r w:rsidR="009E457C" w:rsidRPr="0023040F">
        <w:rPr>
          <w:bCs/>
        </w:rPr>
        <w:t xml:space="preserve">from </w:t>
      </w:r>
      <w:r w:rsidR="00B01A62" w:rsidRPr="0023040F">
        <w:rPr>
          <w:bCs/>
        </w:rPr>
        <w:t>PTOs to MTOs</w:t>
      </w:r>
      <w:r w:rsidR="009E457C" w:rsidRPr="0023040F">
        <w:rPr>
          <w:bCs/>
        </w:rPr>
        <w:t xml:space="preserve">, where they would now face more intense scrutiny from their </w:t>
      </w:r>
      <w:r w:rsidR="00B01A62" w:rsidRPr="0023040F">
        <w:rPr>
          <w:bCs/>
        </w:rPr>
        <w:t>account representative</w:t>
      </w:r>
      <w:r w:rsidR="0077128D" w:rsidRPr="0023040F">
        <w:rPr>
          <w:bCs/>
        </w:rPr>
        <w:t>s</w:t>
      </w:r>
      <w:r w:rsidR="00C436D1" w:rsidRPr="0023040F">
        <w:rPr>
          <w:bCs/>
        </w:rPr>
        <w:t xml:space="preserve"> and auditors</w:t>
      </w:r>
      <w:r w:rsidR="00EE0AAC" w:rsidRPr="0023040F">
        <w:rPr>
          <w:bCs/>
        </w:rPr>
        <w:t xml:space="preserve">. </w:t>
      </w:r>
      <w:r w:rsidR="0036357A" w:rsidRPr="0023040F">
        <w:rPr>
          <w:bCs/>
        </w:rPr>
        <w:t xml:space="preserve">Reassigned firms </w:t>
      </w:r>
      <w:r w:rsidR="00D53EEB" w:rsidRPr="0023040F">
        <w:rPr>
          <w:bCs/>
        </w:rPr>
        <w:t>increase</w:t>
      </w:r>
      <w:r w:rsidR="003446C9" w:rsidRPr="0023040F">
        <w:rPr>
          <w:bCs/>
        </w:rPr>
        <w:t>d</w:t>
      </w:r>
      <w:r w:rsidR="00D53EEB" w:rsidRPr="0023040F">
        <w:rPr>
          <w:bCs/>
        </w:rPr>
        <w:t xml:space="preserve"> </w:t>
      </w:r>
      <w:r w:rsidR="0036357A" w:rsidRPr="0023040F">
        <w:rPr>
          <w:bCs/>
        </w:rPr>
        <w:t xml:space="preserve">their </w:t>
      </w:r>
      <w:r w:rsidR="00D53EEB" w:rsidRPr="0023040F">
        <w:rPr>
          <w:bCs/>
        </w:rPr>
        <w:t>CIT paymen</w:t>
      </w:r>
      <w:r w:rsidR="0036357A" w:rsidRPr="0023040F">
        <w:rPr>
          <w:bCs/>
        </w:rPr>
        <w:t>ts</w:t>
      </w:r>
      <w:r w:rsidR="003446C9" w:rsidRPr="0023040F">
        <w:rPr>
          <w:bCs/>
        </w:rPr>
        <w:t xml:space="preserve"> by an average of </w:t>
      </w:r>
      <w:r w:rsidR="0036357A" w:rsidRPr="0023040F">
        <w:rPr>
          <w:bCs/>
        </w:rPr>
        <w:t>118 percent</w:t>
      </w:r>
      <w:r w:rsidR="00F95624" w:rsidRPr="0023040F">
        <w:rPr>
          <w:bCs/>
        </w:rPr>
        <w:t xml:space="preserve">. Moreover, this effect </w:t>
      </w:r>
      <w:r w:rsidR="003446C9" w:rsidRPr="0023040F">
        <w:rPr>
          <w:bCs/>
        </w:rPr>
        <w:t xml:space="preserve">was </w:t>
      </w:r>
      <w:r w:rsidR="00F95624" w:rsidRPr="0023040F">
        <w:rPr>
          <w:bCs/>
        </w:rPr>
        <w:t xml:space="preserve">found to be driven by increased voluntary reporting of </w:t>
      </w:r>
      <w:r w:rsidR="003446C9" w:rsidRPr="0023040F">
        <w:rPr>
          <w:bCs/>
        </w:rPr>
        <w:t xml:space="preserve">taxable </w:t>
      </w:r>
      <w:r w:rsidR="00E64B1D" w:rsidRPr="0023040F">
        <w:rPr>
          <w:bCs/>
        </w:rPr>
        <w:t>income</w:t>
      </w:r>
      <w:r w:rsidR="00F95624" w:rsidRPr="0023040F">
        <w:rPr>
          <w:bCs/>
        </w:rPr>
        <w:t>, rather than</w:t>
      </w:r>
      <w:r w:rsidR="00E64B1D" w:rsidRPr="0023040F">
        <w:rPr>
          <w:bCs/>
        </w:rPr>
        <w:t xml:space="preserve"> by increased </w:t>
      </w:r>
      <w:r w:rsidR="00160D86" w:rsidRPr="0023040F">
        <w:rPr>
          <w:bCs/>
        </w:rPr>
        <w:t xml:space="preserve">DGT </w:t>
      </w:r>
      <w:r w:rsidR="00E64B1D" w:rsidRPr="0023040F">
        <w:rPr>
          <w:bCs/>
        </w:rPr>
        <w:t xml:space="preserve">collection effectiveness </w:t>
      </w:r>
      <w:r w:rsidR="00160D86" w:rsidRPr="0023040F">
        <w:rPr>
          <w:bCs/>
        </w:rPr>
        <w:t xml:space="preserve">or auditor scrutiny of </w:t>
      </w:r>
      <w:r w:rsidR="00871CFE" w:rsidRPr="0023040F">
        <w:rPr>
          <w:bCs/>
        </w:rPr>
        <w:t xml:space="preserve">eligible </w:t>
      </w:r>
      <w:r w:rsidR="00160D86" w:rsidRPr="0023040F">
        <w:rPr>
          <w:bCs/>
        </w:rPr>
        <w:t xml:space="preserve">deductions. </w:t>
      </w:r>
      <w:r w:rsidR="00DB5137" w:rsidRPr="0023040F">
        <w:rPr>
          <w:bCs/>
        </w:rPr>
        <w:t xml:space="preserve">Separately, </w:t>
      </w:r>
      <w:r w:rsidR="003926EE" w:rsidRPr="0023040F">
        <w:rPr>
          <w:bCs/>
        </w:rPr>
        <w:t>between 2013 and 2018</w:t>
      </w:r>
      <w:r w:rsidR="00CC0A8E" w:rsidRPr="0023040F">
        <w:rPr>
          <w:bCs/>
        </w:rPr>
        <w:t xml:space="preserve">, the </w:t>
      </w:r>
      <w:r w:rsidR="003926EE" w:rsidRPr="0023040F">
        <w:rPr>
          <w:bCs/>
        </w:rPr>
        <w:t>AFT regime</w:t>
      </w:r>
      <w:r w:rsidR="00CC0A8E" w:rsidRPr="0023040F">
        <w:rPr>
          <w:bCs/>
        </w:rPr>
        <w:t xml:space="preserve"> was introduced and revised, and </w:t>
      </w:r>
      <w:r w:rsidR="002F43A8" w:rsidRPr="0023040F">
        <w:rPr>
          <w:bCs/>
        </w:rPr>
        <w:t>a raft of new digital tax</w:t>
      </w:r>
      <w:r w:rsidR="00CC0A8E" w:rsidRPr="0023040F">
        <w:rPr>
          <w:bCs/>
        </w:rPr>
        <w:t>-</w:t>
      </w:r>
      <w:r w:rsidR="002F43A8" w:rsidRPr="0023040F">
        <w:rPr>
          <w:bCs/>
        </w:rPr>
        <w:t xml:space="preserve">filing </w:t>
      </w:r>
      <w:r w:rsidR="0096449A" w:rsidRPr="0023040F">
        <w:rPr>
          <w:bCs/>
        </w:rPr>
        <w:t>mechanisms</w:t>
      </w:r>
      <w:r w:rsidR="00CC0A8E" w:rsidRPr="0023040F">
        <w:rPr>
          <w:bCs/>
        </w:rPr>
        <w:t xml:space="preserve"> were also introduced. </w:t>
      </w:r>
      <w:proofErr w:type="spellStart"/>
      <w:r w:rsidR="00D1002D" w:rsidRPr="0023040F">
        <w:rPr>
          <w:bCs/>
        </w:rPr>
        <w:t>Satyadini</w:t>
      </w:r>
      <w:proofErr w:type="spellEnd"/>
      <w:r w:rsidR="00D1002D" w:rsidRPr="0023040F">
        <w:rPr>
          <w:bCs/>
        </w:rPr>
        <w:t xml:space="preserve"> and Rosid (2023) </w:t>
      </w:r>
      <w:r w:rsidR="00D1002D">
        <w:rPr>
          <w:bCs/>
        </w:rPr>
        <w:t>found that these</w:t>
      </w:r>
      <w:r w:rsidR="00CC0016" w:rsidRPr="0023040F">
        <w:rPr>
          <w:bCs/>
        </w:rPr>
        <w:t xml:space="preserve"> reforms </w:t>
      </w:r>
      <w:r w:rsidR="0096449A" w:rsidRPr="0023040F">
        <w:rPr>
          <w:bCs/>
        </w:rPr>
        <w:t>increase</w:t>
      </w:r>
      <w:r w:rsidR="00D1002D">
        <w:rPr>
          <w:bCs/>
        </w:rPr>
        <w:t>d</w:t>
      </w:r>
      <w:r w:rsidR="0096449A" w:rsidRPr="0023040F">
        <w:rPr>
          <w:bCs/>
        </w:rPr>
        <w:t xml:space="preserve"> taxpayer </w:t>
      </w:r>
      <w:r w:rsidR="00CC0016" w:rsidRPr="0023040F">
        <w:rPr>
          <w:bCs/>
        </w:rPr>
        <w:t xml:space="preserve">procedural </w:t>
      </w:r>
      <w:r w:rsidR="0096449A" w:rsidRPr="0023040F">
        <w:rPr>
          <w:bCs/>
        </w:rPr>
        <w:t xml:space="preserve">compliance </w:t>
      </w:r>
      <w:r w:rsidR="00CC0016" w:rsidRPr="0023040F">
        <w:rPr>
          <w:bCs/>
        </w:rPr>
        <w:t xml:space="preserve">among firms in the AFT </w:t>
      </w:r>
      <w:r w:rsidR="0096449A" w:rsidRPr="0023040F">
        <w:rPr>
          <w:bCs/>
        </w:rPr>
        <w:t>(</w:t>
      </w:r>
      <w:r w:rsidR="00D1002D">
        <w:rPr>
          <w:bCs/>
        </w:rPr>
        <w:t>that is</w:t>
      </w:r>
      <w:r w:rsidR="0009007A" w:rsidRPr="0023040F">
        <w:rPr>
          <w:bCs/>
        </w:rPr>
        <w:t>,</w:t>
      </w:r>
      <w:r w:rsidR="0096449A" w:rsidRPr="0023040F">
        <w:rPr>
          <w:bCs/>
        </w:rPr>
        <w:t xml:space="preserve"> </w:t>
      </w:r>
      <w:r w:rsidR="00CC0016" w:rsidRPr="0023040F">
        <w:rPr>
          <w:bCs/>
        </w:rPr>
        <w:t xml:space="preserve">a reduction in the incidence of skipped monthly tax filing) and reduced DGT penalties. </w:t>
      </w:r>
    </w:p>
    <w:p w14:paraId="7559D0B0" w14:textId="2EB4A031" w:rsidR="00130BE0" w:rsidRPr="00F104BB" w:rsidRDefault="00130BE0" w:rsidP="00130BE0">
      <w:pPr>
        <w:pStyle w:val="ListParagraph"/>
        <w:numPr>
          <w:ilvl w:val="0"/>
          <w:numId w:val="12"/>
        </w:numPr>
        <w:spacing w:before="120"/>
        <w:ind w:left="0" w:firstLine="0"/>
        <w:contextualSpacing w:val="0"/>
        <w:jc w:val="both"/>
        <w:rPr>
          <w:bCs/>
        </w:rPr>
      </w:pPr>
      <w:r w:rsidRPr="00F104BB">
        <w:rPr>
          <w:b/>
        </w:rPr>
        <w:t>A challenging area of compliance is the flow of firms that graduate out of the AFT regime.</w:t>
      </w:r>
      <w:r w:rsidRPr="00F104BB">
        <w:rPr>
          <w:bCs/>
        </w:rPr>
        <w:t xml:space="preserve"> </w:t>
      </w:r>
      <w:r w:rsidR="003247A5">
        <w:rPr>
          <w:bCs/>
        </w:rPr>
        <w:t>M</w:t>
      </w:r>
      <w:r w:rsidR="000D07E2">
        <w:rPr>
          <w:bCs/>
        </w:rPr>
        <w:t>illions</w:t>
      </w:r>
      <w:r w:rsidRPr="00F104BB">
        <w:rPr>
          <w:bCs/>
        </w:rPr>
        <w:t xml:space="preserve"> of firms have </w:t>
      </w:r>
      <w:r w:rsidR="00812D5C">
        <w:rPr>
          <w:bCs/>
        </w:rPr>
        <w:t xml:space="preserve">participated in </w:t>
      </w:r>
      <w:r w:rsidRPr="00F104BB">
        <w:rPr>
          <w:bCs/>
        </w:rPr>
        <w:t>the AFT regime. However, for registered businesses, th</w:t>
      </w:r>
      <w:r w:rsidR="00212E9F">
        <w:rPr>
          <w:bCs/>
        </w:rPr>
        <w:t>is special</w:t>
      </w:r>
      <w:r w:rsidRPr="00F104BB">
        <w:rPr>
          <w:bCs/>
        </w:rPr>
        <w:t xml:space="preserve"> regime sunsets after a maximum of four years</w:t>
      </w:r>
      <w:r w:rsidR="00701B5B">
        <w:rPr>
          <w:rFonts w:cstheme="minorHAnsi"/>
          <w:bCs/>
        </w:rPr>
        <w:t>–</w:t>
      </w:r>
      <w:r w:rsidR="00701B5B">
        <w:rPr>
          <w:bCs/>
        </w:rPr>
        <w:t xml:space="preserve">thereby </w:t>
      </w:r>
      <w:r w:rsidRPr="00F104BB">
        <w:rPr>
          <w:bCs/>
        </w:rPr>
        <w:t xml:space="preserve">pushing graduating firms into the CIT regime. This transition creates new compliance monitoring burdens for the DGT. </w:t>
      </w:r>
      <w:r w:rsidR="002E0DC4">
        <w:rPr>
          <w:bCs/>
        </w:rPr>
        <w:t>I</w:t>
      </w:r>
      <w:r w:rsidRPr="00F104BB">
        <w:rPr>
          <w:bCs/>
        </w:rPr>
        <w:t xml:space="preserve">t also imposes new and more complex CIT filing obligations on very small </w:t>
      </w:r>
      <w:r w:rsidR="00701B5B">
        <w:rPr>
          <w:bCs/>
        </w:rPr>
        <w:t>firms</w:t>
      </w:r>
      <w:r w:rsidRPr="00F104BB">
        <w:rPr>
          <w:bCs/>
        </w:rPr>
        <w:t xml:space="preserve">. </w:t>
      </w:r>
      <w:r w:rsidR="00036A74" w:rsidRPr="00036A74">
        <w:rPr>
          <w:bCs/>
        </w:rPr>
        <w:t xml:space="preserve">Businesses that have not maintained full standard bookkeeping and have never submitted an annual filing, must now begin doing so with relatively complex reporting and evidence requirements. There would appear to be a significant capacity </w:t>
      </w:r>
      <w:r w:rsidR="00036A74" w:rsidRPr="00036A74">
        <w:rPr>
          <w:bCs/>
        </w:rPr>
        <w:lastRenderedPageBreak/>
        <w:t xml:space="preserve">shortfall at this transition point in the system for firms graduating out of the AFT. </w:t>
      </w:r>
      <w:r w:rsidRPr="00F104BB" w:rsidDel="000C5137">
        <w:rPr>
          <w:bCs/>
        </w:rPr>
        <w:t xml:space="preserve">It is unclear whether there is </w:t>
      </w:r>
      <w:proofErr w:type="gramStart"/>
      <w:r w:rsidRPr="00F104BB" w:rsidDel="000C5137">
        <w:rPr>
          <w:bCs/>
        </w:rPr>
        <w:t>a sufficient</w:t>
      </w:r>
      <w:proofErr w:type="gramEnd"/>
      <w:r w:rsidRPr="00F104BB" w:rsidDel="000C5137">
        <w:rPr>
          <w:bCs/>
        </w:rPr>
        <w:t xml:space="preserve"> rationale for the smallest firms to fulfil such CIT </w:t>
      </w:r>
      <w:proofErr w:type="gramStart"/>
      <w:r w:rsidRPr="00F104BB" w:rsidDel="000C5137">
        <w:rPr>
          <w:bCs/>
        </w:rPr>
        <w:t>obligations</w:t>
      </w:r>
      <w:proofErr w:type="gramEnd"/>
      <w:r w:rsidR="00701B5B">
        <w:rPr>
          <w:bCs/>
        </w:rPr>
        <w:t xml:space="preserve"> and</w:t>
      </w:r>
      <w:r w:rsidRPr="00F104BB" w:rsidDel="000C5137">
        <w:rPr>
          <w:bCs/>
        </w:rPr>
        <w:t xml:space="preserve"> many </w:t>
      </w:r>
      <w:r w:rsidR="00701B5B">
        <w:rPr>
          <w:bCs/>
        </w:rPr>
        <w:t xml:space="preserve">may </w:t>
      </w:r>
      <w:r w:rsidRPr="00F104BB" w:rsidDel="000C5137">
        <w:rPr>
          <w:bCs/>
        </w:rPr>
        <w:t xml:space="preserve">choose </w:t>
      </w:r>
      <w:proofErr w:type="gramStart"/>
      <w:r w:rsidRPr="00F104BB" w:rsidDel="000C5137">
        <w:rPr>
          <w:bCs/>
        </w:rPr>
        <w:t>to not</w:t>
      </w:r>
      <w:proofErr w:type="gramEnd"/>
      <w:r w:rsidRPr="00F104BB" w:rsidDel="000C5137">
        <w:rPr>
          <w:bCs/>
        </w:rPr>
        <w:t xml:space="preserve"> comply</w:t>
      </w:r>
      <w:r w:rsidR="00ED1C03">
        <w:rPr>
          <w:bCs/>
        </w:rPr>
        <w:t>.</w:t>
      </w:r>
      <w:r w:rsidRPr="00F104BB">
        <w:rPr>
          <w:bCs/>
        </w:rPr>
        <w:t xml:space="preserve"> </w:t>
      </w:r>
      <w:r w:rsidR="000C5137">
        <w:rPr>
          <w:bCs/>
        </w:rPr>
        <w:t>M</w:t>
      </w:r>
      <w:r w:rsidRPr="00F104BB">
        <w:rPr>
          <w:bCs/>
        </w:rPr>
        <w:t xml:space="preserve">oreover, it is unclear whether it makes sense to impose CIT obligations on firms that would still be </w:t>
      </w:r>
      <w:r w:rsidR="00621ECF">
        <w:rPr>
          <w:bCs/>
        </w:rPr>
        <w:t xml:space="preserve">exempt from </w:t>
      </w:r>
      <w:r w:rsidRPr="00F104BB">
        <w:rPr>
          <w:bCs/>
        </w:rPr>
        <w:t xml:space="preserve">VAT </w:t>
      </w:r>
      <w:r w:rsidR="00621ECF">
        <w:rPr>
          <w:bCs/>
        </w:rPr>
        <w:t>obligations</w:t>
      </w:r>
      <w:r w:rsidRPr="00F104BB">
        <w:rPr>
          <w:bCs/>
        </w:rPr>
        <w:t xml:space="preserve">. </w:t>
      </w:r>
    </w:p>
    <w:p w14:paraId="11A7F324" w14:textId="6185E2D6" w:rsidR="00130BE0" w:rsidRPr="00F104BB" w:rsidRDefault="00130BE0" w:rsidP="00130BE0">
      <w:pPr>
        <w:pStyle w:val="ListParagraph"/>
        <w:numPr>
          <w:ilvl w:val="0"/>
          <w:numId w:val="12"/>
        </w:numPr>
        <w:spacing w:before="120"/>
        <w:ind w:left="0" w:firstLine="0"/>
        <w:contextualSpacing w:val="0"/>
        <w:jc w:val="both"/>
        <w:rPr>
          <w:bCs/>
        </w:rPr>
      </w:pPr>
      <w:r w:rsidRPr="00F104BB">
        <w:rPr>
          <w:b/>
        </w:rPr>
        <w:t xml:space="preserve">One approach to tackling compliance challenges has been to offer tax </w:t>
      </w:r>
      <w:proofErr w:type="gramStart"/>
      <w:r w:rsidRPr="00F104BB">
        <w:rPr>
          <w:b/>
        </w:rPr>
        <w:t>amnesties</w:t>
      </w:r>
      <w:proofErr w:type="gramEnd"/>
      <w:r w:rsidR="00701B5B">
        <w:rPr>
          <w:b/>
        </w:rPr>
        <w:t>, h</w:t>
      </w:r>
      <w:r w:rsidR="001652AC" w:rsidRPr="00D26376">
        <w:rPr>
          <w:b/>
        </w:rPr>
        <w:t>owever, the literature is mixed on the effectiveness of this instrument</w:t>
      </w:r>
      <w:r w:rsidR="008E578C" w:rsidRPr="00D26376">
        <w:rPr>
          <w:b/>
        </w:rPr>
        <w:t xml:space="preserve"> </w:t>
      </w:r>
      <w:r w:rsidR="00D433E4" w:rsidRPr="00D26376">
        <w:rPr>
          <w:b/>
        </w:rPr>
        <w:t>(Le Borgne and Baer 2008)</w:t>
      </w:r>
      <w:r w:rsidR="001652AC" w:rsidRPr="00D26376">
        <w:rPr>
          <w:b/>
        </w:rPr>
        <w:t>.</w:t>
      </w:r>
      <w:r w:rsidR="001652AC">
        <w:rPr>
          <w:b/>
        </w:rPr>
        <w:t xml:space="preserve"> </w:t>
      </w:r>
      <w:r w:rsidRPr="00F104BB">
        <w:rPr>
          <w:bCs/>
        </w:rPr>
        <w:t xml:space="preserve">As noted earlier, </w:t>
      </w:r>
      <w:r w:rsidR="00386BEB">
        <w:rPr>
          <w:bCs/>
        </w:rPr>
        <w:t xml:space="preserve">a tax </w:t>
      </w:r>
      <w:proofErr w:type="gramStart"/>
      <w:r w:rsidR="00386BEB">
        <w:rPr>
          <w:bCs/>
        </w:rPr>
        <w:t>amnesty was</w:t>
      </w:r>
      <w:proofErr w:type="gramEnd"/>
      <w:r w:rsidR="00386BEB">
        <w:rPr>
          <w:bCs/>
        </w:rPr>
        <w:t xml:space="preserve"> offered to businesses and individuals in </w:t>
      </w:r>
      <w:r w:rsidRPr="00F104BB">
        <w:rPr>
          <w:bCs/>
        </w:rPr>
        <w:t>2008</w:t>
      </w:r>
      <w:r w:rsidR="00507311">
        <w:rPr>
          <w:bCs/>
        </w:rPr>
        <w:t xml:space="preserve"> </w:t>
      </w:r>
      <w:r w:rsidR="00386BEB">
        <w:rPr>
          <w:bCs/>
        </w:rPr>
        <w:t xml:space="preserve">as part of </w:t>
      </w:r>
      <w:proofErr w:type="gramStart"/>
      <w:r w:rsidR="00386BEB">
        <w:rPr>
          <w:bCs/>
        </w:rPr>
        <w:t>wide</w:t>
      </w:r>
      <w:proofErr w:type="gramEnd"/>
      <w:r w:rsidR="00386BEB">
        <w:rPr>
          <w:bCs/>
        </w:rPr>
        <w:t xml:space="preserve">-ranging tax </w:t>
      </w:r>
      <w:proofErr w:type="gramStart"/>
      <w:r w:rsidR="00386BEB">
        <w:rPr>
          <w:bCs/>
        </w:rPr>
        <w:t>reforms</w:t>
      </w:r>
      <w:proofErr w:type="gramEnd"/>
      <w:r w:rsidR="00386BEB">
        <w:rPr>
          <w:bCs/>
        </w:rPr>
        <w:t xml:space="preserve"> </w:t>
      </w:r>
      <w:r w:rsidR="00507311">
        <w:rPr>
          <w:bCs/>
        </w:rPr>
        <w:t>aimed at expanding the tax base</w:t>
      </w:r>
      <w:r w:rsidRPr="00F104BB">
        <w:rPr>
          <w:bCs/>
        </w:rPr>
        <w:t xml:space="preserve">. At that time, there was a significant increase in taxpayer </w:t>
      </w:r>
      <w:r w:rsidR="0047355B" w:rsidRPr="00F104BB">
        <w:rPr>
          <w:bCs/>
        </w:rPr>
        <w:t>registrations,</w:t>
      </w:r>
      <w:r w:rsidRPr="00F104BB">
        <w:rPr>
          <w:bCs/>
        </w:rPr>
        <w:t xml:space="preserve"> but it coincided with several other tax system simplifications that may have also played a role. </w:t>
      </w:r>
      <w:r w:rsidR="00335789">
        <w:rPr>
          <w:bCs/>
        </w:rPr>
        <w:t>A</w:t>
      </w:r>
      <w:r w:rsidR="00B03C0F">
        <w:rPr>
          <w:bCs/>
        </w:rPr>
        <w:t xml:space="preserve">n </w:t>
      </w:r>
      <w:r w:rsidR="00335789">
        <w:rPr>
          <w:bCs/>
        </w:rPr>
        <w:t xml:space="preserve">empirical </w:t>
      </w:r>
      <w:r w:rsidR="00507311">
        <w:rPr>
          <w:bCs/>
        </w:rPr>
        <w:t xml:space="preserve">analysis suggests </w:t>
      </w:r>
      <w:r w:rsidR="00436E5A">
        <w:rPr>
          <w:bCs/>
        </w:rPr>
        <w:t>that</w:t>
      </w:r>
      <w:r w:rsidR="00701B5B">
        <w:rPr>
          <w:bCs/>
        </w:rPr>
        <w:t>,</w:t>
      </w:r>
      <w:r w:rsidR="00436E5A">
        <w:rPr>
          <w:bCs/>
        </w:rPr>
        <w:t xml:space="preserve"> while the 2008 amnesty increased registrations and compliance among individual taxpayers, it had no </w:t>
      </w:r>
      <w:r w:rsidR="00A043C4">
        <w:rPr>
          <w:bCs/>
        </w:rPr>
        <w:t xml:space="preserve">such </w:t>
      </w:r>
      <w:r w:rsidR="00436E5A">
        <w:rPr>
          <w:bCs/>
        </w:rPr>
        <w:t>effect on corporate taxpayer</w:t>
      </w:r>
      <w:r w:rsidR="00A043C4">
        <w:rPr>
          <w:bCs/>
        </w:rPr>
        <w:t>s (</w:t>
      </w:r>
      <w:proofErr w:type="spellStart"/>
      <w:r w:rsidR="00EB7996">
        <w:rPr>
          <w:bCs/>
        </w:rPr>
        <w:t>Nuryanah</w:t>
      </w:r>
      <w:proofErr w:type="spellEnd"/>
      <w:r w:rsidR="00821410">
        <w:rPr>
          <w:bCs/>
        </w:rPr>
        <w:t xml:space="preserve"> and Gunawan 2022)</w:t>
      </w:r>
      <w:r w:rsidR="00C34768">
        <w:rPr>
          <w:bCs/>
        </w:rPr>
        <w:t xml:space="preserve">. </w:t>
      </w:r>
      <w:r w:rsidRPr="00F104BB">
        <w:rPr>
          <w:bCs/>
        </w:rPr>
        <w:t xml:space="preserve">Subsequent tax amnesties were also implemented in 2016-17 and 2022. These provided </w:t>
      </w:r>
      <w:r w:rsidR="00872A0C">
        <w:rPr>
          <w:bCs/>
        </w:rPr>
        <w:t>taxpayers with</w:t>
      </w:r>
      <w:r w:rsidRPr="00F104BB">
        <w:rPr>
          <w:bCs/>
        </w:rPr>
        <w:t xml:space="preserve"> a chance to disclose unreported tax</w:t>
      </w:r>
      <w:r w:rsidR="004C0E71">
        <w:rPr>
          <w:bCs/>
        </w:rPr>
        <w:t>able</w:t>
      </w:r>
      <w:r w:rsidRPr="00F104BB">
        <w:rPr>
          <w:bCs/>
        </w:rPr>
        <w:t xml:space="preserve"> assets and </w:t>
      </w:r>
      <w:proofErr w:type="gramStart"/>
      <w:r w:rsidRPr="00F104BB">
        <w:rPr>
          <w:bCs/>
        </w:rPr>
        <w:t>earnings, and</w:t>
      </w:r>
      <w:proofErr w:type="gramEnd"/>
      <w:r w:rsidRPr="00F104BB">
        <w:rPr>
          <w:bCs/>
        </w:rPr>
        <w:t xml:space="preserve"> pay a low tax rate on these while avoiding the risk of other sanctions. In both cases, the government argued that the programs would help the tax authority to gather valuable data and better manage future compliance risks from participants. This was in addition to the more direct benefits of increased taxpayer registration, repatriation of Indonesian-owned financial assets, and extra revenues from the special rates applied to declared assets and income. </w:t>
      </w:r>
    </w:p>
    <w:p w14:paraId="732761A6" w14:textId="28CFB025" w:rsidR="00130BE0" w:rsidRPr="00F104BB" w:rsidRDefault="00130BE0" w:rsidP="00130BE0">
      <w:pPr>
        <w:pStyle w:val="ListParagraph"/>
        <w:numPr>
          <w:ilvl w:val="0"/>
          <w:numId w:val="12"/>
        </w:numPr>
        <w:spacing w:before="120"/>
        <w:ind w:left="0" w:firstLine="0"/>
        <w:contextualSpacing w:val="0"/>
        <w:jc w:val="both"/>
        <w:rPr>
          <w:bCs/>
        </w:rPr>
      </w:pPr>
      <w:r w:rsidRPr="002B27F2">
        <w:rPr>
          <w:b/>
        </w:rPr>
        <w:t xml:space="preserve">It remains unclear how successful the government has been in leveraging tax amnesty data for subsequent compliance improvements. </w:t>
      </w:r>
      <w:r w:rsidRPr="00F104BB">
        <w:rPr>
          <w:bCs/>
        </w:rPr>
        <w:t xml:space="preserve">A key risk of regular tax </w:t>
      </w:r>
      <w:proofErr w:type="gramStart"/>
      <w:r w:rsidRPr="00F104BB">
        <w:rPr>
          <w:bCs/>
        </w:rPr>
        <w:t>amnesties</w:t>
      </w:r>
      <w:proofErr w:type="gramEnd"/>
      <w:r w:rsidRPr="00F104BB">
        <w:rPr>
          <w:bCs/>
        </w:rPr>
        <w:t xml:space="preserve"> is that it can induce increasing noncompliance. If taxpayers come to expect that there will be future opportunities to benefit from amnesty provisions, they may decide to increase tax evasion until that time</w:t>
      </w:r>
      <w:r w:rsidR="00563A82">
        <w:rPr>
          <w:bCs/>
        </w:rPr>
        <w:t xml:space="preserve"> (Koch and </w:t>
      </w:r>
      <w:r w:rsidR="00702E16">
        <w:rPr>
          <w:bCs/>
        </w:rPr>
        <w:t>Mü</w:t>
      </w:r>
      <w:r w:rsidR="003D400A">
        <w:rPr>
          <w:bCs/>
        </w:rPr>
        <w:t>ller 2024)</w:t>
      </w:r>
      <w:r w:rsidRPr="00F104BB">
        <w:rPr>
          <w:bCs/>
        </w:rPr>
        <w:t xml:space="preserve">. It is noteworthy that prior to 2008, tax </w:t>
      </w:r>
      <w:proofErr w:type="gramStart"/>
      <w:r w:rsidRPr="00F104BB">
        <w:rPr>
          <w:bCs/>
        </w:rPr>
        <w:t>amnesties</w:t>
      </w:r>
      <w:proofErr w:type="gramEnd"/>
      <w:r w:rsidRPr="00F104BB">
        <w:rPr>
          <w:bCs/>
        </w:rPr>
        <w:t xml:space="preserve"> were also offered to the public in 1964 and 1984. Furthermore, during the tax amnesty of 2016-17, to encourage participation, the government committed that there would be no further </w:t>
      </w:r>
      <w:proofErr w:type="gramStart"/>
      <w:r w:rsidRPr="00F104BB">
        <w:rPr>
          <w:bCs/>
        </w:rPr>
        <w:t>amnesties</w:t>
      </w:r>
      <w:proofErr w:type="gramEnd"/>
      <w:r w:rsidRPr="00F104BB">
        <w:rPr>
          <w:bCs/>
        </w:rPr>
        <w:t xml:space="preserve"> offered in the future. </w:t>
      </w:r>
      <w:r w:rsidR="00701B5B">
        <w:rPr>
          <w:bCs/>
        </w:rPr>
        <w:t>The</w:t>
      </w:r>
      <w:r w:rsidRPr="00F104BB">
        <w:rPr>
          <w:bCs/>
        </w:rPr>
        <w:t xml:space="preserve"> introduction of another such program in 2022 was</w:t>
      </w:r>
      <w:r w:rsidR="00701B5B">
        <w:rPr>
          <w:bCs/>
        </w:rPr>
        <w:t>,</w:t>
      </w:r>
      <w:r w:rsidRPr="00F104BB">
        <w:rPr>
          <w:bCs/>
        </w:rPr>
        <w:t xml:space="preserve"> therefore</w:t>
      </w:r>
      <w:r w:rsidR="00701B5B">
        <w:rPr>
          <w:bCs/>
        </w:rPr>
        <w:t>,</w:t>
      </w:r>
      <w:r w:rsidRPr="00F104BB">
        <w:rPr>
          <w:bCs/>
        </w:rPr>
        <w:t xml:space="preserve"> framed as a ‘voluntary disclosure program’ with provisions less favorable than those in 2016-17. However, sophisticated taxpayers with large undeclared assets or earnings are likely to see through the public relations spin when setting expectations and undertaking their tax planning. </w:t>
      </w:r>
    </w:p>
    <w:p w14:paraId="48DA18A3" w14:textId="34EB9F43" w:rsidR="00130BE0" w:rsidRDefault="00130BE0" w:rsidP="00130BE0">
      <w:pPr>
        <w:pStyle w:val="ListParagraph"/>
        <w:numPr>
          <w:ilvl w:val="0"/>
          <w:numId w:val="12"/>
        </w:numPr>
        <w:spacing w:before="120"/>
        <w:ind w:left="0" w:firstLine="0"/>
        <w:contextualSpacing w:val="0"/>
        <w:jc w:val="both"/>
      </w:pPr>
      <w:r w:rsidRPr="00F104BB">
        <w:rPr>
          <w:b/>
        </w:rPr>
        <w:t xml:space="preserve">In addition to policy, </w:t>
      </w:r>
      <w:r w:rsidR="00701B5B" w:rsidRPr="00F104BB">
        <w:rPr>
          <w:b/>
        </w:rPr>
        <w:t>several</w:t>
      </w:r>
      <w:r w:rsidRPr="00F104BB">
        <w:rPr>
          <w:b/>
        </w:rPr>
        <w:t xml:space="preserve"> complementary measures can help improve compliance</w:t>
      </w:r>
      <w:r w:rsidR="00185621">
        <w:rPr>
          <w:b/>
        </w:rPr>
        <w:t xml:space="preserve"> (Prichard</w:t>
      </w:r>
      <w:r w:rsidR="004B2AE6">
        <w:rPr>
          <w:b/>
        </w:rPr>
        <w:t xml:space="preserve"> et al.</w:t>
      </w:r>
      <w:r w:rsidR="00185621">
        <w:rPr>
          <w:b/>
        </w:rPr>
        <w:t xml:space="preserve"> 2019)</w:t>
      </w:r>
      <w:r w:rsidRPr="00F104BB">
        <w:rPr>
          <w:b/>
        </w:rPr>
        <w:t>.</w:t>
      </w:r>
      <w:r>
        <w:t xml:space="preserve"> These may include effective enforcement mechanisms, simplified tax compliance procedures, taxpayer education and outreach programs, and the provision of supportive services to small businesses. A comprehensive approach that addresses the various barriers to compliance will have a more significant impact on improving overall compliance levels and formalization in the economy. </w:t>
      </w:r>
      <w:r w:rsidR="00701B5B">
        <w:t>W</w:t>
      </w:r>
      <w:r>
        <w:t xml:space="preserve">hile policy design can incentivize compliance and formalization, it should be part of a broader compliance strategy. </w:t>
      </w:r>
    </w:p>
    <w:p w14:paraId="71EFFE74" w14:textId="77777777" w:rsidR="00130BE0" w:rsidRDefault="00130BE0" w:rsidP="00130BE0">
      <w:pPr>
        <w:rPr>
          <w:rFonts w:asciiTheme="majorHAnsi" w:eastAsiaTheme="majorEastAsia" w:hAnsiTheme="majorHAnsi" w:cstheme="majorBidi"/>
          <w:color w:val="2F5496" w:themeColor="accent1" w:themeShade="BF"/>
          <w:sz w:val="32"/>
          <w:szCs w:val="32"/>
        </w:rPr>
      </w:pPr>
      <w:r>
        <w:br w:type="page"/>
      </w:r>
    </w:p>
    <w:p w14:paraId="1F018ECB" w14:textId="50A01E62" w:rsidR="00130BE0" w:rsidRDefault="004F5A0B" w:rsidP="00130BE0">
      <w:pPr>
        <w:pStyle w:val="Heading1"/>
        <w:spacing w:after="240"/>
      </w:pPr>
      <w:bookmarkStart w:id="28" w:name="_Toc177819041"/>
      <w:r w:rsidRPr="001255CE">
        <w:lastRenderedPageBreak/>
        <w:t xml:space="preserve">Section </w:t>
      </w:r>
      <w:r w:rsidR="00130BE0" w:rsidRPr="001255CE">
        <w:t xml:space="preserve">3. Alternative Final Tax </w:t>
      </w:r>
      <w:r w:rsidR="0094011A" w:rsidRPr="001255CE">
        <w:t>(AFT)</w:t>
      </w:r>
      <w:bookmarkEnd w:id="28"/>
    </w:p>
    <w:p w14:paraId="19CFD5E5" w14:textId="16AA6992" w:rsidR="00130BE0" w:rsidRDefault="00130BE0" w:rsidP="00130BE0">
      <w:pPr>
        <w:pStyle w:val="ListParagraph"/>
        <w:numPr>
          <w:ilvl w:val="0"/>
          <w:numId w:val="12"/>
        </w:numPr>
        <w:spacing w:before="120"/>
        <w:ind w:left="0" w:firstLine="0"/>
        <w:contextualSpacing w:val="0"/>
        <w:jc w:val="both"/>
      </w:pPr>
      <w:r w:rsidRPr="00F104BB">
        <w:rPr>
          <w:b/>
          <w:bCs/>
        </w:rPr>
        <w:t xml:space="preserve">The AFT for </w:t>
      </w:r>
      <w:r w:rsidR="001255CE">
        <w:rPr>
          <w:b/>
          <w:bCs/>
        </w:rPr>
        <w:t xml:space="preserve">Indonesia’s 65 million </w:t>
      </w:r>
      <w:r w:rsidRPr="00F104BB">
        <w:rPr>
          <w:b/>
          <w:bCs/>
        </w:rPr>
        <w:t>MSMEs is an important part of Indonesia’s business taxes regime.</w:t>
      </w:r>
      <w:r w:rsidRPr="009D6F3A">
        <w:rPr>
          <w:rStyle w:val="FootnoteReference"/>
          <w:b/>
          <w:bCs/>
        </w:rPr>
        <w:footnoteReference w:id="55"/>
      </w:r>
      <w:r w:rsidR="006369A2" w:rsidRPr="001328DF">
        <w:rPr>
          <w:b/>
          <w:bCs/>
          <w:vertAlign w:val="superscript"/>
        </w:rPr>
        <w:t>,</w:t>
      </w:r>
      <w:r w:rsidRPr="006369A2">
        <w:rPr>
          <w:rStyle w:val="FootnoteReference"/>
          <w:b/>
          <w:bCs/>
        </w:rPr>
        <w:footnoteReference w:id="56"/>
      </w:r>
      <w:r>
        <w:t xml:space="preserve"> These firms represent a critical cohort of the private sector and most of the job creation in the Indonesian economy.</w:t>
      </w:r>
      <w:r>
        <w:rPr>
          <w:rStyle w:val="FootnoteReference"/>
        </w:rPr>
        <w:footnoteReference w:id="57"/>
      </w:r>
      <w:r>
        <w:t xml:space="preserve"> Given the self-assessment principle of Indonesia’s income tax regime, MSMEs hold responsibility for calculating their own tax obligations. However, many entrepreneurs and small businesses do not have the skills or capacity to navigate the complicated CIT rules for calculating their taxes. Moreover, tax filing involves fixed costs which can result in a proportionally higher compliance burden for smaller firms. As a simplified tax regime, the AFT can help to address these challenges. </w:t>
      </w:r>
    </w:p>
    <w:p w14:paraId="554D64FE" w14:textId="7219F955" w:rsidR="00130BE0" w:rsidRPr="002870A1" w:rsidRDefault="00130BE0" w:rsidP="00130BE0">
      <w:pPr>
        <w:pStyle w:val="ListParagraph"/>
        <w:numPr>
          <w:ilvl w:val="0"/>
          <w:numId w:val="12"/>
        </w:numPr>
        <w:spacing w:before="120"/>
        <w:ind w:left="0" w:firstLine="0"/>
        <w:contextualSpacing w:val="0"/>
        <w:jc w:val="both"/>
      </w:pPr>
      <w:r w:rsidRPr="002870A1">
        <w:rPr>
          <w:b/>
          <w:bCs/>
        </w:rPr>
        <w:t xml:space="preserve">Indonesia’s AFT regime was introduced in 2014 and has </w:t>
      </w:r>
      <w:r w:rsidR="00236703" w:rsidRPr="002870A1">
        <w:rPr>
          <w:b/>
          <w:bCs/>
        </w:rPr>
        <w:t>evolved over time</w:t>
      </w:r>
      <w:r w:rsidRPr="002870A1">
        <w:rPr>
          <w:b/>
          <w:bCs/>
        </w:rPr>
        <w:t>.</w:t>
      </w:r>
      <w:r w:rsidRPr="002870A1">
        <w:t xml:space="preserve"> It began as a compulsory turnover tax of 1 percent with reporting obligations </w:t>
      </w:r>
      <w:proofErr w:type="gramStart"/>
      <w:r w:rsidRPr="002870A1">
        <w:t>similar to</w:t>
      </w:r>
      <w:proofErr w:type="gramEnd"/>
      <w:r w:rsidRPr="002870A1">
        <w:t xml:space="preserve"> that of the CIT, but it has</w:t>
      </w:r>
      <w:r w:rsidR="002870A1" w:rsidRPr="00687B71">
        <w:t xml:space="preserve"> since</w:t>
      </w:r>
      <w:r w:rsidRPr="002870A1">
        <w:t xml:space="preserve"> been revised several times. Today, the AFT imposes a flat final tax rate </w:t>
      </w:r>
      <w:r w:rsidR="000E5330" w:rsidRPr="002870A1">
        <w:t>of 0.5 percent</w:t>
      </w:r>
      <w:r w:rsidR="00393A5F" w:rsidRPr="002870A1">
        <w:t xml:space="preserve"> </w:t>
      </w:r>
      <w:r w:rsidR="00F77ABA" w:rsidRPr="002870A1">
        <w:t>on turnover</w:t>
      </w:r>
      <w:r w:rsidRPr="002870A1">
        <w:t xml:space="preserve">. Filing obligations are simplified too. The AFT does not allow deductions or allowances, unlike the traditional CIT regime. Most </w:t>
      </w:r>
      <w:proofErr w:type="gramStart"/>
      <w:r w:rsidRPr="002870A1">
        <w:t>new</w:t>
      </w:r>
      <w:proofErr w:type="gramEnd"/>
      <w:r w:rsidRPr="002870A1">
        <w:t xml:space="preserve"> registered businesses with annual revenue below R</w:t>
      </w:r>
      <w:r w:rsidR="00CB262B" w:rsidRPr="002870A1">
        <w:t>p</w:t>
      </w:r>
      <w:r w:rsidRPr="002870A1">
        <w:t xml:space="preserve"> 4.8 billion are</w:t>
      </w:r>
      <w:r w:rsidR="0043483C">
        <w:t>,</w:t>
      </w:r>
      <w:r w:rsidRPr="002870A1">
        <w:t xml:space="preserve"> </w:t>
      </w:r>
      <w:r w:rsidR="00363851" w:rsidRPr="002870A1">
        <w:t>by default</w:t>
      </w:r>
      <w:r w:rsidR="0043483C">
        <w:t>,</w:t>
      </w:r>
      <w:r w:rsidR="00363851" w:rsidRPr="002870A1">
        <w:t xml:space="preserve"> </w:t>
      </w:r>
      <w:r w:rsidRPr="002870A1">
        <w:t xml:space="preserve">subject to </w:t>
      </w:r>
      <w:r w:rsidRPr="002870A1" w:rsidDel="003A43BA">
        <w:t>the</w:t>
      </w:r>
      <w:r w:rsidRPr="002870A1">
        <w:t xml:space="preserve"> AFT regime, subject to certain conditions and carve outs</w:t>
      </w:r>
      <w:r w:rsidR="002870A1" w:rsidRPr="005A47D1">
        <w:t>.</w:t>
      </w:r>
      <w:r w:rsidRPr="002870A1">
        <w:rPr>
          <w:rStyle w:val="FootnoteReference"/>
        </w:rPr>
        <w:footnoteReference w:id="58"/>
      </w:r>
      <w:r w:rsidRPr="002870A1">
        <w:t xml:space="preserve"> </w:t>
      </w:r>
    </w:p>
    <w:p w14:paraId="152843F6" w14:textId="29C22B51" w:rsidR="00130BE0" w:rsidRPr="00D9091B" w:rsidRDefault="00130BE0" w:rsidP="00130BE0">
      <w:pPr>
        <w:pStyle w:val="ListParagraph"/>
        <w:numPr>
          <w:ilvl w:val="0"/>
          <w:numId w:val="12"/>
        </w:numPr>
        <w:spacing w:before="120"/>
        <w:ind w:left="0" w:firstLine="0"/>
        <w:contextualSpacing w:val="0"/>
        <w:jc w:val="both"/>
      </w:pPr>
      <w:r w:rsidRPr="00D9091B">
        <w:rPr>
          <w:b/>
          <w:bCs/>
        </w:rPr>
        <w:t>While the AFT can simplify taxes for businesses, it has a key drawback.</w:t>
      </w:r>
      <w:r w:rsidRPr="00D9091B">
        <w:t xml:space="preserve"> A tax on turnover can have very different implications to a tax on business profits. Under </w:t>
      </w:r>
      <w:proofErr w:type="gramStart"/>
      <w:r w:rsidRPr="00D9091B">
        <w:t>a CIT</w:t>
      </w:r>
      <w:proofErr w:type="gramEnd"/>
      <w:r w:rsidRPr="00D9091B">
        <w:t xml:space="preserve">, tax liabilities are directly linked to business profits and will not exceed the profit generated. By contrast, turnover taxes generate </w:t>
      </w:r>
      <w:proofErr w:type="gramStart"/>
      <w:r w:rsidRPr="00D9091B">
        <w:t>a tax</w:t>
      </w:r>
      <w:proofErr w:type="gramEnd"/>
      <w:r w:rsidRPr="00D9091B">
        <w:t xml:space="preserve"> liability irrespective of whether a business is making a profit. For instance, a business that has </w:t>
      </w:r>
      <w:r w:rsidR="00E54B47" w:rsidRPr="00D9091B">
        <w:t xml:space="preserve">not yet </w:t>
      </w:r>
      <w:r w:rsidRPr="00D9091B">
        <w:t>made enough annual sales to cover its fixed costs will still face a tax liability. Business activities that might be viable and profitable under a CIT can</w:t>
      </w:r>
      <w:r w:rsidR="00D9091B" w:rsidRPr="005A47D1">
        <w:t>,</w:t>
      </w:r>
      <w:r w:rsidRPr="00D9091B">
        <w:t xml:space="preserve"> therefore</w:t>
      </w:r>
      <w:r w:rsidR="00D9091B" w:rsidRPr="005A47D1">
        <w:t>,</w:t>
      </w:r>
      <w:r w:rsidRPr="00D9091B">
        <w:t xml:space="preserve"> become unviable and loss-making under a turnover tax. Turnover taxes are</w:t>
      </w:r>
      <w:r w:rsidR="00D9091B" w:rsidRPr="005A47D1">
        <w:t>,</w:t>
      </w:r>
      <w:r w:rsidRPr="00D9091B">
        <w:t xml:space="preserve"> therefore</w:t>
      </w:r>
      <w:r w:rsidR="00D9091B" w:rsidRPr="005A47D1">
        <w:t>,</w:t>
      </w:r>
      <w:r w:rsidRPr="00D9091B">
        <w:t xml:space="preserve"> biased against firms in sectors with low net profit margins (such as those with heavy use of intermediate </w:t>
      </w:r>
      <w:proofErr w:type="gramStart"/>
      <w:r w:rsidRPr="00D9091B">
        <w:t>inputs</w:t>
      </w:r>
      <w:proofErr w:type="gramEnd"/>
      <w:r w:rsidRPr="00D9091B">
        <w:t xml:space="preserve">). But </w:t>
      </w:r>
      <w:r w:rsidR="00B25278">
        <w:t>they</w:t>
      </w:r>
      <w:r w:rsidRPr="00D9091B">
        <w:t xml:space="preserve"> favor vertically integrated firms</w:t>
      </w:r>
      <w:r w:rsidR="00911FDA">
        <w:t xml:space="preserve">: the </w:t>
      </w:r>
      <w:r w:rsidRPr="00D9091B">
        <w:t>integration of multiple stages of the supply chain into one business structure reduces the cascading of the turnover-based tax burden from one firm to the next. Firms may opt</w:t>
      </w:r>
      <w:r w:rsidR="00D9091B" w:rsidRPr="00687B71">
        <w:t xml:space="preserve"> </w:t>
      </w:r>
      <w:r w:rsidRPr="00D9091B">
        <w:t>out of the AFT to avoid these drawbacks</w:t>
      </w:r>
      <w:r w:rsidR="00436B27">
        <w:t xml:space="preserve">. But, </w:t>
      </w:r>
      <w:r w:rsidRPr="00D9091B">
        <w:t xml:space="preserve">by opting out, they stay within the CIT regime and do not receive any of the tax simplification that may be appropriate for the smallest firms. </w:t>
      </w:r>
    </w:p>
    <w:p w14:paraId="44C3E61F" w14:textId="0BF7F752" w:rsidR="00130BE0" w:rsidRPr="00152406" w:rsidRDefault="00384497" w:rsidP="00130BE0">
      <w:pPr>
        <w:pStyle w:val="ListParagraph"/>
        <w:numPr>
          <w:ilvl w:val="0"/>
          <w:numId w:val="12"/>
        </w:numPr>
        <w:spacing w:before="120"/>
        <w:ind w:left="0" w:firstLine="0"/>
        <w:contextualSpacing w:val="0"/>
        <w:jc w:val="both"/>
      </w:pPr>
      <w:r>
        <w:rPr>
          <w:b/>
          <w:bCs/>
        </w:rPr>
        <w:t>AFT revenue</w:t>
      </w:r>
      <w:r w:rsidR="00D73443">
        <w:rPr>
          <w:b/>
          <w:bCs/>
        </w:rPr>
        <w:t xml:space="preserve">s </w:t>
      </w:r>
      <w:r>
        <w:rPr>
          <w:b/>
          <w:bCs/>
        </w:rPr>
        <w:t xml:space="preserve">are </w:t>
      </w:r>
      <w:r w:rsidR="00130BE0" w:rsidRPr="001D05CC">
        <w:rPr>
          <w:b/>
          <w:bCs/>
        </w:rPr>
        <w:t>considerably smaller than those of the CIT</w:t>
      </w:r>
      <w:r w:rsidR="00130BE0" w:rsidRPr="002E5BE0">
        <w:rPr>
          <w:b/>
          <w:bCs/>
        </w:rPr>
        <w:t xml:space="preserve">. </w:t>
      </w:r>
      <w:r w:rsidR="005E7260" w:rsidRPr="00080BFA">
        <w:t xml:space="preserve">The government does not publish </w:t>
      </w:r>
      <w:r w:rsidR="004359CD" w:rsidRPr="00080BFA">
        <w:t xml:space="preserve">data </w:t>
      </w:r>
      <w:r w:rsidR="008622A8" w:rsidRPr="00080BFA">
        <w:t xml:space="preserve">on the revenues collected </w:t>
      </w:r>
      <w:r w:rsidR="00D86C56" w:rsidRPr="00080BFA">
        <w:t xml:space="preserve">from businesses </w:t>
      </w:r>
      <w:r w:rsidR="008622A8" w:rsidRPr="00080BFA">
        <w:t>under the AFT.</w:t>
      </w:r>
      <w:r w:rsidR="008622A8">
        <w:rPr>
          <w:b/>
          <w:bCs/>
        </w:rPr>
        <w:t xml:space="preserve"> </w:t>
      </w:r>
      <w:r w:rsidR="005E7260">
        <w:t>Instead, it</w:t>
      </w:r>
      <w:r w:rsidR="003613EC">
        <w:t xml:space="preserve"> reports on </w:t>
      </w:r>
      <w:r w:rsidR="005E7260">
        <w:t xml:space="preserve">total </w:t>
      </w:r>
      <w:r w:rsidR="00130BE0">
        <w:t xml:space="preserve">final taxes, including </w:t>
      </w:r>
      <w:r w:rsidR="004A102C">
        <w:t xml:space="preserve">final </w:t>
      </w:r>
      <w:r w:rsidR="00130BE0">
        <w:t>taxes on the entire construction services and real estate rental services sectors</w:t>
      </w:r>
      <w:r w:rsidR="008E37FC">
        <w:t xml:space="preserve">, </w:t>
      </w:r>
      <w:r w:rsidR="00D9091B">
        <w:t>and</w:t>
      </w:r>
      <w:r w:rsidR="008E37FC">
        <w:t xml:space="preserve"> </w:t>
      </w:r>
      <w:r w:rsidR="006741B3">
        <w:t xml:space="preserve">taxes </w:t>
      </w:r>
      <w:r w:rsidR="0028198D">
        <w:t xml:space="preserve">on </w:t>
      </w:r>
      <w:r w:rsidR="006741B3">
        <w:t xml:space="preserve">PIT-regime business activities that are operating under the </w:t>
      </w:r>
      <w:r w:rsidR="008E37FC">
        <w:t>AFT</w:t>
      </w:r>
      <w:r w:rsidR="00BB2336">
        <w:t xml:space="preserve"> (</w:t>
      </w:r>
      <w:r w:rsidR="000F0B2E">
        <w:t xml:space="preserve">these </w:t>
      </w:r>
      <w:r w:rsidR="00BB2336">
        <w:t xml:space="preserve">PIT-regime taxpayers are discussed </w:t>
      </w:r>
      <w:r w:rsidR="000F0B2E">
        <w:t>further below)</w:t>
      </w:r>
      <w:r w:rsidR="006741B3">
        <w:t xml:space="preserve">. </w:t>
      </w:r>
      <w:r w:rsidR="00243489">
        <w:t>Moreover</w:t>
      </w:r>
      <w:r w:rsidR="00130BE0">
        <w:t xml:space="preserve">, the </w:t>
      </w:r>
      <w:r w:rsidR="000F3956">
        <w:t xml:space="preserve">public data on </w:t>
      </w:r>
      <w:r w:rsidR="00130BE0">
        <w:t xml:space="preserve">final </w:t>
      </w:r>
      <w:r w:rsidR="00130BE0" w:rsidRPr="00152406">
        <w:t>taxes also exclude withholding taxes that have been collected from AFT-eligible taxpayers</w:t>
      </w:r>
      <w:r w:rsidR="008F69F4" w:rsidRPr="00152406">
        <w:t>; and</w:t>
      </w:r>
      <w:r w:rsidR="006E1B11">
        <w:t>,</w:t>
      </w:r>
      <w:r w:rsidR="008F69F4" w:rsidRPr="00152406">
        <w:t xml:space="preserve"> </w:t>
      </w:r>
      <w:r w:rsidR="00130BE0" w:rsidRPr="00152406">
        <w:t xml:space="preserve">when these withholding taxes are reported separately, </w:t>
      </w:r>
      <w:r w:rsidR="008F69F4" w:rsidRPr="00152406">
        <w:t xml:space="preserve">they are inseparable from those collected </w:t>
      </w:r>
      <w:r w:rsidR="00BC2735" w:rsidRPr="00152406">
        <w:t xml:space="preserve">from </w:t>
      </w:r>
      <w:r w:rsidR="00130BE0" w:rsidRPr="00152406">
        <w:t>CIT-</w:t>
      </w:r>
      <w:r w:rsidR="00BC2735" w:rsidRPr="00152406">
        <w:t>paying firms</w:t>
      </w:r>
      <w:r w:rsidR="00130BE0" w:rsidRPr="00152406">
        <w:t xml:space="preserve">. </w:t>
      </w:r>
      <w:r w:rsidR="00BC2735" w:rsidRPr="00152406">
        <w:t xml:space="preserve">Nonetheless, </w:t>
      </w:r>
      <w:r w:rsidR="007710D1" w:rsidRPr="00152406">
        <w:t xml:space="preserve">discussions with the government have revealed that revenues collected from </w:t>
      </w:r>
      <w:r w:rsidR="00BD3AAC" w:rsidRPr="00152406">
        <w:t xml:space="preserve">firms subject to the AFT </w:t>
      </w:r>
      <w:r w:rsidR="007357DB" w:rsidRPr="00152406">
        <w:t>are surprisingly low</w:t>
      </w:r>
      <w:r w:rsidR="00D9091B">
        <w:rPr>
          <w:rFonts w:cstheme="minorHAnsi"/>
        </w:rPr>
        <w:t>–</w:t>
      </w:r>
      <w:r w:rsidR="005D29B4" w:rsidRPr="00152406">
        <w:t xml:space="preserve">less than 10 percent </w:t>
      </w:r>
      <w:r w:rsidR="00130BE0" w:rsidRPr="00152406">
        <w:t xml:space="preserve">of </w:t>
      </w:r>
      <w:r w:rsidR="00F55DE3" w:rsidRPr="00152406">
        <w:t xml:space="preserve">estimated </w:t>
      </w:r>
      <w:r w:rsidR="008F3F7C" w:rsidRPr="00152406">
        <w:t xml:space="preserve">CIT </w:t>
      </w:r>
      <w:r w:rsidR="005D29B4" w:rsidRPr="00152406">
        <w:t>collections</w:t>
      </w:r>
      <w:r w:rsidR="00130BE0" w:rsidRPr="00152406">
        <w:t xml:space="preserve">. </w:t>
      </w:r>
    </w:p>
    <w:p w14:paraId="13AEE8CA" w14:textId="77777777" w:rsidR="00130BE0" w:rsidRPr="002D5942" w:rsidRDefault="00130BE0" w:rsidP="00130BE0">
      <w:pPr>
        <w:pStyle w:val="Heading2"/>
        <w:spacing w:before="240"/>
        <w:rPr>
          <w:rFonts w:asciiTheme="minorHAnsi" w:hAnsiTheme="minorHAnsi" w:cstheme="minorHAnsi"/>
          <w:color w:val="4472C4" w:themeColor="accent1"/>
          <w:sz w:val="24"/>
          <w:szCs w:val="24"/>
        </w:rPr>
      </w:pPr>
      <w:bookmarkStart w:id="29" w:name="_Toc177819042"/>
      <w:r w:rsidRPr="002D5942">
        <w:rPr>
          <w:rFonts w:asciiTheme="minorHAnsi" w:hAnsiTheme="minorHAnsi" w:cstheme="minorHAnsi"/>
          <w:color w:val="4472C4" w:themeColor="accent1"/>
          <w:sz w:val="24"/>
          <w:szCs w:val="24"/>
        </w:rPr>
        <w:t>Who pays and who does not</w:t>
      </w:r>
      <w:bookmarkEnd w:id="29"/>
    </w:p>
    <w:p w14:paraId="0CB8EBCB" w14:textId="5164E2D4" w:rsidR="0010165B" w:rsidRDefault="00130BE0" w:rsidP="00B0698F">
      <w:pPr>
        <w:pStyle w:val="ListParagraph"/>
        <w:numPr>
          <w:ilvl w:val="0"/>
          <w:numId w:val="12"/>
        </w:numPr>
        <w:spacing w:before="120"/>
        <w:ind w:left="0" w:firstLine="0"/>
        <w:contextualSpacing w:val="0"/>
        <w:jc w:val="both"/>
      </w:pPr>
      <w:r w:rsidRPr="00427528">
        <w:rPr>
          <w:b/>
          <w:bCs/>
        </w:rPr>
        <w:t>There are three broad types of entities that may participate in the AFT, subject to annual revenues below R</w:t>
      </w:r>
      <w:r w:rsidR="00CB262B">
        <w:rPr>
          <w:b/>
          <w:bCs/>
        </w:rPr>
        <w:t>p</w:t>
      </w:r>
      <w:r w:rsidRPr="00427528">
        <w:rPr>
          <w:b/>
          <w:bCs/>
        </w:rPr>
        <w:t xml:space="preserve"> 4.8 billion. </w:t>
      </w:r>
      <w:r>
        <w:t xml:space="preserve">These are incorporated </w:t>
      </w:r>
      <w:r w:rsidR="009B6428">
        <w:t>businesses</w:t>
      </w:r>
      <w:r>
        <w:t xml:space="preserve">, standard businesses, and individual </w:t>
      </w:r>
      <w:r>
        <w:lastRenderedPageBreak/>
        <w:t xml:space="preserve">businesses. First, incorporated </w:t>
      </w:r>
      <w:r w:rsidR="009B6428">
        <w:t xml:space="preserve">businesses </w:t>
      </w:r>
      <w:r>
        <w:t>are formal limited</w:t>
      </w:r>
      <w:r w:rsidR="009B6428">
        <w:t xml:space="preserve"> </w:t>
      </w:r>
      <w:r>
        <w:t>liability companies which in Indonesia often carry ‘PT’ (</w:t>
      </w:r>
      <w:r w:rsidRPr="00427528">
        <w:rPr>
          <w:i/>
          <w:iCs/>
        </w:rPr>
        <w:t xml:space="preserve">Perseroan </w:t>
      </w:r>
      <w:proofErr w:type="spellStart"/>
      <w:r w:rsidRPr="00427528">
        <w:rPr>
          <w:i/>
          <w:iCs/>
        </w:rPr>
        <w:t>Terbatas</w:t>
      </w:r>
      <w:proofErr w:type="spellEnd"/>
      <w:r>
        <w:t xml:space="preserve">) in their name. Second, standard businesses refer to most other types of registered businesses. Third, individual businesses refer to individuals running business activities without formal business registration. These are businesses that would otherwise file their income under the PIT. The remainder of this </w:t>
      </w:r>
      <w:r w:rsidRPr="00601E71">
        <w:t xml:space="preserve">discussion on the AFT will be focused on </w:t>
      </w:r>
      <w:r w:rsidR="00F27EEB">
        <w:t>the first two types of entities—</w:t>
      </w:r>
      <w:r w:rsidRPr="00601E71">
        <w:t xml:space="preserve">incorporated </w:t>
      </w:r>
      <w:r w:rsidR="00FB2524">
        <w:t xml:space="preserve">businesses </w:t>
      </w:r>
      <w:r w:rsidRPr="00601E71">
        <w:t>and standard businesses</w:t>
      </w:r>
      <w:r w:rsidR="00D26379">
        <w:t>—</w:t>
      </w:r>
      <w:r w:rsidRPr="00601E71">
        <w:t xml:space="preserve">that </w:t>
      </w:r>
      <w:proofErr w:type="gramStart"/>
      <w:r w:rsidRPr="00601E71">
        <w:t>is,</w:t>
      </w:r>
      <w:proofErr w:type="gramEnd"/>
      <w:r w:rsidRPr="00601E71">
        <w:t xml:space="preserve"> registered businesses. </w:t>
      </w:r>
      <w:r w:rsidR="00D76835">
        <w:t>A</w:t>
      </w:r>
      <w:r w:rsidR="00D9091B">
        <w:t>ppendix</w:t>
      </w:r>
      <w:r w:rsidR="00D76835">
        <w:t xml:space="preserve"> 4</w:t>
      </w:r>
      <w:r w:rsidRPr="00601E71">
        <w:t xml:space="preserve"> provides a brief introduction to the </w:t>
      </w:r>
      <w:r w:rsidR="00950576">
        <w:t xml:space="preserve">PIT and AFT </w:t>
      </w:r>
      <w:r w:rsidRPr="00601E71">
        <w:t>taxation of individual businesses.</w:t>
      </w:r>
      <w:r>
        <w:t xml:space="preserve"> </w:t>
      </w:r>
    </w:p>
    <w:p w14:paraId="734FE289" w14:textId="6C57AA1C" w:rsidR="00FC68FE" w:rsidRPr="00BB7977" w:rsidRDefault="00FC68FE" w:rsidP="00130BE0">
      <w:pPr>
        <w:pStyle w:val="ListParagraph"/>
        <w:numPr>
          <w:ilvl w:val="0"/>
          <w:numId w:val="12"/>
        </w:numPr>
        <w:spacing w:before="120"/>
        <w:ind w:left="0" w:firstLine="0"/>
        <w:contextualSpacing w:val="0"/>
        <w:jc w:val="both"/>
      </w:pPr>
      <w:r w:rsidRPr="00BB7977">
        <w:rPr>
          <w:b/>
          <w:bCs/>
        </w:rPr>
        <w:t xml:space="preserve">The current eligibility of incorporated businesses in the AFT regime </w:t>
      </w:r>
      <w:r w:rsidR="00D83F40" w:rsidRPr="00BB7977">
        <w:rPr>
          <w:b/>
          <w:bCs/>
        </w:rPr>
        <w:t xml:space="preserve">could </w:t>
      </w:r>
      <w:r w:rsidRPr="00BB7977">
        <w:rPr>
          <w:b/>
          <w:bCs/>
        </w:rPr>
        <w:t xml:space="preserve">be reconsidered. </w:t>
      </w:r>
      <w:r w:rsidRPr="00BB7977">
        <w:t xml:space="preserve">Incorporated firms are fundamentally a more formal </w:t>
      </w:r>
      <w:r w:rsidR="006517C8" w:rsidRPr="00BB7977">
        <w:t xml:space="preserve">and expensive </w:t>
      </w:r>
      <w:r w:rsidRPr="00BB7977">
        <w:t xml:space="preserve">legal construct with various legal obligations that differ from those of unincorporated firms. These include certain requirements </w:t>
      </w:r>
      <w:r w:rsidR="00024D62">
        <w:t xml:space="preserve">such as </w:t>
      </w:r>
      <w:r w:rsidRPr="00BB7977">
        <w:t>pertaining to the business’s articles of association, board of directors, shareholder rights,</w:t>
      </w:r>
      <w:r w:rsidR="00BB7977" w:rsidRPr="00AB33D3">
        <w:t xml:space="preserve"> and</w:t>
      </w:r>
      <w:r w:rsidRPr="00BB7977">
        <w:t xml:space="preserve"> shareholder meetings. By limiting the liability of business owners to the value of their direct investment</w:t>
      </w:r>
      <w:r w:rsidR="00BB7977" w:rsidRPr="00AB33D3">
        <w:t>,</w:t>
      </w:r>
      <w:r w:rsidRPr="00BB7977">
        <w:rPr>
          <w:rStyle w:val="FootnoteReference"/>
        </w:rPr>
        <w:footnoteReference w:id="59"/>
      </w:r>
      <w:r w:rsidRPr="00BB7977">
        <w:t xml:space="preserve"> incorporation enables business owners to take greater risks and facilitates the handover of business management control to professional managers. In principle, this also facilitates increased access to equity investment. Given the additional legal formalities surrounding incorporation and the riskier profile of such businesses, such firms should be expected to have the minimum taxpayer capacity needed to comply with CIT tax obligations. Their inclusion in the AFT regime may</w:t>
      </w:r>
      <w:r w:rsidR="00BB7977" w:rsidRPr="00AB33D3">
        <w:t>,</w:t>
      </w:r>
      <w:r w:rsidRPr="00BB7977">
        <w:t xml:space="preserve"> therefore</w:t>
      </w:r>
      <w:r w:rsidR="00BB7977" w:rsidRPr="00AB33D3">
        <w:t>,</w:t>
      </w:r>
      <w:r w:rsidRPr="00BB7977">
        <w:t xml:space="preserve"> be suboptimal and unnecessary.</w:t>
      </w:r>
    </w:p>
    <w:p w14:paraId="4AF76A36" w14:textId="4D08E474" w:rsidR="00130BE0" w:rsidRDefault="00130BE0" w:rsidP="00130BE0">
      <w:pPr>
        <w:pStyle w:val="ListParagraph"/>
        <w:numPr>
          <w:ilvl w:val="0"/>
          <w:numId w:val="12"/>
        </w:numPr>
        <w:spacing w:before="120"/>
        <w:ind w:left="0" w:firstLine="0"/>
        <w:contextualSpacing w:val="0"/>
        <w:jc w:val="both"/>
      </w:pPr>
      <w:r w:rsidRPr="00427528">
        <w:rPr>
          <w:b/>
          <w:bCs/>
        </w:rPr>
        <w:t xml:space="preserve">Several types of businesses are excluded from the </w:t>
      </w:r>
      <w:r w:rsidR="0066224E">
        <w:rPr>
          <w:b/>
          <w:bCs/>
        </w:rPr>
        <w:t xml:space="preserve">AFT </w:t>
      </w:r>
      <w:r w:rsidRPr="00427528">
        <w:rPr>
          <w:b/>
          <w:bCs/>
        </w:rPr>
        <w:t>regime.</w:t>
      </w:r>
      <w:r>
        <w:t xml:space="preserve"> Nonresident </w:t>
      </w:r>
      <w:r w:rsidR="00BB7977">
        <w:t>PEs</w:t>
      </w:r>
      <w:r>
        <w:t xml:space="preserve"> are not </w:t>
      </w:r>
      <w:r w:rsidRPr="00755E58">
        <w:t>eligible for the AFT. Construction services and rental real estate businesses are also not eligible as they must file under their own separate special final tax regime. Furthermore, a range of sole-proprietor service providers are ineligible. These include, for example, attorneys, accountants, physicians, consultants, actuaries, musicians, singers, comedians, actors, models, movie crew or directors, athletes, lecturers, authors, researchers, agents, project supervisors or managers, brokers, salesmen, and all others of a similar nature.</w:t>
      </w:r>
      <w:r w:rsidRPr="00755E58">
        <w:rPr>
          <w:rStyle w:val="FootnoteReference"/>
        </w:rPr>
        <w:footnoteReference w:id="60"/>
      </w:r>
      <w:r w:rsidRPr="00755E58">
        <w:t xml:space="preserve"> Their individual business activities must be taxed under the </w:t>
      </w:r>
      <w:r w:rsidR="00BE10CB" w:rsidRPr="00755E58">
        <w:t xml:space="preserve">standard </w:t>
      </w:r>
      <w:r w:rsidRPr="00755E58">
        <w:t>PIT.</w:t>
      </w:r>
      <w:r w:rsidR="004C01FB" w:rsidRPr="00755E58">
        <w:rPr>
          <w:rStyle w:val="FootnoteReference"/>
        </w:rPr>
        <w:footnoteReference w:id="61"/>
      </w:r>
      <w:r w:rsidRPr="00755E58">
        <w:t xml:space="preserve"> Registered</w:t>
      </w:r>
      <w:r>
        <w:t xml:space="preserve"> businesses that are partnerships between several individuals who are service providers of the aforementioned type are also excluded. They must remain within the CIT.</w:t>
      </w:r>
    </w:p>
    <w:p w14:paraId="10B26B4B" w14:textId="4A2240D1" w:rsidR="00130BE0" w:rsidRDefault="00130BE0" w:rsidP="00755E58">
      <w:pPr>
        <w:pStyle w:val="ListParagraph"/>
        <w:numPr>
          <w:ilvl w:val="0"/>
          <w:numId w:val="12"/>
        </w:numPr>
        <w:spacing w:before="120"/>
        <w:ind w:left="0" w:firstLine="0"/>
        <w:contextualSpacing w:val="0"/>
        <w:jc w:val="both"/>
      </w:pPr>
      <w:r w:rsidRPr="00427528">
        <w:rPr>
          <w:b/>
          <w:bCs/>
        </w:rPr>
        <w:t xml:space="preserve">The AFT is </w:t>
      </w:r>
      <w:r w:rsidRPr="00755E58">
        <w:rPr>
          <w:b/>
          <w:bCs/>
        </w:rPr>
        <w:t xml:space="preserve">subject to specific sunset clauses, placing a time limit on the available benefits. </w:t>
      </w:r>
      <w:r w:rsidR="00755E58" w:rsidRPr="00755E58">
        <w:t xml:space="preserve">Standard businesses and incorporated businesses may remain in the regime for a maximum of </w:t>
      </w:r>
      <w:proofErr w:type="gramStart"/>
      <w:r w:rsidR="00BB7977">
        <w:t>four</w:t>
      </w:r>
      <w:r w:rsidR="00755E58" w:rsidRPr="00755E58">
        <w:t xml:space="preserve"> years</w:t>
      </w:r>
      <w:proofErr w:type="gramEnd"/>
      <w:r w:rsidR="00755E58" w:rsidRPr="00755E58">
        <w:t xml:space="preserve"> and </w:t>
      </w:r>
      <w:r w:rsidR="00BB7977">
        <w:t>three</w:t>
      </w:r>
      <w:r w:rsidR="00755E58" w:rsidRPr="00755E58">
        <w:t xml:space="preserve"> years, respectively, or until their annual turnover exceeds R</w:t>
      </w:r>
      <w:r w:rsidR="00CB262B">
        <w:t>p</w:t>
      </w:r>
      <w:r w:rsidR="00755E58" w:rsidRPr="00755E58">
        <w:t xml:space="preserve"> 4.8 billion. </w:t>
      </w:r>
      <w:r w:rsidRPr="00755E58">
        <w:t>Thereafter, they return to the CIT regime. These sunset periods commence from the first day of business creation.</w:t>
      </w:r>
      <w:r w:rsidR="00BB7977">
        <w:t xml:space="preserve"> I</w:t>
      </w:r>
      <w:r w:rsidR="00755E58" w:rsidRPr="00755E58">
        <w:t xml:space="preserve">ndividual businesses are subject to sunset periods of </w:t>
      </w:r>
      <w:r w:rsidR="00BB7977">
        <w:t>seven</w:t>
      </w:r>
      <w:r w:rsidR="00755E58" w:rsidRPr="00755E58">
        <w:t xml:space="preserve"> years, or earlier if their annual revenues happen to exceed R</w:t>
      </w:r>
      <w:r w:rsidR="00CB262B">
        <w:t>p</w:t>
      </w:r>
      <w:r w:rsidR="00755E58" w:rsidRPr="00755E58">
        <w:t xml:space="preserve"> 4.8 billion. Once they leave the AFT regime, their activities will be subject to the PIT.</w:t>
      </w:r>
      <w:r w:rsidR="00755E58">
        <w:t xml:space="preserve"> </w:t>
      </w:r>
    </w:p>
    <w:p w14:paraId="27CACF46" w14:textId="5D741399" w:rsidR="00130BE0" w:rsidRDefault="00130BE0" w:rsidP="00130BE0">
      <w:pPr>
        <w:pStyle w:val="ListParagraph"/>
        <w:numPr>
          <w:ilvl w:val="0"/>
          <w:numId w:val="12"/>
        </w:numPr>
        <w:spacing w:before="120"/>
        <w:ind w:left="0" w:firstLine="0"/>
        <w:contextualSpacing w:val="0"/>
        <w:jc w:val="both"/>
      </w:pPr>
      <w:r w:rsidRPr="00427528">
        <w:rPr>
          <w:b/>
          <w:bCs/>
        </w:rPr>
        <w:t xml:space="preserve">Following </w:t>
      </w:r>
      <w:r w:rsidR="00A2500D">
        <w:rPr>
          <w:b/>
          <w:bCs/>
        </w:rPr>
        <w:t xml:space="preserve">their </w:t>
      </w:r>
      <w:r w:rsidR="00C81551">
        <w:rPr>
          <w:b/>
          <w:bCs/>
        </w:rPr>
        <w:t xml:space="preserve">eventual </w:t>
      </w:r>
      <w:r w:rsidR="00A2500D">
        <w:rPr>
          <w:b/>
          <w:bCs/>
        </w:rPr>
        <w:t xml:space="preserve">exit from </w:t>
      </w:r>
      <w:r w:rsidR="00C81551">
        <w:rPr>
          <w:b/>
          <w:bCs/>
        </w:rPr>
        <w:t xml:space="preserve">the </w:t>
      </w:r>
      <w:r w:rsidR="00A2500D">
        <w:rPr>
          <w:b/>
          <w:bCs/>
        </w:rPr>
        <w:t>AFT</w:t>
      </w:r>
      <w:r w:rsidRPr="00427528">
        <w:rPr>
          <w:b/>
          <w:bCs/>
        </w:rPr>
        <w:t xml:space="preserve">, </w:t>
      </w:r>
      <w:proofErr w:type="gramStart"/>
      <w:r w:rsidR="00C81551">
        <w:rPr>
          <w:b/>
          <w:bCs/>
        </w:rPr>
        <w:t xml:space="preserve">the </w:t>
      </w:r>
      <w:r w:rsidRPr="00427528">
        <w:rPr>
          <w:b/>
          <w:bCs/>
        </w:rPr>
        <w:t>CIT’s</w:t>
      </w:r>
      <w:proofErr w:type="gramEnd"/>
      <w:r w:rsidRPr="00427528">
        <w:rPr>
          <w:b/>
          <w:bCs/>
        </w:rPr>
        <w:t xml:space="preserve"> complexity may pose a problem again for many firms. </w:t>
      </w:r>
      <w:r>
        <w:t>Upon</w:t>
      </w:r>
      <w:r w:rsidDel="006B6EB1">
        <w:t xml:space="preserve"> </w:t>
      </w:r>
      <w:r w:rsidR="006B6EB1">
        <w:t xml:space="preserve">graduating </w:t>
      </w:r>
      <w:proofErr w:type="gramStart"/>
      <w:r>
        <w:t>to</w:t>
      </w:r>
      <w:proofErr w:type="gramEnd"/>
      <w:r>
        <w:t xml:space="preserve"> the CIT regime, businesses </w:t>
      </w:r>
      <w:r w:rsidR="003C40F5">
        <w:t xml:space="preserve">with annual turnover up to Rp 50 billion </w:t>
      </w:r>
      <w:r w:rsidR="00B50F16">
        <w:t xml:space="preserve">are </w:t>
      </w:r>
      <w:r w:rsidR="002875C4">
        <w:t>eligible for the CIT’s concessional rate of 11 percent on the profits derived from their first R</w:t>
      </w:r>
      <w:r w:rsidR="00CB262B">
        <w:t>p</w:t>
      </w:r>
      <w:r w:rsidR="00673787">
        <w:t> </w:t>
      </w:r>
      <w:r w:rsidR="002875C4">
        <w:t>4.8</w:t>
      </w:r>
      <w:r w:rsidR="00673787">
        <w:t> </w:t>
      </w:r>
      <w:r w:rsidR="002875C4">
        <w:t>billion of turnover.</w:t>
      </w:r>
      <w:r w:rsidR="002875C4">
        <w:rPr>
          <w:rStyle w:val="FootnoteReference"/>
        </w:rPr>
        <w:footnoteReference w:id="62"/>
      </w:r>
      <w:r w:rsidR="002875C4">
        <w:t xml:space="preserve"> </w:t>
      </w:r>
      <w:r w:rsidR="00B50F16">
        <w:t xml:space="preserve">However, they will </w:t>
      </w:r>
      <w:r w:rsidR="0071214E">
        <w:t xml:space="preserve">also </w:t>
      </w:r>
      <w:r>
        <w:t>face more complex CIT tax</w:t>
      </w:r>
      <w:r w:rsidR="00BE6FC1">
        <w:t>-</w:t>
      </w:r>
      <w:r>
        <w:t>filing requirements. Consequently, the AFT regime</w:t>
      </w:r>
      <w:r w:rsidR="00D4323C">
        <w:t xml:space="preserve">, with its timebound provisions, </w:t>
      </w:r>
      <w:r>
        <w:t xml:space="preserve">offers </w:t>
      </w:r>
      <w:r w:rsidR="00843B1C">
        <w:t xml:space="preserve">only </w:t>
      </w:r>
      <w:r>
        <w:t xml:space="preserve">an initial light </w:t>
      </w:r>
      <w:r w:rsidR="00467D9A">
        <w:t>introduction</w:t>
      </w:r>
      <w:r>
        <w:t xml:space="preserve"> into the Indonesian corporate tax system for MSMEs. During </w:t>
      </w:r>
      <w:r w:rsidR="00AA4C22">
        <w:t xml:space="preserve">this </w:t>
      </w:r>
      <w:r>
        <w:t xml:space="preserve">limited period of AFT eligibility, it is crucial that the firm acquires capacity for bookkeeping and an understanding of the CIT tax system to ensure an eventual smooth transition into the CIT. </w:t>
      </w:r>
      <w:r w:rsidR="00305B82">
        <w:t>I</w:t>
      </w:r>
      <w:r w:rsidR="00C06267">
        <w:t xml:space="preserve">n the absence of direct support or training, </w:t>
      </w:r>
      <w:r w:rsidR="007E52EC">
        <w:t xml:space="preserve">three to four </w:t>
      </w:r>
      <w:r w:rsidR="00C06267">
        <w:t>years may not be enough</w:t>
      </w:r>
      <w:r w:rsidR="00B24976">
        <w:t xml:space="preserve">, especially for </w:t>
      </w:r>
      <w:r w:rsidR="00C06267">
        <w:t xml:space="preserve">busy small businesses with limited capacity (including, </w:t>
      </w:r>
      <w:r w:rsidR="00C06267">
        <w:lastRenderedPageBreak/>
        <w:t xml:space="preserve">for instance, </w:t>
      </w:r>
      <w:r w:rsidR="00B24976">
        <w:t xml:space="preserve">very </w:t>
      </w:r>
      <w:r w:rsidR="00C06267">
        <w:t xml:space="preserve">low literacy and numeracy skills). </w:t>
      </w:r>
      <w:r>
        <w:t>Considering the low capacity of many MSMEs</w:t>
      </w:r>
      <w:r w:rsidR="00305B82">
        <w:rPr>
          <w:rFonts w:cstheme="minorHAnsi"/>
        </w:rPr>
        <w:t>–</w:t>
      </w:r>
      <w:r>
        <w:t>especially the smallest firms</w:t>
      </w:r>
      <w:r w:rsidR="00305B82">
        <w:rPr>
          <w:rFonts w:cstheme="minorHAnsi"/>
        </w:rPr>
        <w:t>–</w:t>
      </w:r>
      <w:r>
        <w:t>they may struggle to comply</w:t>
      </w:r>
      <w:r w:rsidR="00152BC0">
        <w:t xml:space="preserve"> after making the transition to CIT</w:t>
      </w:r>
      <w:r>
        <w:t xml:space="preserve">. </w:t>
      </w:r>
    </w:p>
    <w:p w14:paraId="2A7E7EA8" w14:textId="77A3EB8A" w:rsidR="00130BE0" w:rsidRDefault="00130BE0" w:rsidP="00130BE0">
      <w:pPr>
        <w:pStyle w:val="ListParagraph"/>
        <w:numPr>
          <w:ilvl w:val="0"/>
          <w:numId w:val="12"/>
        </w:numPr>
        <w:spacing w:before="120"/>
        <w:ind w:left="0" w:firstLine="0"/>
        <w:contextualSpacing w:val="0"/>
        <w:jc w:val="both"/>
      </w:pPr>
      <w:r>
        <w:rPr>
          <w:b/>
          <w:bCs/>
        </w:rPr>
        <w:t xml:space="preserve">Businesses may be incentivized to pursue various evasion strategies </w:t>
      </w:r>
      <w:r w:rsidRPr="00C31DEA">
        <w:rPr>
          <w:b/>
          <w:bCs/>
        </w:rPr>
        <w:t xml:space="preserve">if </w:t>
      </w:r>
      <w:r>
        <w:rPr>
          <w:b/>
          <w:bCs/>
        </w:rPr>
        <w:t xml:space="preserve">they </w:t>
      </w:r>
      <w:r w:rsidRPr="00C31DEA">
        <w:rPr>
          <w:b/>
          <w:bCs/>
        </w:rPr>
        <w:t xml:space="preserve">expect to struggle to make the eventual transition to the CIT. </w:t>
      </w:r>
      <w:r>
        <w:t xml:space="preserve">Low-capacity firms that expect to face compliance difficulties when eventually </w:t>
      </w:r>
      <w:r w:rsidR="00A3719F">
        <w:t>graduat</w:t>
      </w:r>
      <w:r w:rsidR="0061273B">
        <w:t>ing</w:t>
      </w:r>
      <w:r w:rsidR="00A3719F">
        <w:t xml:space="preserve"> </w:t>
      </w:r>
      <w:r>
        <w:t>into the CIT regime might attempt to avoid the tax system altogether and stay informal from the outset. Alternatively, they may seek to drop out of the tax net (</w:t>
      </w:r>
      <w:r w:rsidR="006E16AF">
        <w:t>for example</w:t>
      </w:r>
      <w:r w:rsidR="00A73DFA">
        <w:t>,</w:t>
      </w:r>
      <w:r>
        <w:t xml:space="preserve"> attempt to informalize, or otherwise report zero </w:t>
      </w:r>
      <w:r w:rsidR="00BA3D1A">
        <w:t>profits</w:t>
      </w:r>
      <w:r>
        <w:t xml:space="preserve">) once faced with such challenges. In </w:t>
      </w:r>
      <w:r w:rsidR="00A73DFA">
        <w:t>both</w:t>
      </w:r>
      <w:r>
        <w:t xml:space="preserve"> cases, the AFT proves less effective as a simplified alternative regime for encouraging informal firms to enter the tax net. Another option available to businesses is to attempt to extend their AFT eligibility by repeatedly renewing their business structure. For instance, businesses could repeatedly </w:t>
      </w:r>
      <w:r w:rsidR="007C7FD0">
        <w:t>close</w:t>
      </w:r>
      <w:r w:rsidRPr="00C31DEA">
        <w:t xml:space="preserve"> and restart operations under a different </w:t>
      </w:r>
      <w:r>
        <w:t xml:space="preserve">name and </w:t>
      </w:r>
      <w:r w:rsidRPr="00C31DEA">
        <w:t xml:space="preserve">registration to </w:t>
      </w:r>
      <w:r>
        <w:t xml:space="preserve">renew AFT </w:t>
      </w:r>
      <w:r w:rsidRPr="00C31DEA">
        <w:t>eligibility.</w:t>
      </w:r>
      <w:r>
        <w:t xml:space="preserve"> This latter strategy is not currently prohibited by the tax law. </w:t>
      </w:r>
      <w:r w:rsidR="00E856F9">
        <w:t xml:space="preserve">Firms that entered the </w:t>
      </w:r>
      <w:r w:rsidR="007C7FD0">
        <w:t>AFT</w:t>
      </w:r>
      <w:r w:rsidR="00E856F9">
        <w:t xml:space="preserve"> regime in its early years </w:t>
      </w:r>
      <w:r w:rsidR="00F67078">
        <w:t xml:space="preserve">will by now have </w:t>
      </w:r>
      <w:r w:rsidR="00E856F9">
        <w:t xml:space="preserve">already </w:t>
      </w:r>
      <w:r w:rsidR="00F67078">
        <w:t xml:space="preserve">exceeded their eligibility period and thus have </w:t>
      </w:r>
      <w:r w:rsidR="007C7FD0">
        <w:t xml:space="preserve">graduated to </w:t>
      </w:r>
      <w:r w:rsidR="00F67078">
        <w:t xml:space="preserve">the </w:t>
      </w:r>
      <w:r w:rsidR="007C7FD0">
        <w:t xml:space="preserve">standard CIT </w:t>
      </w:r>
      <w:r w:rsidR="00D16B4C">
        <w:t xml:space="preserve">(or PIT) </w:t>
      </w:r>
      <w:r w:rsidR="002E203A">
        <w:t>regime</w:t>
      </w:r>
      <w:r w:rsidR="00F67078">
        <w:t xml:space="preserve">. </w:t>
      </w:r>
      <w:r w:rsidR="006E16AF">
        <w:t>MoF</w:t>
      </w:r>
      <w:r w:rsidR="00F67078">
        <w:t xml:space="preserve"> is currently </w:t>
      </w:r>
      <w:r w:rsidR="007C7FD0">
        <w:t>analy</w:t>
      </w:r>
      <w:r w:rsidR="00D16B4C">
        <w:t>z</w:t>
      </w:r>
      <w:r w:rsidR="00F67078">
        <w:t>ing</w:t>
      </w:r>
      <w:r w:rsidR="007C7FD0">
        <w:t xml:space="preserve"> their </w:t>
      </w:r>
      <w:r w:rsidR="00F67078">
        <w:t xml:space="preserve">data to better understand </w:t>
      </w:r>
      <w:r w:rsidR="009757A3">
        <w:t xml:space="preserve">post-graduation behavior. This may </w:t>
      </w:r>
      <w:r w:rsidR="007C7FD0">
        <w:t xml:space="preserve">shed light on </w:t>
      </w:r>
      <w:r w:rsidR="006C38B2">
        <w:t xml:space="preserve">subsequent </w:t>
      </w:r>
      <w:r w:rsidR="007C7FD0">
        <w:t xml:space="preserve">compliance challenges </w:t>
      </w:r>
      <w:r w:rsidR="009757A3">
        <w:t xml:space="preserve">that </w:t>
      </w:r>
      <w:r w:rsidR="006C38B2">
        <w:t xml:space="preserve">have </w:t>
      </w:r>
      <w:r w:rsidR="009757A3">
        <w:t>arise</w:t>
      </w:r>
      <w:r w:rsidR="006C38B2">
        <w:t>n</w:t>
      </w:r>
      <w:r w:rsidR="007C7FD0">
        <w:t>.</w:t>
      </w:r>
    </w:p>
    <w:p w14:paraId="51CDBEC8" w14:textId="77777777" w:rsidR="00130BE0" w:rsidRPr="002D5942" w:rsidRDefault="00130BE0" w:rsidP="00130BE0">
      <w:pPr>
        <w:pStyle w:val="Heading2"/>
        <w:rPr>
          <w:rFonts w:asciiTheme="minorHAnsi" w:hAnsiTheme="minorHAnsi" w:cstheme="minorHAnsi"/>
          <w:color w:val="4472C4" w:themeColor="accent1"/>
          <w:sz w:val="24"/>
          <w:szCs w:val="24"/>
        </w:rPr>
      </w:pPr>
      <w:bookmarkStart w:id="30" w:name="_Toc177819043"/>
      <w:r>
        <w:rPr>
          <w:rFonts w:asciiTheme="minorHAnsi" w:hAnsiTheme="minorHAnsi" w:cstheme="minorHAnsi"/>
          <w:color w:val="4472C4" w:themeColor="accent1"/>
          <w:sz w:val="24"/>
          <w:szCs w:val="24"/>
        </w:rPr>
        <w:t>Rates and thresholds</w:t>
      </w:r>
      <w:bookmarkEnd w:id="30"/>
    </w:p>
    <w:p w14:paraId="5D1CF0FF" w14:textId="5025B65C" w:rsidR="00130BE0" w:rsidRDefault="00130BE0" w:rsidP="00130BE0">
      <w:pPr>
        <w:pStyle w:val="ListParagraph"/>
        <w:numPr>
          <w:ilvl w:val="0"/>
          <w:numId w:val="12"/>
        </w:numPr>
        <w:spacing w:before="120"/>
        <w:ind w:left="0" w:firstLine="0"/>
        <w:contextualSpacing w:val="0"/>
        <w:jc w:val="both"/>
      </w:pPr>
      <w:r w:rsidRPr="00427528">
        <w:rPr>
          <w:b/>
          <w:bCs/>
        </w:rPr>
        <w:t xml:space="preserve">To assess the appropriateness of the AFT’s 0.5 percent rate, it is helpful to compare the relative tax burdens that eligible firms face under the two regimes. </w:t>
      </w:r>
      <w:r w:rsidRPr="00126215">
        <w:t xml:space="preserve">This </w:t>
      </w:r>
      <w:r>
        <w:t xml:space="preserve">can clarify </w:t>
      </w:r>
      <w:r w:rsidRPr="00126215">
        <w:t xml:space="preserve">the conditions under which firms stand to financially gain or lose by opting </w:t>
      </w:r>
      <w:r>
        <w:t xml:space="preserve">out of </w:t>
      </w:r>
      <w:r w:rsidRPr="00126215">
        <w:t xml:space="preserve">the AFT regime. It also sheds light on the financial incentive </w:t>
      </w:r>
      <w:r>
        <w:t xml:space="preserve">for firms </w:t>
      </w:r>
      <w:r w:rsidRPr="00126215">
        <w:t xml:space="preserve">to find ways to remain within the regime </w:t>
      </w:r>
      <w:r>
        <w:t>(</w:t>
      </w:r>
      <w:r w:rsidR="006E16AF">
        <w:t>for example</w:t>
      </w:r>
      <w:r>
        <w:t>, via firm splitting</w:t>
      </w:r>
      <w:r w:rsidR="001176B8">
        <w:t xml:space="preserve"> or re-registering under a new </w:t>
      </w:r>
      <w:r w:rsidR="0013599C">
        <w:t>identity</w:t>
      </w:r>
      <w:r>
        <w:t xml:space="preserve">) </w:t>
      </w:r>
      <w:r w:rsidRPr="00126215">
        <w:t xml:space="preserve">after </w:t>
      </w:r>
      <w:r>
        <w:t xml:space="preserve">their </w:t>
      </w:r>
      <w:r w:rsidRPr="00126215">
        <w:t>eligibility expires.</w:t>
      </w:r>
      <w:r>
        <w:t xml:space="preserve"> </w:t>
      </w:r>
      <w:r w:rsidR="002B209E">
        <w:t xml:space="preserve">In what follows, a stylized </w:t>
      </w:r>
      <w:r w:rsidR="00716D96">
        <w:t xml:space="preserve">comparison is </w:t>
      </w:r>
      <w:r w:rsidR="00AE1CB8">
        <w:t>constructed</w:t>
      </w:r>
      <w:r w:rsidR="00716D96">
        <w:t>, compar</w:t>
      </w:r>
      <w:r w:rsidR="00D22CB1">
        <w:t xml:space="preserve">ing the </w:t>
      </w:r>
      <w:r w:rsidR="001E71F7">
        <w:t xml:space="preserve">tax burdens </w:t>
      </w:r>
      <w:r w:rsidR="00D44199">
        <w:t xml:space="preserve">of the AFT and CIT, </w:t>
      </w:r>
      <w:r w:rsidR="001E71F7">
        <w:t xml:space="preserve">for firms </w:t>
      </w:r>
      <w:r w:rsidR="00E559C0">
        <w:t xml:space="preserve">that </w:t>
      </w:r>
      <w:r w:rsidR="00141574">
        <w:t xml:space="preserve">are eligible to </w:t>
      </w:r>
      <w:r w:rsidR="00E559C0">
        <w:t>choose between the regimes</w:t>
      </w:r>
      <w:r w:rsidR="00BC2D07">
        <w:t>.</w:t>
      </w:r>
      <w:r w:rsidR="00141574">
        <w:rPr>
          <w:rStyle w:val="FootnoteReference"/>
        </w:rPr>
        <w:footnoteReference w:id="63"/>
      </w:r>
      <w:r w:rsidR="00C22712" w:rsidRPr="000740AF">
        <w:rPr>
          <w:vertAlign w:val="superscript"/>
        </w:rPr>
        <w:t>,</w:t>
      </w:r>
      <w:r w:rsidR="008C6917">
        <w:rPr>
          <w:rStyle w:val="FootnoteReference"/>
        </w:rPr>
        <w:footnoteReference w:id="64"/>
      </w:r>
      <w:r w:rsidR="00BC2D07">
        <w:t xml:space="preserve"> </w:t>
      </w:r>
      <w:r w:rsidR="00621351">
        <w:t>T</w:t>
      </w:r>
      <w:r>
        <w:t xml:space="preserve">he following equations represent tax liabilities under </w:t>
      </w:r>
      <w:r w:rsidR="00621351">
        <w:t>the AFT and CIT</w:t>
      </w:r>
      <w:r w:rsidR="007F4B5D">
        <w:t xml:space="preserve">: </w:t>
      </w:r>
    </w:p>
    <w:tbl>
      <w:tblPr>
        <w:tblStyle w:val="TableGrid"/>
        <w:tblW w:w="0" w:type="auto"/>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7560"/>
      </w:tblGrid>
      <w:tr w:rsidR="00085F1C" w14:paraId="7F3096E1" w14:textId="77777777" w:rsidTr="00085F1C">
        <w:tc>
          <w:tcPr>
            <w:tcW w:w="990" w:type="dxa"/>
            <w:vAlign w:val="center"/>
          </w:tcPr>
          <w:p w14:paraId="6718B277" w14:textId="41040797" w:rsidR="00085F1C" w:rsidRPr="00914875" w:rsidRDefault="00085F1C" w:rsidP="00914875">
            <w:pPr>
              <w:spacing w:before="60" w:after="60"/>
              <w:rPr>
                <w:b/>
                <w:bCs/>
              </w:rPr>
            </w:pPr>
            <w:proofErr w:type="spellStart"/>
            <w:r w:rsidRPr="00914875">
              <w:rPr>
                <w:b/>
                <w:bCs/>
              </w:rPr>
              <w:t>Eqn</w:t>
            </w:r>
            <w:proofErr w:type="spellEnd"/>
            <w:r w:rsidRPr="00914875">
              <w:rPr>
                <w:b/>
                <w:bCs/>
              </w:rPr>
              <w:t xml:space="preserve"> 3.1: </w:t>
            </w:r>
          </w:p>
        </w:tc>
        <w:tc>
          <w:tcPr>
            <w:tcW w:w="7560" w:type="dxa"/>
            <w:vAlign w:val="center"/>
          </w:tcPr>
          <w:p w14:paraId="39835A6B" w14:textId="6321D52D" w:rsidR="00085F1C" w:rsidRPr="00914875" w:rsidRDefault="00085F1C" w:rsidP="00914875">
            <w:pPr>
              <w:spacing w:before="60" w:after="60"/>
              <w:ind w:left="0" w:firstLine="0"/>
              <w:jc w:val="center"/>
              <w:rPr>
                <w:b/>
                <w:bCs/>
              </w:rPr>
            </w:pPr>
            <w:r>
              <w:t xml:space="preserve">AFT liabilities = </w:t>
            </w:r>
            <w:proofErr w:type="spellStart"/>
            <w:r w:rsidRPr="000C31E5">
              <w:t>AFT_</w:t>
            </w:r>
            <w:r>
              <w:t>R</w:t>
            </w:r>
            <w:r w:rsidRPr="000C31E5">
              <w:t>ate</w:t>
            </w:r>
            <w:proofErr w:type="spellEnd"/>
            <w:r w:rsidRPr="000C31E5">
              <w:t xml:space="preserve"> </w:t>
            </w:r>
            <w:r>
              <w:t>x</w:t>
            </w:r>
            <w:r w:rsidRPr="000C31E5">
              <w:t xml:space="preserve"> </w:t>
            </w:r>
            <w:r>
              <w:t>T</w:t>
            </w:r>
            <w:r w:rsidRPr="000C31E5">
              <w:t>urnover</w:t>
            </w:r>
          </w:p>
        </w:tc>
      </w:tr>
      <w:tr w:rsidR="00085F1C" w14:paraId="3FF848E8" w14:textId="77777777" w:rsidTr="00085F1C">
        <w:tc>
          <w:tcPr>
            <w:tcW w:w="990" w:type="dxa"/>
            <w:vAlign w:val="center"/>
          </w:tcPr>
          <w:p w14:paraId="0619380B" w14:textId="77F65A41" w:rsidR="00085F1C" w:rsidRDefault="00085F1C" w:rsidP="00914875">
            <w:pPr>
              <w:spacing w:before="60" w:after="60"/>
              <w:ind w:left="0" w:firstLine="0"/>
            </w:pPr>
            <w:proofErr w:type="spellStart"/>
            <w:r>
              <w:rPr>
                <w:b/>
                <w:bCs/>
              </w:rPr>
              <w:t>Eqn</w:t>
            </w:r>
            <w:proofErr w:type="spellEnd"/>
            <w:r>
              <w:rPr>
                <w:b/>
                <w:bCs/>
              </w:rPr>
              <w:t xml:space="preserve"> 3.2:</w:t>
            </w:r>
          </w:p>
        </w:tc>
        <w:tc>
          <w:tcPr>
            <w:tcW w:w="7560" w:type="dxa"/>
            <w:vAlign w:val="center"/>
          </w:tcPr>
          <w:p w14:paraId="1087ACAE" w14:textId="2E6934A8" w:rsidR="00085F1C" w:rsidRDefault="00085F1C" w:rsidP="00914875">
            <w:pPr>
              <w:spacing w:before="60" w:after="60"/>
              <w:ind w:left="0" w:firstLine="0"/>
              <w:jc w:val="center"/>
            </w:pPr>
            <w:r>
              <w:t xml:space="preserve">CIT liabilities </w:t>
            </w:r>
            <w:r w:rsidRPr="000C31E5">
              <w:t xml:space="preserve">= </w:t>
            </w:r>
            <w:proofErr w:type="spellStart"/>
            <w:r w:rsidRPr="000C31E5">
              <w:t>CIT_</w:t>
            </w:r>
            <w:r>
              <w:t>R</w:t>
            </w:r>
            <w:r w:rsidRPr="000C31E5">
              <w:t>ate</w:t>
            </w:r>
            <w:proofErr w:type="spellEnd"/>
            <w:r w:rsidRPr="000C31E5">
              <w:t xml:space="preserve"> </w:t>
            </w:r>
            <w:r>
              <w:t>x</w:t>
            </w:r>
            <w:r w:rsidRPr="000C31E5">
              <w:t xml:space="preserve"> </w:t>
            </w:r>
            <w:proofErr w:type="spellStart"/>
            <w:r>
              <w:t>N</w:t>
            </w:r>
            <w:r w:rsidRPr="000C31E5">
              <w:t>et_</w:t>
            </w:r>
            <w:r>
              <w:t>P</w:t>
            </w:r>
            <w:r w:rsidRPr="000C31E5">
              <w:t>rofit_</w:t>
            </w:r>
            <w:r>
              <w:t>M</w:t>
            </w:r>
            <w:r w:rsidRPr="000C31E5">
              <w:t>argin</w:t>
            </w:r>
            <w:r>
              <w:t>_Rate</w:t>
            </w:r>
            <w:proofErr w:type="spellEnd"/>
            <w:r w:rsidRPr="000C31E5">
              <w:t xml:space="preserve"> </w:t>
            </w:r>
            <w:r>
              <w:t>x</w:t>
            </w:r>
            <w:r w:rsidRPr="000C31E5">
              <w:t xml:space="preserve"> </w:t>
            </w:r>
            <w:r>
              <w:t>T</w:t>
            </w:r>
            <w:r w:rsidRPr="000C31E5">
              <w:t>urnover</w:t>
            </w:r>
          </w:p>
        </w:tc>
      </w:tr>
    </w:tbl>
    <w:p w14:paraId="1FFF1CFD" w14:textId="65E238CA" w:rsidR="00130BE0" w:rsidRDefault="00130BE0" w:rsidP="00914875">
      <w:pPr>
        <w:spacing w:before="120"/>
        <w:ind w:left="0" w:firstLine="0"/>
        <w:jc w:val="both"/>
        <w:rPr>
          <w:b/>
          <w:bCs/>
        </w:rPr>
      </w:pPr>
      <w:r w:rsidRPr="00B26D1E">
        <w:t xml:space="preserve">where </w:t>
      </w:r>
      <w:proofErr w:type="spellStart"/>
      <w:r w:rsidRPr="00B26D1E">
        <w:t>AFT_rate</w:t>
      </w:r>
      <w:proofErr w:type="spellEnd"/>
      <w:r w:rsidRPr="00B26D1E">
        <w:t xml:space="preserve"> and </w:t>
      </w:r>
      <w:proofErr w:type="spellStart"/>
      <w:r w:rsidRPr="00B26D1E">
        <w:t>CIT_rate</w:t>
      </w:r>
      <w:proofErr w:type="spellEnd"/>
      <w:r w:rsidRPr="00B26D1E">
        <w:t xml:space="preserve"> are the applicable </w:t>
      </w:r>
      <w:r>
        <w:t xml:space="preserve">AFT and CIT </w:t>
      </w:r>
      <w:r w:rsidRPr="00B26D1E">
        <w:t>tax rates</w:t>
      </w:r>
      <w:r w:rsidR="007D2AC5">
        <w:t xml:space="preserve">. </w:t>
      </w:r>
      <w:r w:rsidRPr="00B26D1E">
        <w:t>Turnover is the gross annual turnover of a firm</w:t>
      </w:r>
      <w:r w:rsidR="004A4161">
        <w:t xml:space="preserve">. The </w:t>
      </w:r>
      <w:proofErr w:type="spellStart"/>
      <w:r w:rsidRPr="00B26D1E">
        <w:t>Net_Profit_Margin</w:t>
      </w:r>
      <w:r>
        <w:t>_Rate</w:t>
      </w:r>
      <w:proofErr w:type="spellEnd"/>
      <w:r w:rsidRPr="00B26D1E">
        <w:t xml:space="preserve"> </w:t>
      </w:r>
      <w:r w:rsidR="000F1DC0">
        <w:t xml:space="preserve">(NPMR) </w:t>
      </w:r>
      <w:r w:rsidRPr="00B26D1E">
        <w:t>is the pre-tax net profit margin rate of a firm</w:t>
      </w:r>
      <w:r w:rsidR="005B409C">
        <w:t>.</w:t>
      </w:r>
      <w:r w:rsidR="005B409C">
        <w:rPr>
          <w:rStyle w:val="FootnoteReference"/>
        </w:rPr>
        <w:footnoteReference w:id="65"/>
      </w:r>
      <w:r w:rsidR="005B409C">
        <w:t xml:space="preserve"> It </w:t>
      </w:r>
      <w:r w:rsidR="00FC4148" w:rsidRPr="00FC4148">
        <w:t xml:space="preserve">is defined </w:t>
      </w:r>
      <w:r w:rsidR="009A3775">
        <w:t xml:space="preserve">here </w:t>
      </w:r>
      <w:r w:rsidR="00FC4148" w:rsidRPr="00FC4148">
        <w:t xml:space="preserve">as the average share of each Rupiah of turnover that becomes </w:t>
      </w:r>
      <w:proofErr w:type="gramStart"/>
      <w:r w:rsidR="00FC4148" w:rsidRPr="00FC4148">
        <w:t>taxable income</w:t>
      </w:r>
      <w:proofErr w:type="gramEnd"/>
      <w:r w:rsidR="00FC4148" w:rsidRPr="00FC4148">
        <w:t xml:space="preserve"> after accounting for all eligible deductions</w:t>
      </w:r>
      <w:r w:rsidRPr="00B26D1E">
        <w:t>.</w:t>
      </w:r>
      <w:r>
        <w:t xml:space="preserve"> </w:t>
      </w:r>
      <w:r w:rsidRPr="00985F72">
        <w:t>Equation 3.1 represents a firm’s tax liability under the AFT regime</w:t>
      </w:r>
      <w:r>
        <w:t xml:space="preserve">, with an </w:t>
      </w:r>
      <w:proofErr w:type="spellStart"/>
      <w:r>
        <w:t>AFT_Rate</w:t>
      </w:r>
      <w:proofErr w:type="spellEnd"/>
      <w:r>
        <w:t xml:space="preserve"> of 0.5 percent</w:t>
      </w:r>
      <w:r w:rsidRPr="00985F72">
        <w:t xml:space="preserve">. Equation 3.2 represents a firm’s tax liability under the CIT regime. It is the CIT rate applied </w:t>
      </w:r>
      <w:r>
        <w:t xml:space="preserve">to net profits, where net profits are calculated as the product of </w:t>
      </w:r>
      <w:r w:rsidR="000F1DC0">
        <w:t>NPMR</w:t>
      </w:r>
      <w:r>
        <w:t xml:space="preserve"> and Turnover. </w:t>
      </w:r>
      <w:r w:rsidRPr="00E27072">
        <w:t xml:space="preserve">The applicable </w:t>
      </w:r>
      <w:proofErr w:type="spellStart"/>
      <w:r w:rsidRPr="00E27072">
        <w:t>CIT_Rate</w:t>
      </w:r>
      <w:proofErr w:type="spellEnd"/>
      <w:r w:rsidRPr="00E27072">
        <w:t xml:space="preserve"> </w:t>
      </w:r>
      <w:r w:rsidRPr="008A34F2">
        <w:t>is 11 percent</w:t>
      </w:r>
      <w:r>
        <w:t>, which is the reduced rate for MSMEs</w:t>
      </w:r>
      <w:r w:rsidRPr="008A34F2">
        <w:t>.</w:t>
      </w:r>
      <w:r w:rsidR="00516E9B">
        <w:rPr>
          <w:rStyle w:val="FootnoteReference"/>
        </w:rPr>
        <w:footnoteReference w:id="66"/>
      </w:r>
      <w:r w:rsidRPr="008A34F2">
        <w:t xml:space="preserve"> </w:t>
      </w:r>
    </w:p>
    <w:p w14:paraId="1907CF3C" w14:textId="6F5CEC50" w:rsidR="00130BE0" w:rsidRPr="0033489D" w:rsidRDefault="00130BE0" w:rsidP="00130BE0">
      <w:pPr>
        <w:pStyle w:val="ListParagraph"/>
        <w:numPr>
          <w:ilvl w:val="0"/>
          <w:numId w:val="12"/>
        </w:numPr>
        <w:spacing w:before="120"/>
        <w:ind w:left="0" w:firstLine="0"/>
        <w:contextualSpacing w:val="0"/>
        <w:jc w:val="both"/>
        <w:rPr>
          <w:rFonts w:cstheme="minorHAnsi"/>
        </w:rPr>
      </w:pPr>
      <w:r>
        <w:rPr>
          <w:rFonts w:cstheme="minorHAnsi"/>
          <w:b/>
        </w:rPr>
        <w:t xml:space="preserve">There is a unique </w:t>
      </w:r>
      <w:r w:rsidR="000F1DC0">
        <w:rPr>
          <w:rFonts w:cstheme="minorHAnsi"/>
          <w:b/>
        </w:rPr>
        <w:t>NPMR</w:t>
      </w:r>
      <w:r>
        <w:rPr>
          <w:rFonts w:cstheme="minorHAnsi"/>
          <w:b/>
        </w:rPr>
        <w:t xml:space="preserve"> beyond which the AFT becomes preferable to the CIT. </w:t>
      </w:r>
      <w:r w:rsidRPr="00F07153">
        <w:rPr>
          <w:rFonts w:cstheme="minorHAnsi"/>
          <w:bCs/>
        </w:rPr>
        <w:t>Setting AFT liabilities equal to CIT liabilities</w:t>
      </w:r>
      <w:r w:rsidRPr="00F07153">
        <w:rPr>
          <w:bCs/>
        </w:rPr>
        <w:t xml:space="preserve">, </w:t>
      </w:r>
      <w:r w:rsidRPr="00F07153">
        <w:rPr>
          <w:rFonts w:cstheme="minorHAnsi"/>
          <w:bCs/>
        </w:rPr>
        <w:t xml:space="preserve">Equations 3.1 and 3.2 can be combined and rearranged to solve for the tax-liability-equalizing </w:t>
      </w:r>
      <w:r w:rsidRPr="00713BF1">
        <w:rPr>
          <w:rFonts w:cstheme="minorHAnsi"/>
          <w:bCs/>
        </w:rPr>
        <w:t>NPMR</w:t>
      </w:r>
      <w:r w:rsidRPr="00F07153">
        <w:rPr>
          <w:rFonts w:cstheme="minorHAnsi"/>
          <w:bCs/>
          <w:i/>
          <w:iCs/>
        </w:rPr>
        <w:t>*</w:t>
      </w:r>
      <w:r w:rsidRPr="00F07153">
        <w:rPr>
          <w:rFonts w:cstheme="minorHAnsi"/>
          <w:bCs/>
        </w:rPr>
        <w:t>.</w:t>
      </w:r>
      <w:r>
        <w:rPr>
          <w:rFonts w:cstheme="minorHAnsi"/>
          <w:b/>
        </w:rPr>
        <w:t xml:space="preserve"> </w:t>
      </w:r>
      <w:r>
        <w:rPr>
          <w:rFonts w:cstheme="minorHAnsi"/>
          <w:bCs/>
        </w:rPr>
        <w:t>Given the applicable AFT and CIT rates, the NPMR* is equal to 4.55 percent.</w:t>
      </w:r>
      <w:r w:rsidRPr="000C2F26">
        <w:rPr>
          <w:rStyle w:val="FootnoteReference"/>
        </w:rPr>
        <w:footnoteReference w:id="67"/>
      </w:r>
      <w:r>
        <w:rPr>
          <w:rFonts w:cstheme="minorHAnsi"/>
          <w:bCs/>
        </w:rPr>
        <w:t xml:space="preserve"> That is, for firms with a net profit margin of 4.55 percent, both the AFT and the CIT generate </w:t>
      </w:r>
      <w:r>
        <w:rPr>
          <w:rFonts w:cstheme="minorHAnsi"/>
          <w:bCs/>
        </w:rPr>
        <w:lastRenderedPageBreak/>
        <w:t xml:space="preserve">equal tax obligations for each rupiah of revenue. For firms with lower NPMRs than this, the CIT is preferrable, whereas for those with higher NPMRs, the AFT is preferrable. Intuitively, for firms with very low net profit margins, an additional rupiah of revenue translates into relatively little additional profit. Hence the CIT (a tax on profits) correspondingly generates little additional tax </w:t>
      </w:r>
      <w:proofErr w:type="gramStart"/>
      <w:r>
        <w:rPr>
          <w:rFonts w:cstheme="minorHAnsi"/>
          <w:bCs/>
        </w:rPr>
        <w:t>obligations, and</w:t>
      </w:r>
      <w:proofErr w:type="gramEnd"/>
      <w:r>
        <w:rPr>
          <w:rFonts w:cstheme="minorHAnsi"/>
          <w:bCs/>
        </w:rPr>
        <w:t xml:space="preserve"> so becomes preferred over the AFT. </w:t>
      </w:r>
      <w:proofErr w:type="gramStart"/>
      <w:r>
        <w:rPr>
          <w:rFonts w:cstheme="minorHAnsi"/>
          <w:bCs/>
        </w:rPr>
        <w:t>At</w:t>
      </w:r>
      <w:proofErr w:type="gramEnd"/>
      <w:r>
        <w:rPr>
          <w:rFonts w:cstheme="minorHAnsi"/>
          <w:bCs/>
        </w:rPr>
        <w:t xml:space="preserve"> higher net profit margins, </w:t>
      </w:r>
      <w:proofErr w:type="gramStart"/>
      <w:r>
        <w:rPr>
          <w:rFonts w:cstheme="minorHAnsi"/>
          <w:bCs/>
        </w:rPr>
        <w:t>the CIT</w:t>
      </w:r>
      <w:proofErr w:type="gramEnd"/>
      <w:r>
        <w:rPr>
          <w:rFonts w:cstheme="minorHAnsi"/>
          <w:bCs/>
        </w:rPr>
        <w:t xml:space="preserve"> becomes less attractive. </w:t>
      </w:r>
    </w:p>
    <w:p w14:paraId="5BA5E28C" w14:textId="51F8415B" w:rsidR="00130BE0" w:rsidRPr="00753D9A" w:rsidRDefault="00130BE0" w:rsidP="00130BE0">
      <w:pPr>
        <w:pStyle w:val="ListParagraph"/>
        <w:numPr>
          <w:ilvl w:val="0"/>
          <w:numId w:val="12"/>
        </w:numPr>
        <w:spacing w:before="120"/>
        <w:ind w:left="0" w:firstLine="0"/>
        <w:contextualSpacing w:val="0"/>
        <w:jc w:val="both"/>
        <w:rPr>
          <w:b/>
          <w:bCs/>
        </w:rPr>
      </w:pPr>
      <w:r>
        <w:rPr>
          <w:rFonts w:cstheme="minorHAnsi"/>
          <w:b/>
        </w:rPr>
        <w:t>Consequently, t</w:t>
      </w:r>
      <w:r w:rsidRPr="00753D9A">
        <w:rPr>
          <w:rFonts w:cstheme="minorHAnsi"/>
          <w:b/>
        </w:rPr>
        <w:t xml:space="preserve">he AFT inherently favors some sectors over others. </w:t>
      </w:r>
      <w:r w:rsidRPr="00753D9A">
        <w:rPr>
          <w:rFonts w:cstheme="minorHAnsi"/>
          <w:bCs/>
        </w:rPr>
        <w:t xml:space="preserve">Different industry sectors </w:t>
      </w:r>
      <w:r w:rsidR="00806A51">
        <w:rPr>
          <w:rFonts w:cstheme="minorHAnsi"/>
          <w:bCs/>
        </w:rPr>
        <w:t>t</w:t>
      </w:r>
      <w:r w:rsidRPr="00753D9A">
        <w:rPr>
          <w:rFonts w:cstheme="minorHAnsi"/>
          <w:bCs/>
        </w:rPr>
        <w:t xml:space="preserve">end to have systematically different profit margins. This can be influenced by the level of competition, the cost structures for the </w:t>
      </w:r>
      <w:proofErr w:type="gramStart"/>
      <w:r w:rsidRPr="00753D9A">
        <w:rPr>
          <w:rFonts w:cstheme="minorHAnsi"/>
          <w:bCs/>
        </w:rPr>
        <w:t>good</w:t>
      </w:r>
      <w:proofErr w:type="gramEnd"/>
      <w:r w:rsidRPr="00753D9A">
        <w:rPr>
          <w:rFonts w:cstheme="minorHAnsi"/>
          <w:bCs/>
        </w:rPr>
        <w:t xml:space="preserve"> or </w:t>
      </w:r>
      <w:proofErr w:type="gramStart"/>
      <w:r w:rsidRPr="00753D9A">
        <w:rPr>
          <w:rFonts w:cstheme="minorHAnsi"/>
          <w:bCs/>
        </w:rPr>
        <w:t>service</w:t>
      </w:r>
      <w:proofErr w:type="gramEnd"/>
      <w:r w:rsidRPr="00753D9A">
        <w:rPr>
          <w:rFonts w:cstheme="minorHAnsi"/>
          <w:bCs/>
        </w:rPr>
        <w:t xml:space="preserve"> being sold, or the business models being employed. For example, the airline industry is renowned for its low margins. Likewise, many types of retail services firms tend </w:t>
      </w:r>
      <w:r w:rsidR="00D61334">
        <w:rPr>
          <w:rFonts w:cstheme="minorHAnsi"/>
          <w:bCs/>
        </w:rPr>
        <w:t xml:space="preserve">to </w:t>
      </w:r>
      <w:r w:rsidRPr="00753D9A">
        <w:rPr>
          <w:rFonts w:cstheme="minorHAnsi"/>
          <w:bCs/>
        </w:rPr>
        <w:t>have business model</w:t>
      </w:r>
      <w:r w:rsidR="00D61334">
        <w:rPr>
          <w:rFonts w:cstheme="minorHAnsi"/>
          <w:bCs/>
        </w:rPr>
        <w:t>s</w:t>
      </w:r>
      <w:r w:rsidRPr="00753D9A">
        <w:rPr>
          <w:rFonts w:cstheme="minorHAnsi"/>
          <w:bCs/>
        </w:rPr>
        <w:t xml:space="preserve"> </w:t>
      </w:r>
      <w:r w:rsidR="00D61334">
        <w:rPr>
          <w:rFonts w:cstheme="minorHAnsi"/>
          <w:bCs/>
        </w:rPr>
        <w:t xml:space="preserve">characterized by </w:t>
      </w:r>
      <w:r w:rsidRPr="00753D9A">
        <w:rPr>
          <w:rFonts w:cstheme="minorHAnsi"/>
          <w:bCs/>
        </w:rPr>
        <w:t>low margins and high volume. Firms in sectors with systematically lower profit margins will be more likely to have an NPMR lower than 4.55 percent and, if so, would not stand to financially benefit from being part of the AFT regime.</w:t>
      </w:r>
      <w:r w:rsidRPr="00753D9A">
        <w:rPr>
          <w:rFonts w:cstheme="minorHAnsi"/>
          <w:b/>
        </w:rPr>
        <w:t xml:space="preserve"> </w:t>
      </w:r>
    </w:p>
    <w:tbl>
      <w:tblPr>
        <w:tblStyle w:val="TableGrid3"/>
        <w:tblW w:w="90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246"/>
      </w:tblGrid>
      <w:tr w:rsidR="00130BE0" w:rsidRPr="00236DF4" w14:paraId="75F7AEF5" w14:textId="77777777" w:rsidTr="004B5C60">
        <w:trPr>
          <w:trHeight w:val="432"/>
        </w:trPr>
        <w:tc>
          <w:tcPr>
            <w:tcW w:w="4844" w:type="dxa"/>
            <w:vMerge w:val="restart"/>
          </w:tcPr>
          <w:p w14:paraId="05F10614" w14:textId="4FA70AF1" w:rsidR="00130BE0" w:rsidRPr="00236DF4" w:rsidRDefault="00130BE0">
            <w:pPr>
              <w:pStyle w:val="ListParagraph"/>
              <w:numPr>
                <w:ilvl w:val="0"/>
                <w:numId w:val="12"/>
              </w:numPr>
              <w:spacing w:after="120"/>
              <w:ind w:left="0" w:firstLine="0"/>
              <w:contextualSpacing w:val="0"/>
              <w:jc w:val="both"/>
              <w:rPr>
                <w:rFonts w:asciiTheme="minorHAnsi" w:hAnsiTheme="minorHAnsi" w:cstheme="minorHAnsi"/>
                <w:bCs/>
                <w:sz w:val="22"/>
                <w:szCs w:val="22"/>
              </w:rPr>
            </w:pPr>
            <w:r w:rsidRPr="00236DF4">
              <w:rPr>
                <w:rFonts w:asciiTheme="minorHAnsi" w:hAnsiTheme="minorHAnsi" w:cstheme="minorHAnsi"/>
                <w:b/>
                <w:bCs/>
                <w:sz w:val="22"/>
                <w:szCs w:val="22"/>
              </w:rPr>
              <w:t xml:space="preserve">Firm-level data from emerging market </w:t>
            </w:r>
            <w:r w:rsidR="009100B1">
              <w:rPr>
                <w:rFonts w:asciiTheme="minorHAnsi" w:hAnsiTheme="minorHAnsi" w:cstheme="minorHAnsi"/>
                <w:b/>
                <w:bCs/>
                <w:sz w:val="22"/>
                <w:szCs w:val="22"/>
              </w:rPr>
              <w:t xml:space="preserve">(EM) </w:t>
            </w:r>
            <w:r w:rsidRPr="00236DF4">
              <w:rPr>
                <w:rFonts w:asciiTheme="minorHAnsi" w:hAnsiTheme="minorHAnsi" w:cstheme="minorHAnsi"/>
                <w:b/>
                <w:bCs/>
                <w:sz w:val="22"/>
                <w:szCs w:val="22"/>
              </w:rPr>
              <w:t>economies suggest that most firms can benefit from the AFT.</w:t>
            </w:r>
            <w:r w:rsidRPr="00236DF4">
              <w:rPr>
                <w:rFonts w:asciiTheme="minorHAnsi" w:hAnsiTheme="minorHAnsi" w:cstheme="minorHAnsi"/>
                <w:sz w:val="22"/>
                <w:szCs w:val="22"/>
              </w:rPr>
              <w:t xml:space="preserve"> Figure 3.1 plots a histogram of average net profit margins in 94 sectors, based on data from 24,853 firms in </w:t>
            </w:r>
            <w:r w:rsidRPr="00587E53">
              <w:rPr>
                <w:rFonts w:asciiTheme="minorHAnsi" w:hAnsiTheme="minorHAnsi" w:cstheme="minorHAnsi"/>
                <w:sz w:val="22"/>
                <w:szCs w:val="22"/>
              </w:rPr>
              <w:t>EM</w:t>
            </w:r>
            <w:r w:rsidR="009100B1">
              <w:rPr>
                <w:rFonts w:asciiTheme="minorHAnsi" w:hAnsiTheme="minorHAnsi" w:cstheme="minorHAnsi"/>
                <w:sz w:val="22"/>
                <w:szCs w:val="22"/>
              </w:rPr>
              <w:t>s</w:t>
            </w:r>
            <w:r w:rsidRPr="00587E53">
              <w:rPr>
                <w:rFonts w:asciiTheme="minorHAnsi" w:hAnsiTheme="minorHAnsi" w:cstheme="minorHAnsi"/>
                <w:sz w:val="22"/>
                <w:szCs w:val="22"/>
              </w:rPr>
              <w:t>.</w:t>
            </w:r>
            <w:r w:rsidRPr="00587E53">
              <w:rPr>
                <w:rFonts w:asciiTheme="minorHAnsi" w:hAnsiTheme="minorHAnsi" w:cstheme="minorHAnsi"/>
                <w:sz w:val="22"/>
                <w:szCs w:val="22"/>
                <w:vertAlign w:val="superscript"/>
              </w:rPr>
              <w:footnoteReference w:id="68"/>
            </w:r>
            <w:r w:rsidR="00394524" w:rsidRPr="00713BF1">
              <w:rPr>
                <w:rFonts w:cstheme="minorHAnsi"/>
                <w:vertAlign w:val="superscript"/>
              </w:rPr>
              <w:t>,</w:t>
            </w:r>
            <w:r w:rsidR="00394524" w:rsidRPr="00587E53">
              <w:rPr>
                <w:rFonts w:asciiTheme="minorHAnsi" w:hAnsiTheme="minorHAnsi" w:cstheme="minorHAnsi"/>
                <w:sz w:val="22"/>
                <w:szCs w:val="22"/>
                <w:vertAlign w:val="superscript"/>
              </w:rPr>
              <w:footnoteReference w:id="69"/>
            </w:r>
            <w:r w:rsidRPr="00587E53">
              <w:rPr>
                <w:rFonts w:asciiTheme="minorHAnsi" w:hAnsiTheme="minorHAnsi" w:cstheme="minorHAnsi"/>
                <w:sz w:val="22"/>
                <w:szCs w:val="22"/>
              </w:rPr>
              <w:t xml:space="preserve"> There is significant cro</w:t>
            </w:r>
            <w:r w:rsidRPr="00236DF4">
              <w:rPr>
                <w:rFonts w:asciiTheme="minorHAnsi" w:hAnsiTheme="minorHAnsi" w:cstheme="minorHAnsi"/>
                <w:sz w:val="22"/>
                <w:szCs w:val="22"/>
              </w:rPr>
              <w:t>ss-sector variability in average net profit margins. However, the median sector NPMR is 7.89 percent, and most sectors (75 out of 94) have average NPMRs higher than 4.55 percent. Figure 3.1 superimposes the NPMR* of 4.55 percent on the EM data to illustrate this point. To the extent that sectoral performance in Indonesia mirrors that in broader EMs,</w:t>
            </w:r>
            <w:r w:rsidRPr="00236DF4">
              <w:rPr>
                <w:rStyle w:val="FootnoteReference"/>
                <w:rFonts w:asciiTheme="minorHAnsi" w:hAnsiTheme="minorHAnsi" w:cstheme="minorHAnsi"/>
                <w:sz w:val="22"/>
                <w:szCs w:val="22"/>
              </w:rPr>
              <w:footnoteReference w:id="70"/>
            </w:r>
            <w:r w:rsidRPr="00236DF4">
              <w:rPr>
                <w:rFonts w:asciiTheme="minorHAnsi" w:hAnsiTheme="minorHAnsi" w:cstheme="minorHAnsi"/>
                <w:sz w:val="22"/>
                <w:szCs w:val="22"/>
              </w:rPr>
              <w:t xml:space="preserve"> the data strongly suggests that most firms will prefer to opt into the AFT.</w:t>
            </w:r>
          </w:p>
          <w:p w14:paraId="0A82F25A" w14:textId="66696CFC" w:rsidR="00130BE0" w:rsidRPr="00236DF4" w:rsidRDefault="00130BE0">
            <w:pPr>
              <w:pStyle w:val="ListParagraph"/>
              <w:numPr>
                <w:ilvl w:val="0"/>
                <w:numId w:val="12"/>
              </w:numPr>
              <w:spacing w:before="120"/>
              <w:ind w:left="0" w:firstLine="0"/>
              <w:contextualSpacing w:val="0"/>
              <w:jc w:val="both"/>
              <w:rPr>
                <w:rFonts w:cstheme="minorHAnsi"/>
                <w:sz w:val="22"/>
                <w:szCs w:val="22"/>
              </w:rPr>
            </w:pPr>
            <w:r w:rsidRPr="00236DF4">
              <w:rPr>
                <w:rFonts w:asciiTheme="minorHAnsi" w:hAnsiTheme="minorHAnsi" w:cstheme="minorHAnsi"/>
                <w:b/>
                <w:bCs/>
                <w:sz w:val="22"/>
                <w:szCs w:val="22"/>
              </w:rPr>
              <w:t xml:space="preserve">The relative advantage of the AFT regime may be eroded significantly by even modest increases in the AFT rate. </w:t>
            </w:r>
            <w:r w:rsidRPr="00236DF4">
              <w:rPr>
                <w:rFonts w:asciiTheme="minorHAnsi" w:hAnsiTheme="minorHAnsi" w:cstheme="minorHAnsi"/>
                <w:sz w:val="22"/>
                <w:szCs w:val="22"/>
              </w:rPr>
              <w:t>Raising the AFT rate back to 1 percent</w:t>
            </w:r>
            <w:r w:rsidR="00775421">
              <w:rPr>
                <w:rFonts w:asciiTheme="minorHAnsi" w:hAnsiTheme="minorHAnsi" w:cstheme="minorHAnsi"/>
                <w:sz w:val="22"/>
                <w:szCs w:val="22"/>
              </w:rPr>
              <w:t>–</w:t>
            </w:r>
            <w:r w:rsidRPr="00236DF4">
              <w:rPr>
                <w:rFonts w:asciiTheme="minorHAnsi" w:hAnsiTheme="minorHAnsi" w:cstheme="minorHAnsi"/>
                <w:sz w:val="22"/>
                <w:szCs w:val="22"/>
              </w:rPr>
              <w:t>its original level from 2013 to 2017</w:t>
            </w:r>
            <w:r w:rsidR="00775421">
              <w:rPr>
                <w:rFonts w:asciiTheme="minorHAnsi" w:hAnsiTheme="minorHAnsi" w:cstheme="minorHAnsi"/>
                <w:sz w:val="22"/>
                <w:szCs w:val="22"/>
              </w:rPr>
              <w:t>–</w:t>
            </w:r>
            <w:r w:rsidR="009100B1">
              <w:rPr>
                <w:rFonts w:asciiTheme="minorHAnsi" w:hAnsiTheme="minorHAnsi" w:cstheme="minorHAnsi"/>
                <w:sz w:val="22"/>
                <w:szCs w:val="22"/>
              </w:rPr>
              <w:t>would</w:t>
            </w:r>
            <w:r w:rsidRPr="00236DF4">
              <w:rPr>
                <w:rFonts w:ascii="Calibri" w:hAnsi="Calibri" w:cstheme="minorHAnsi"/>
                <w:sz w:val="22"/>
                <w:szCs w:val="22"/>
              </w:rPr>
              <w:t xml:space="preserve"> </w:t>
            </w:r>
          </w:p>
        </w:tc>
        <w:tc>
          <w:tcPr>
            <w:tcW w:w="4246" w:type="dxa"/>
          </w:tcPr>
          <w:p w14:paraId="5C982C4D" w14:textId="2E6A605B" w:rsidR="00130BE0" w:rsidRPr="004D451B" w:rsidRDefault="00130BE0" w:rsidP="00267BE6">
            <w:pPr>
              <w:pStyle w:val="Caption"/>
              <w:rPr>
                <w:rFonts w:asciiTheme="minorHAnsi" w:hAnsiTheme="minorHAnsi" w:cstheme="minorHAnsi"/>
              </w:rPr>
            </w:pPr>
            <w:bookmarkStart w:id="31" w:name="_Toc177593059"/>
            <w:r w:rsidRPr="004D451B">
              <w:rPr>
                <w:rFonts w:asciiTheme="minorHAnsi" w:hAnsiTheme="minorHAnsi" w:cstheme="minorHAnsi"/>
              </w:rPr>
              <w:t>Figure 3.1: Distribution of average net profit margins across 94 sectors in EMs</w:t>
            </w:r>
            <w:bookmarkEnd w:id="31"/>
          </w:p>
          <w:p w14:paraId="54E87C5C" w14:textId="77777777" w:rsidR="00130BE0" w:rsidRPr="00236DF4" w:rsidRDefault="00130BE0">
            <w:pPr>
              <w:ind w:hanging="5"/>
              <w:jc w:val="both"/>
              <w:rPr>
                <w:rFonts w:asciiTheme="minorHAnsi" w:hAnsiTheme="minorHAnsi" w:cstheme="minorHAnsi"/>
                <w:i/>
                <w:iCs/>
              </w:rPr>
            </w:pPr>
            <w:r w:rsidRPr="004D451B">
              <w:rPr>
                <w:rFonts w:asciiTheme="minorHAnsi" w:hAnsiTheme="minorHAnsi" w:cstheme="minorHAnsi"/>
                <w:i/>
                <w:sz w:val="18"/>
                <w:szCs w:val="18"/>
              </w:rPr>
              <w:t>(count)</w:t>
            </w:r>
          </w:p>
        </w:tc>
      </w:tr>
      <w:tr w:rsidR="00130BE0" w:rsidRPr="00236DF4" w14:paraId="2FFD7ED7" w14:textId="77777777" w:rsidTr="004B5C60">
        <w:trPr>
          <w:trHeight w:val="3204"/>
        </w:trPr>
        <w:tc>
          <w:tcPr>
            <w:tcW w:w="4844" w:type="dxa"/>
            <w:vMerge/>
          </w:tcPr>
          <w:p w14:paraId="39FFEF88" w14:textId="77777777" w:rsidR="00130BE0" w:rsidRPr="00236DF4" w:rsidRDefault="00130BE0">
            <w:pPr>
              <w:keepNext/>
              <w:ind w:right="144"/>
              <w:rPr>
                <w:rFonts w:cstheme="minorHAnsi"/>
                <w:b/>
                <w:color w:val="FF0000"/>
                <w:sz w:val="16"/>
                <w:szCs w:val="16"/>
              </w:rPr>
            </w:pPr>
          </w:p>
        </w:tc>
        <w:tc>
          <w:tcPr>
            <w:tcW w:w="4246" w:type="dxa"/>
          </w:tcPr>
          <w:p w14:paraId="2A94F811" w14:textId="77777777" w:rsidR="00130BE0" w:rsidRPr="004D451B" w:rsidRDefault="00130BE0">
            <w:pPr>
              <w:jc w:val="both"/>
              <w:rPr>
                <w:rFonts w:asciiTheme="minorHAnsi" w:hAnsiTheme="minorHAnsi" w:cstheme="minorHAnsi"/>
              </w:rPr>
            </w:pPr>
            <w:r w:rsidRPr="004D451B">
              <w:rPr>
                <w:rFonts w:cstheme="minorHAnsi"/>
                <w:noProof/>
              </w:rPr>
              <w:drawing>
                <wp:inline distT="0" distB="0" distL="0" distR="0" wp14:anchorId="2F0C1DC6" wp14:editId="6F25A634">
                  <wp:extent cx="2656332" cy="2540635"/>
                  <wp:effectExtent l="0" t="0" r="0" b="0"/>
                  <wp:docPr id="31" name="Chart 31">
                    <a:extLst xmlns:a="http://schemas.openxmlformats.org/drawingml/2006/main">
                      <a:ext uri="{FF2B5EF4-FFF2-40B4-BE49-F238E27FC236}">
                        <a16:creationId xmlns:a16="http://schemas.microsoft.com/office/drawing/2014/main" id="{10590F0E-5923-C92C-F375-CBCBF8779C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r w:rsidR="00130BE0" w:rsidRPr="00236DF4" w14:paraId="022743EA" w14:textId="77777777" w:rsidTr="004B5C60">
        <w:tc>
          <w:tcPr>
            <w:tcW w:w="4844" w:type="dxa"/>
            <w:vMerge/>
          </w:tcPr>
          <w:p w14:paraId="2AF7CFB4" w14:textId="77777777" w:rsidR="00130BE0" w:rsidRPr="00236DF4" w:rsidRDefault="00130BE0">
            <w:pPr>
              <w:keepNext/>
              <w:ind w:right="144"/>
              <w:rPr>
                <w:rFonts w:cstheme="minorHAnsi"/>
                <w:b/>
                <w:color w:val="808080" w:themeColor="background1" w:themeShade="80"/>
                <w:sz w:val="16"/>
                <w:szCs w:val="16"/>
              </w:rPr>
            </w:pPr>
          </w:p>
        </w:tc>
        <w:tc>
          <w:tcPr>
            <w:tcW w:w="4246" w:type="dxa"/>
          </w:tcPr>
          <w:p w14:paraId="7FE7FECF" w14:textId="07A6441D" w:rsidR="00130BE0" w:rsidRPr="00236DF4" w:rsidRDefault="00130BE0" w:rsidP="00E31ED9">
            <w:pPr>
              <w:keepNext/>
              <w:jc w:val="both"/>
              <w:rPr>
                <w:rFonts w:asciiTheme="minorHAnsi" w:hAnsiTheme="minorHAnsi" w:cstheme="minorHAnsi"/>
                <w:sz w:val="18"/>
                <w:szCs w:val="18"/>
              </w:rPr>
            </w:pPr>
            <w:r w:rsidRPr="00E31ED9">
              <w:rPr>
                <w:rFonts w:cstheme="minorHAnsi"/>
                <w:i/>
                <w:iCs/>
                <w:sz w:val="18"/>
                <w:szCs w:val="18"/>
              </w:rPr>
              <w:t>Source</w:t>
            </w:r>
            <w:r w:rsidRPr="009100B1">
              <w:rPr>
                <w:rFonts w:asciiTheme="minorHAnsi" w:hAnsiTheme="minorHAnsi" w:cstheme="minorHAnsi"/>
                <w:sz w:val="18"/>
                <w:szCs w:val="18"/>
              </w:rPr>
              <w:t>:</w:t>
            </w:r>
            <w:r w:rsidRPr="004D451B">
              <w:rPr>
                <w:rFonts w:asciiTheme="minorHAnsi" w:hAnsiTheme="minorHAnsi" w:cstheme="minorHAnsi"/>
                <w:sz w:val="18"/>
                <w:szCs w:val="18"/>
              </w:rPr>
              <w:t xml:space="preserve"> Damodaran (2023) and World Bank staff calculations</w:t>
            </w:r>
            <w:r w:rsidR="003F210D">
              <w:rPr>
                <w:rFonts w:asciiTheme="minorHAnsi" w:hAnsiTheme="minorHAnsi" w:cstheme="minorHAnsi"/>
                <w:sz w:val="18"/>
                <w:szCs w:val="18"/>
              </w:rPr>
              <w:t>.</w:t>
            </w:r>
          </w:p>
        </w:tc>
      </w:tr>
    </w:tbl>
    <w:p w14:paraId="37650D19" w14:textId="36671153" w:rsidR="00130BE0" w:rsidRPr="00A51A25" w:rsidRDefault="00E17514" w:rsidP="00130BE0">
      <w:pPr>
        <w:pStyle w:val="ListParagraph"/>
        <w:ind w:left="0" w:firstLine="0"/>
        <w:contextualSpacing w:val="0"/>
        <w:jc w:val="both"/>
        <w:rPr>
          <w:rFonts w:cstheme="minorHAnsi"/>
        </w:rPr>
      </w:pPr>
      <w:r w:rsidRPr="00236DF4">
        <w:rPr>
          <w:rFonts w:ascii="Calibri" w:hAnsi="Calibri" w:cstheme="minorHAnsi"/>
        </w:rPr>
        <w:t xml:space="preserve">double the tax burden for </w:t>
      </w:r>
      <w:proofErr w:type="gramStart"/>
      <w:r w:rsidRPr="00236DF4">
        <w:rPr>
          <w:rFonts w:ascii="Calibri" w:hAnsi="Calibri" w:cstheme="minorHAnsi"/>
        </w:rPr>
        <w:t>participating</w:t>
      </w:r>
      <w:proofErr w:type="gramEnd"/>
      <w:r w:rsidRPr="00236DF4">
        <w:rPr>
          <w:rFonts w:ascii="Calibri" w:hAnsi="Calibri" w:cstheme="minorHAnsi"/>
        </w:rPr>
        <w:t xml:space="preserve"> </w:t>
      </w:r>
      <w:r w:rsidR="00130BE0" w:rsidRPr="00236DF4">
        <w:rPr>
          <w:rFonts w:ascii="Calibri" w:hAnsi="Calibri" w:cstheme="minorHAnsi"/>
        </w:rPr>
        <w:t>MSMEs.</w:t>
      </w:r>
      <w:r w:rsidR="00130BE0" w:rsidRPr="00236DF4">
        <w:rPr>
          <w:rStyle w:val="FootnoteReference"/>
          <w:rFonts w:ascii="Calibri" w:hAnsi="Calibri" w:cstheme="minorHAnsi"/>
        </w:rPr>
        <w:footnoteReference w:id="71"/>
      </w:r>
      <w:r w:rsidR="00130BE0">
        <w:rPr>
          <w:rFonts w:ascii="Calibri" w:hAnsi="Calibri" w:cstheme="minorHAnsi"/>
        </w:rPr>
        <w:t xml:space="preserve"> </w:t>
      </w:r>
      <w:r w:rsidR="00130BE0">
        <w:rPr>
          <w:rFonts w:cstheme="minorHAnsi"/>
        </w:rPr>
        <w:t>In turn, this would double the tax-liability-equalizing NPMR* to 9.1 percent. In this scenario, f</w:t>
      </w:r>
      <w:r w:rsidR="00130BE0" w:rsidRPr="00A65E33">
        <w:rPr>
          <w:rFonts w:cstheme="minorHAnsi"/>
        </w:rPr>
        <w:t xml:space="preserve">ewer than </w:t>
      </w:r>
      <w:r w:rsidR="009100B1">
        <w:rPr>
          <w:rFonts w:cstheme="minorHAnsi"/>
        </w:rPr>
        <w:t>one-</w:t>
      </w:r>
      <w:r w:rsidR="00130BE0" w:rsidRPr="00A65E33">
        <w:rPr>
          <w:rFonts w:cstheme="minorHAnsi"/>
        </w:rPr>
        <w:t xml:space="preserve">half of </w:t>
      </w:r>
      <w:r w:rsidR="00775421">
        <w:rPr>
          <w:rFonts w:cstheme="minorHAnsi"/>
        </w:rPr>
        <w:t xml:space="preserve">the 94 </w:t>
      </w:r>
      <w:r w:rsidR="00130BE0" w:rsidRPr="00A65E33">
        <w:rPr>
          <w:rFonts w:cstheme="minorHAnsi"/>
        </w:rPr>
        <w:t>sectors (</w:t>
      </w:r>
      <w:r w:rsidR="00130BE0">
        <w:rPr>
          <w:rFonts w:cstheme="minorHAnsi"/>
        </w:rPr>
        <w:t>39</w:t>
      </w:r>
      <w:r w:rsidR="00130BE0" w:rsidRPr="00A65E33">
        <w:rPr>
          <w:rFonts w:cstheme="minorHAnsi"/>
        </w:rPr>
        <w:t>) have average net profit margins high enough to make the AFT strictly preferred over the CIT. While many Indonesian MSMEs w</w:t>
      </w:r>
      <w:r w:rsidR="00130BE0">
        <w:rPr>
          <w:rFonts w:cstheme="minorHAnsi"/>
        </w:rPr>
        <w:t>ould</w:t>
      </w:r>
      <w:r w:rsidR="00130BE0" w:rsidRPr="00A65E33">
        <w:rPr>
          <w:rFonts w:cstheme="minorHAnsi"/>
        </w:rPr>
        <w:t xml:space="preserve"> still benefit from opting into the AFT, the regime would become even less of a clear-cut </w:t>
      </w:r>
      <w:r w:rsidR="00130BE0">
        <w:rPr>
          <w:rFonts w:cstheme="minorHAnsi"/>
        </w:rPr>
        <w:t xml:space="preserve">preferred </w:t>
      </w:r>
      <w:r w:rsidR="00130BE0" w:rsidRPr="00A65E33">
        <w:rPr>
          <w:rFonts w:cstheme="minorHAnsi"/>
        </w:rPr>
        <w:t xml:space="preserve">choice for new MSMEs. Given </w:t>
      </w:r>
      <w:r w:rsidR="00130BE0">
        <w:rPr>
          <w:rFonts w:cstheme="minorHAnsi"/>
        </w:rPr>
        <w:t xml:space="preserve">that AFT eligibility is </w:t>
      </w:r>
      <w:r w:rsidR="00130BE0" w:rsidRPr="00A65E33">
        <w:rPr>
          <w:rFonts w:cstheme="minorHAnsi"/>
        </w:rPr>
        <w:t>time-bound</w:t>
      </w:r>
      <w:r w:rsidR="00130BE0">
        <w:rPr>
          <w:rFonts w:cstheme="minorHAnsi"/>
        </w:rPr>
        <w:t xml:space="preserve"> anyway</w:t>
      </w:r>
      <w:r w:rsidR="00130BE0" w:rsidRPr="00A65E33">
        <w:rPr>
          <w:rFonts w:cstheme="minorHAnsi"/>
        </w:rPr>
        <w:t xml:space="preserve">, it is reasonable to provide more consistently favorable tax treatment to </w:t>
      </w:r>
      <w:r w:rsidR="00130BE0">
        <w:rPr>
          <w:rFonts w:cstheme="minorHAnsi"/>
        </w:rPr>
        <w:t xml:space="preserve">as many </w:t>
      </w:r>
      <w:r w:rsidR="00130BE0" w:rsidRPr="00A65E33">
        <w:rPr>
          <w:rFonts w:cstheme="minorHAnsi"/>
        </w:rPr>
        <w:t>AFT-eligible firms</w:t>
      </w:r>
      <w:r w:rsidR="00130BE0">
        <w:rPr>
          <w:rFonts w:cstheme="minorHAnsi"/>
        </w:rPr>
        <w:t xml:space="preserve"> as possible</w:t>
      </w:r>
      <w:r w:rsidR="00130BE0" w:rsidRPr="00A65E33">
        <w:rPr>
          <w:rFonts w:cstheme="minorHAnsi"/>
        </w:rPr>
        <w:t xml:space="preserve">. </w:t>
      </w:r>
      <w:r w:rsidR="00E05C7D">
        <w:rPr>
          <w:rFonts w:cstheme="minorHAnsi"/>
        </w:rPr>
        <w:t>This justifies the current lower AFT rate of 0.5 percent relative to the previous rate of 1.0 percent.</w:t>
      </w:r>
      <w:r w:rsidR="00E05C7D" w:rsidRPr="00A65E33">
        <w:rPr>
          <w:rFonts w:cstheme="minorHAnsi"/>
        </w:rPr>
        <w:t xml:space="preserve"> </w:t>
      </w:r>
      <w:r w:rsidR="00130BE0" w:rsidRPr="00A65E33">
        <w:rPr>
          <w:rFonts w:cstheme="minorHAnsi"/>
        </w:rPr>
        <w:t xml:space="preserve">This analysis is consistent with the findings of </w:t>
      </w:r>
      <w:proofErr w:type="spellStart"/>
      <w:r w:rsidR="00130BE0" w:rsidRPr="00A65E33">
        <w:rPr>
          <w:rFonts w:cstheme="minorHAnsi"/>
        </w:rPr>
        <w:t>Saputro</w:t>
      </w:r>
      <w:proofErr w:type="spellEnd"/>
      <w:r w:rsidR="00130BE0" w:rsidRPr="00A65E33">
        <w:rPr>
          <w:rFonts w:cstheme="minorHAnsi"/>
        </w:rPr>
        <w:t xml:space="preserve"> (2020) which used tax filing data to calculate firms’ </w:t>
      </w:r>
      <w:r w:rsidR="00130BE0" w:rsidRPr="00A65E33">
        <w:rPr>
          <w:rFonts w:cstheme="minorHAnsi"/>
        </w:rPr>
        <w:lastRenderedPageBreak/>
        <w:t xml:space="preserve">effective tax rates prior to the 2013 introduction of the AFT. The results showed that many firms were already facing tax </w:t>
      </w:r>
      <w:r w:rsidR="004002F7">
        <w:rPr>
          <w:rFonts w:cstheme="minorHAnsi"/>
        </w:rPr>
        <w:t xml:space="preserve">burdens </w:t>
      </w:r>
      <w:r w:rsidR="00130BE0" w:rsidRPr="00A65E33">
        <w:rPr>
          <w:rFonts w:cstheme="minorHAnsi"/>
        </w:rPr>
        <w:t xml:space="preserve">of less than 1.0 percent </w:t>
      </w:r>
      <w:r w:rsidR="004002F7">
        <w:rPr>
          <w:rFonts w:cstheme="minorHAnsi"/>
        </w:rPr>
        <w:t xml:space="preserve">of their turnover </w:t>
      </w:r>
      <w:r w:rsidR="00130BE0" w:rsidRPr="00A65E33">
        <w:rPr>
          <w:rFonts w:cstheme="minorHAnsi"/>
        </w:rPr>
        <w:t>at the time, and so preferred to remain within the CIT regime.</w:t>
      </w:r>
    </w:p>
    <w:p w14:paraId="3AB44E8D" w14:textId="76989EA6" w:rsidR="00130BE0" w:rsidRPr="00571C0C" w:rsidRDefault="00DE06D1" w:rsidP="00130BE0">
      <w:pPr>
        <w:pStyle w:val="ListParagraph"/>
        <w:numPr>
          <w:ilvl w:val="0"/>
          <w:numId w:val="12"/>
        </w:numPr>
        <w:spacing w:before="120"/>
        <w:ind w:left="0" w:firstLine="0"/>
        <w:contextualSpacing w:val="0"/>
        <w:jc w:val="both"/>
      </w:pPr>
      <w:r w:rsidRPr="00587E53">
        <w:rPr>
          <w:b/>
        </w:rPr>
        <w:t>Overall, t</w:t>
      </w:r>
      <w:r w:rsidR="00F23E7B" w:rsidRPr="00587E53">
        <w:rPr>
          <w:b/>
        </w:rPr>
        <w:t xml:space="preserve">he AFT rate of 0.5 percent on turnover is </w:t>
      </w:r>
      <w:r w:rsidR="00907E5A" w:rsidRPr="00587E53">
        <w:rPr>
          <w:b/>
        </w:rPr>
        <w:t xml:space="preserve">not </w:t>
      </w:r>
      <w:r w:rsidR="00243EAC" w:rsidRPr="00587E53">
        <w:rPr>
          <w:b/>
        </w:rPr>
        <w:t>excessively</w:t>
      </w:r>
      <w:r w:rsidR="00907E5A" w:rsidRPr="00587E53">
        <w:rPr>
          <w:b/>
        </w:rPr>
        <w:t xml:space="preserve"> </w:t>
      </w:r>
      <w:r w:rsidR="00F23E7B" w:rsidRPr="00587E53">
        <w:rPr>
          <w:b/>
        </w:rPr>
        <w:t xml:space="preserve">generous </w:t>
      </w:r>
      <w:r w:rsidR="00130BE0" w:rsidRPr="00587E53">
        <w:rPr>
          <w:b/>
        </w:rPr>
        <w:t>relative to the 11 percent concessional rate offered to MSMEs under the CIT.</w:t>
      </w:r>
      <w:r w:rsidR="00130BE0" w:rsidRPr="00587E53">
        <w:t xml:space="preserve"> When considering what rate might be appropriate under the AFT, the rate should ideally not disadvantage firms relative to the standard CIT regime that would otherwise apply. </w:t>
      </w:r>
      <w:r w:rsidR="00587E53" w:rsidRPr="007D2EC3">
        <w:t>A</w:t>
      </w:r>
      <w:r w:rsidR="00130BE0" w:rsidRPr="00587E53">
        <w:t xml:space="preserve">lthough based on </w:t>
      </w:r>
      <w:r w:rsidR="00242BAB" w:rsidRPr="00587E53">
        <w:t xml:space="preserve">EM </w:t>
      </w:r>
      <w:r w:rsidR="00130BE0" w:rsidRPr="00587E53">
        <w:t xml:space="preserve">data, </w:t>
      </w:r>
      <w:r w:rsidR="00587E53" w:rsidRPr="007D2EC3">
        <w:t xml:space="preserve">this analysis </w:t>
      </w:r>
      <w:r w:rsidR="00130BE0" w:rsidRPr="00587E53">
        <w:t xml:space="preserve">suggests that the current AFT rate strikes somewhat of a balance without being </w:t>
      </w:r>
      <w:r w:rsidR="00FB7265" w:rsidRPr="00587E53">
        <w:t>too</w:t>
      </w:r>
      <w:r w:rsidR="00266585" w:rsidRPr="00587E53">
        <w:t xml:space="preserve"> </w:t>
      </w:r>
      <w:r w:rsidR="00130BE0" w:rsidRPr="00587E53">
        <w:t xml:space="preserve">generous. </w:t>
      </w:r>
      <w:r w:rsidR="002F3F39" w:rsidRPr="00587E53">
        <w:t>This is reflected in the fact that</w:t>
      </w:r>
      <w:r w:rsidR="00325D39" w:rsidRPr="00587E53">
        <w:t xml:space="preserve"> </w:t>
      </w:r>
      <w:r w:rsidR="002F3F39" w:rsidRPr="00587E53">
        <w:t>a</w:t>
      </w:r>
      <w:r w:rsidR="00130BE0" w:rsidRPr="00587E53">
        <w:t xml:space="preserve"> small but </w:t>
      </w:r>
      <w:proofErr w:type="gramStart"/>
      <w:r w:rsidR="00130BE0" w:rsidRPr="00587E53">
        <w:t>nonnegligible</w:t>
      </w:r>
      <w:proofErr w:type="gramEnd"/>
      <w:r w:rsidR="00130BE0" w:rsidRPr="00587E53">
        <w:t xml:space="preserve"> share of firms will still face a larger tax liability</w:t>
      </w:r>
      <w:r w:rsidR="00E740F5" w:rsidRPr="00587E53">
        <w:t xml:space="preserve"> under the current AFT rate relative to the concessional CIT regime</w:t>
      </w:r>
      <w:r w:rsidR="00130BE0" w:rsidRPr="00587E53">
        <w:t>. The first-order policy question is</w:t>
      </w:r>
      <w:r w:rsidR="00587E53" w:rsidRPr="007D2EC3">
        <w:t>, therefore,</w:t>
      </w:r>
      <w:r w:rsidR="00130BE0" w:rsidRPr="00587E53">
        <w:t xml:space="preserve"> not whether the AFT rate </w:t>
      </w:r>
      <w:r w:rsidR="00130BE0" w:rsidRPr="00571C0C">
        <w:t xml:space="preserve">is too low; it is appropriately low relative to that in the CIT regime and thereby avoids redundancy. Rather, a more central question is whether the permanent concessional rate for MSMEs in the standard CIT regime is too low. </w:t>
      </w:r>
      <w:r w:rsidR="0038454D" w:rsidRPr="00571C0C">
        <w:t xml:space="preserve">We turn briefly to this question now. </w:t>
      </w:r>
    </w:p>
    <w:p w14:paraId="3236593B" w14:textId="60B07E9C" w:rsidR="00130BE0" w:rsidRPr="00571C0C" w:rsidRDefault="00130BE0" w:rsidP="00130BE0">
      <w:pPr>
        <w:pStyle w:val="ListParagraph"/>
        <w:numPr>
          <w:ilvl w:val="0"/>
          <w:numId w:val="12"/>
        </w:numPr>
        <w:spacing w:before="120"/>
        <w:ind w:left="0" w:firstLine="0"/>
        <w:contextualSpacing w:val="0"/>
        <w:jc w:val="both"/>
      </w:pPr>
      <w:r w:rsidRPr="00571C0C">
        <w:rPr>
          <w:b/>
          <w:bCs/>
        </w:rPr>
        <w:t>Low special CIT rates for small businesses are common around the world as well as in ASEAN countries</w:t>
      </w:r>
      <w:r w:rsidR="0061192F" w:rsidRPr="00571C0C">
        <w:rPr>
          <w:b/>
          <w:bCs/>
        </w:rPr>
        <w:t xml:space="preserve">, though Indonesia’s rate could afford to be higher </w:t>
      </w:r>
      <w:r w:rsidRPr="00571C0C">
        <w:rPr>
          <w:b/>
          <w:bCs/>
        </w:rPr>
        <w:t>(Table 3.1).</w:t>
      </w:r>
      <w:r w:rsidRPr="00571C0C">
        <w:t xml:space="preserve"> Among ASEAN countries, Brunei</w:t>
      </w:r>
      <w:r w:rsidR="00587E53" w:rsidRPr="00571C0C">
        <w:t xml:space="preserve"> Darussalam</w:t>
      </w:r>
      <w:r w:rsidRPr="00571C0C">
        <w:t xml:space="preserve">, Indonesia, Malaysia, the Philippines, and Thailand all offer such lower CIT rates. The schemes range from single concessional rates (Philippines and Indonesia) to graduated rates (most others). Thailand offers full relief for its smallest firms but also a low rate (15 percent) for those that are a bit larger. Brunei </w:t>
      </w:r>
      <w:r w:rsidR="00587E53" w:rsidRPr="00571C0C">
        <w:t xml:space="preserve">Darussalam </w:t>
      </w:r>
      <w:r w:rsidRPr="00571C0C">
        <w:t>also offers two tiers, both at concessional rates that are lower than that in Indonesia (4.</w:t>
      </w:r>
      <w:r w:rsidR="00270838" w:rsidRPr="00571C0C">
        <w:t>6</w:t>
      </w:r>
      <w:r w:rsidRPr="00571C0C">
        <w:t xml:space="preserve"> and 9.3 percent versus </w:t>
      </w:r>
      <w:r w:rsidR="00822996" w:rsidRPr="00571C0C">
        <w:t xml:space="preserve">Indonesia’s </w:t>
      </w:r>
      <w:r w:rsidRPr="00571C0C">
        <w:t xml:space="preserve">11 percent). By contrast, Malaysia’s two concessional rates (15 and 17 percent) are both above Indonesia’s. The Philippines offers a concessional rate that is materially higher than all the others (20 percent). </w:t>
      </w:r>
      <w:r w:rsidR="00FD2115" w:rsidRPr="00571C0C">
        <w:t xml:space="preserve">Thus, </w:t>
      </w:r>
      <w:r w:rsidR="007F2A09" w:rsidRPr="00571C0C">
        <w:t xml:space="preserve">Indonesia’s concessional rate </w:t>
      </w:r>
      <w:r w:rsidR="00673F55" w:rsidRPr="00571C0C">
        <w:t xml:space="preserve">sits </w:t>
      </w:r>
      <w:r w:rsidR="00CB262B" w:rsidRPr="00571C0C">
        <w:t>about</w:t>
      </w:r>
      <w:r w:rsidR="00673F55" w:rsidRPr="00571C0C">
        <w:t xml:space="preserve"> the middle</w:t>
      </w:r>
      <w:r w:rsidR="005E0B20" w:rsidRPr="00571C0C">
        <w:t xml:space="preserve"> relative to its ASEAN peers</w:t>
      </w:r>
      <w:r w:rsidR="009C0CDC" w:rsidRPr="00571C0C">
        <w:t>. I</w:t>
      </w:r>
      <w:r w:rsidR="005E0B20" w:rsidRPr="00571C0C">
        <w:t xml:space="preserve">t is </w:t>
      </w:r>
      <w:r w:rsidR="008D61F3" w:rsidRPr="00571C0C">
        <w:t xml:space="preserve">not clear </w:t>
      </w:r>
      <w:r w:rsidR="004D36D9" w:rsidRPr="00571C0C">
        <w:t xml:space="preserve">that </w:t>
      </w:r>
      <w:r w:rsidR="00673F55" w:rsidRPr="00571C0C">
        <w:rPr>
          <w:bCs/>
        </w:rPr>
        <w:t>maintain</w:t>
      </w:r>
      <w:r w:rsidR="008D61F3" w:rsidRPr="00571C0C">
        <w:rPr>
          <w:bCs/>
        </w:rPr>
        <w:t>ing</w:t>
      </w:r>
      <w:r w:rsidR="00673F55" w:rsidRPr="00571C0C">
        <w:rPr>
          <w:bCs/>
        </w:rPr>
        <w:t xml:space="preserve"> a lower </w:t>
      </w:r>
      <w:r w:rsidR="00141DBE" w:rsidRPr="00571C0C">
        <w:rPr>
          <w:bCs/>
        </w:rPr>
        <w:t xml:space="preserve">rate </w:t>
      </w:r>
      <w:r w:rsidR="00673F55" w:rsidRPr="00571C0C">
        <w:rPr>
          <w:bCs/>
        </w:rPr>
        <w:t>than Malaysia’s and the Philippines’ lowest rates and Thailand’s main concessional rate</w:t>
      </w:r>
      <w:r w:rsidR="008D61F3" w:rsidRPr="00571C0C">
        <w:rPr>
          <w:bCs/>
        </w:rPr>
        <w:t xml:space="preserve"> </w:t>
      </w:r>
      <w:r w:rsidR="002966F7" w:rsidRPr="00571C0C">
        <w:rPr>
          <w:bCs/>
        </w:rPr>
        <w:t xml:space="preserve">is </w:t>
      </w:r>
      <w:r w:rsidR="008D61F3" w:rsidRPr="00571C0C">
        <w:rPr>
          <w:bCs/>
        </w:rPr>
        <w:t>justified</w:t>
      </w:r>
      <w:r w:rsidR="00673F55" w:rsidRPr="00571C0C">
        <w:rPr>
          <w:bCs/>
        </w:rPr>
        <w:t>.</w:t>
      </w:r>
      <w:r w:rsidR="00BA6264" w:rsidRPr="00571C0C">
        <w:rPr>
          <w:bCs/>
        </w:rPr>
        <w:t xml:space="preserve"> </w:t>
      </w:r>
      <w:r w:rsidR="00FE713A" w:rsidRPr="00571C0C">
        <w:rPr>
          <w:bCs/>
        </w:rPr>
        <w:t xml:space="preserve">Even more </w:t>
      </w:r>
      <w:r w:rsidR="00006CDB" w:rsidRPr="00571C0C">
        <w:rPr>
          <w:bCs/>
        </w:rPr>
        <w:t xml:space="preserve">fundamentally, </w:t>
      </w:r>
      <w:bookmarkStart w:id="32" w:name="_Hlk177810755"/>
      <w:r w:rsidR="00006CDB" w:rsidRPr="00571C0C">
        <w:rPr>
          <w:bCs/>
        </w:rPr>
        <w:t xml:space="preserve">the </w:t>
      </w:r>
      <w:r w:rsidR="00E200E9" w:rsidRPr="00571C0C">
        <w:rPr>
          <w:bCs/>
        </w:rPr>
        <w:t xml:space="preserve">economic </w:t>
      </w:r>
      <w:r w:rsidR="00441DB0" w:rsidRPr="00571C0C">
        <w:rPr>
          <w:bCs/>
        </w:rPr>
        <w:t xml:space="preserve">justification </w:t>
      </w:r>
      <w:r w:rsidR="00AC3A87" w:rsidRPr="00571C0C">
        <w:rPr>
          <w:bCs/>
        </w:rPr>
        <w:t>for permanently offering</w:t>
      </w:r>
      <w:r w:rsidR="002B546E" w:rsidRPr="00571C0C">
        <w:rPr>
          <w:bCs/>
        </w:rPr>
        <w:t xml:space="preserve"> all </w:t>
      </w:r>
      <w:r w:rsidR="00AC3A87" w:rsidRPr="00571C0C">
        <w:rPr>
          <w:bCs/>
        </w:rPr>
        <w:t xml:space="preserve">MSMEs a </w:t>
      </w:r>
      <w:r w:rsidR="00334D9D" w:rsidRPr="00571C0C">
        <w:rPr>
          <w:bCs/>
        </w:rPr>
        <w:t xml:space="preserve">reduced </w:t>
      </w:r>
      <w:r w:rsidR="008742A7" w:rsidRPr="00571C0C">
        <w:rPr>
          <w:bCs/>
        </w:rPr>
        <w:t xml:space="preserve">CIT </w:t>
      </w:r>
      <w:r w:rsidR="00AC3A87" w:rsidRPr="00571C0C">
        <w:rPr>
          <w:bCs/>
        </w:rPr>
        <w:t>rate</w:t>
      </w:r>
      <w:r w:rsidR="001649AB" w:rsidRPr="00571C0C">
        <w:rPr>
          <w:bCs/>
        </w:rPr>
        <w:t>,</w:t>
      </w:r>
      <w:r w:rsidR="00E200E9" w:rsidRPr="00571C0C">
        <w:rPr>
          <w:bCs/>
        </w:rPr>
        <w:t xml:space="preserve"> in any country</w:t>
      </w:r>
      <w:r w:rsidR="001649AB" w:rsidRPr="00571C0C">
        <w:rPr>
          <w:bCs/>
        </w:rPr>
        <w:t>,</w:t>
      </w:r>
      <w:r w:rsidR="00E200E9" w:rsidRPr="00571C0C">
        <w:rPr>
          <w:bCs/>
        </w:rPr>
        <w:t xml:space="preserve"> </w:t>
      </w:r>
      <w:r w:rsidR="00FB6E64" w:rsidRPr="00571C0C">
        <w:rPr>
          <w:bCs/>
        </w:rPr>
        <w:t xml:space="preserve">is </w:t>
      </w:r>
      <w:r w:rsidR="00F56073" w:rsidRPr="00571C0C">
        <w:rPr>
          <w:bCs/>
        </w:rPr>
        <w:t xml:space="preserve">open to </w:t>
      </w:r>
      <w:r w:rsidR="00DC70AA" w:rsidRPr="00571C0C">
        <w:rPr>
          <w:bCs/>
        </w:rPr>
        <w:t xml:space="preserve">considerable </w:t>
      </w:r>
      <w:r w:rsidR="00F56073" w:rsidRPr="00571C0C">
        <w:rPr>
          <w:bCs/>
        </w:rPr>
        <w:t>debate</w:t>
      </w:r>
      <w:r w:rsidR="00DC70AA" w:rsidRPr="00571C0C">
        <w:rPr>
          <w:bCs/>
        </w:rPr>
        <w:t xml:space="preserve"> (</w:t>
      </w:r>
      <w:r w:rsidR="00CE5E8A" w:rsidRPr="00571C0C">
        <w:rPr>
          <w:bCs/>
        </w:rPr>
        <w:t xml:space="preserve">see Benedek et al. 2017; </w:t>
      </w:r>
      <w:r w:rsidR="00E23543" w:rsidRPr="00571C0C">
        <w:rPr>
          <w:bCs/>
        </w:rPr>
        <w:t>Denes</w:t>
      </w:r>
      <w:r w:rsidR="00F5457F" w:rsidRPr="00571C0C">
        <w:rPr>
          <w:bCs/>
        </w:rPr>
        <w:t xml:space="preserve"> et al.</w:t>
      </w:r>
      <w:r w:rsidR="00E23543" w:rsidRPr="00571C0C">
        <w:rPr>
          <w:bCs/>
        </w:rPr>
        <w:t xml:space="preserve"> 202</w:t>
      </w:r>
      <w:r w:rsidR="00D016B6" w:rsidRPr="00571C0C">
        <w:rPr>
          <w:bCs/>
        </w:rPr>
        <w:t>3</w:t>
      </w:r>
      <w:r w:rsidR="00E23543" w:rsidRPr="00571C0C">
        <w:rPr>
          <w:bCs/>
        </w:rPr>
        <w:t>;</w:t>
      </w:r>
      <w:r w:rsidR="00CE5E8A" w:rsidRPr="00571C0C">
        <w:rPr>
          <w:bCs/>
        </w:rPr>
        <w:t xml:space="preserve"> and </w:t>
      </w:r>
      <w:r w:rsidR="00F5457F" w:rsidRPr="00571C0C">
        <w:rPr>
          <w:bCs/>
        </w:rPr>
        <w:t xml:space="preserve">de </w:t>
      </w:r>
      <w:r w:rsidR="00B3400A" w:rsidRPr="00571C0C">
        <w:rPr>
          <w:bCs/>
        </w:rPr>
        <w:t>Rugy 2005)</w:t>
      </w:r>
      <w:r w:rsidR="00AC3A87" w:rsidRPr="00571C0C">
        <w:rPr>
          <w:bCs/>
        </w:rPr>
        <w:t>.</w:t>
      </w:r>
      <w:bookmarkEnd w:id="32"/>
    </w:p>
    <w:p w14:paraId="6A09F663" w14:textId="09DBE791" w:rsidR="00130BE0" w:rsidRPr="004D7214" w:rsidRDefault="00130BE0" w:rsidP="004D7214">
      <w:pPr>
        <w:pStyle w:val="Caption"/>
        <w:rPr>
          <w:rFonts w:cstheme="minorHAnsi"/>
          <w:b w:val="0"/>
          <w:szCs w:val="22"/>
        </w:rPr>
      </w:pPr>
      <w:bookmarkStart w:id="33" w:name="_Toc177576303"/>
      <w:r w:rsidRPr="004D7214">
        <w:rPr>
          <w:rFonts w:asciiTheme="minorHAnsi" w:hAnsiTheme="minorHAnsi" w:cstheme="minorHAnsi"/>
          <w:szCs w:val="22"/>
        </w:rPr>
        <w:t>Table 3.1: Reduced CIT rates for smaller firms in Southeast Asia</w:t>
      </w:r>
      <w:bookmarkEnd w:id="33"/>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600" w:firstRow="0" w:lastRow="0" w:firstColumn="0" w:lastColumn="0" w:noHBand="1" w:noVBand="1"/>
      </w:tblPr>
      <w:tblGrid>
        <w:gridCol w:w="1075"/>
        <w:gridCol w:w="1260"/>
        <w:gridCol w:w="990"/>
        <w:gridCol w:w="1710"/>
        <w:gridCol w:w="2070"/>
        <w:gridCol w:w="1890"/>
      </w:tblGrid>
      <w:tr w:rsidR="00130BE0" w:rsidRPr="001C5712" w14:paraId="125D8941" w14:textId="77777777" w:rsidTr="000608BC">
        <w:trPr>
          <w:trHeight w:hRule="exact" w:val="576"/>
        </w:trPr>
        <w:tc>
          <w:tcPr>
            <w:tcW w:w="1075" w:type="dxa"/>
            <w:shd w:val="clear" w:color="auto" w:fill="D9D9D9"/>
            <w:tcMar>
              <w:top w:w="100" w:type="dxa"/>
              <w:left w:w="100" w:type="dxa"/>
              <w:bottom w:w="100" w:type="dxa"/>
              <w:right w:w="100" w:type="dxa"/>
            </w:tcMar>
          </w:tcPr>
          <w:p w14:paraId="1B3E1885" w14:textId="77777777" w:rsidR="00130BE0" w:rsidRPr="001C5712" w:rsidRDefault="00130BE0">
            <w:pPr>
              <w:widowControl w:val="0"/>
              <w:pBdr>
                <w:top w:val="nil"/>
                <w:left w:val="nil"/>
                <w:bottom w:val="nil"/>
                <w:right w:val="nil"/>
                <w:between w:val="nil"/>
              </w:pBdr>
              <w:spacing w:after="0"/>
              <w:rPr>
                <w:b/>
                <w:sz w:val="18"/>
                <w:szCs w:val="18"/>
              </w:rPr>
            </w:pPr>
            <w:r w:rsidRPr="001C5712">
              <w:rPr>
                <w:b/>
                <w:sz w:val="18"/>
                <w:szCs w:val="18"/>
              </w:rPr>
              <w:t>Sector</w:t>
            </w:r>
          </w:p>
        </w:tc>
        <w:tc>
          <w:tcPr>
            <w:tcW w:w="1260" w:type="dxa"/>
            <w:shd w:val="clear" w:color="auto" w:fill="D9D9D9"/>
            <w:tcMar>
              <w:top w:w="100" w:type="dxa"/>
              <w:left w:w="100" w:type="dxa"/>
              <w:bottom w:w="100" w:type="dxa"/>
              <w:right w:w="100" w:type="dxa"/>
            </w:tcMar>
          </w:tcPr>
          <w:p w14:paraId="383F7704" w14:textId="77777777" w:rsidR="00130BE0" w:rsidRPr="001C5712" w:rsidRDefault="00130BE0">
            <w:pPr>
              <w:widowControl w:val="0"/>
              <w:pBdr>
                <w:top w:val="nil"/>
                <w:left w:val="nil"/>
                <w:bottom w:val="nil"/>
                <w:right w:val="nil"/>
                <w:between w:val="nil"/>
              </w:pBdr>
              <w:spacing w:after="0"/>
              <w:ind w:left="-10" w:firstLine="10"/>
              <w:jc w:val="center"/>
              <w:rPr>
                <w:b/>
                <w:sz w:val="18"/>
                <w:szCs w:val="18"/>
              </w:rPr>
            </w:pPr>
            <w:r>
              <w:rPr>
                <w:b/>
                <w:sz w:val="18"/>
                <w:szCs w:val="18"/>
              </w:rPr>
              <w:t xml:space="preserve">Reduced CIT rate </w:t>
            </w:r>
          </w:p>
        </w:tc>
        <w:tc>
          <w:tcPr>
            <w:tcW w:w="990" w:type="dxa"/>
            <w:shd w:val="clear" w:color="auto" w:fill="D9D9D9"/>
          </w:tcPr>
          <w:p w14:paraId="75C59FFA" w14:textId="77777777" w:rsidR="00130BE0" w:rsidRDefault="00130BE0">
            <w:pPr>
              <w:widowControl w:val="0"/>
              <w:pBdr>
                <w:top w:val="nil"/>
                <w:left w:val="nil"/>
                <w:bottom w:val="nil"/>
                <w:right w:val="nil"/>
                <w:between w:val="nil"/>
              </w:pBdr>
              <w:spacing w:after="0"/>
              <w:jc w:val="center"/>
              <w:rPr>
                <w:b/>
                <w:sz w:val="18"/>
                <w:szCs w:val="18"/>
              </w:rPr>
            </w:pPr>
            <w:r>
              <w:rPr>
                <w:b/>
                <w:sz w:val="18"/>
                <w:szCs w:val="18"/>
              </w:rPr>
              <w:t xml:space="preserve">Statutory </w:t>
            </w:r>
          </w:p>
          <w:p w14:paraId="39973D9F" w14:textId="77777777" w:rsidR="00130BE0" w:rsidRDefault="00130BE0">
            <w:pPr>
              <w:widowControl w:val="0"/>
              <w:pBdr>
                <w:top w:val="nil"/>
                <w:left w:val="nil"/>
                <w:bottom w:val="nil"/>
                <w:right w:val="nil"/>
                <w:between w:val="nil"/>
              </w:pBdr>
              <w:spacing w:after="0"/>
              <w:jc w:val="center"/>
              <w:rPr>
                <w:b/>
                <w:sz w:val="18"/>
                <w:szCs w:val="18"/>
              </w:rPr>
            </w:pPr>
            <w:r>
              <w:rPr>
                <w:b/>
                <w:sz w:val="18"/>
                <w:szCs w:val="18"/>
              </w:rPr>
              <w:t>CIT Rate</w:t>
            </w:r>
          </w:p>
        </w:tc>
        <w:tc>
          <w:tcPr>
            <w:tcW w:w="1710" w:type="dxa"/>
            <w:shd w:val="clear" w:color="auto" w:fill="D9D9D9"/>
            <w:tcMar>
              <w:top w:w="100" w:type="dxa"/>
              <w:left w:w="100" w:type="dxa"/>
              <w:bottom w:w="100" w:type="dxa"/>
              <w:right w:w="100" w:type="dxa"/>
            </w:tcMar>
          </w:tcPr>
          <w:p w14:paraId="7A23C3B7" w14:textId="50BA6150" w:rsidR="00130BE0" w:rsidRPr="001C5712" w:rsidRDefault="00130BE0">
            <w:pPr>
              <w:widowControl w:val="0"/>
              <w:pBdr>
                <w:top w:val="nil"/>
                <w:left w:val="nil"/>
                <w:bottom w:val="nil"/>
                <w:right w:val="nil"/>
                <w:between w:val="nil"/>
              </w:pBdr>
              <w:spacing w:after="0"/>
              <w:ind w:left="0" w:hanging="10"/>
              <w:jc w:val="center"/>
              <w:rPr>
                <w:b/>
                <w:sz w:val="18"/>
                <w:szCs w:val="18"/>
              </w:rPr>
            </w:pPr>
            <w:r>
              <w:rPr>
                <w:b/>
                <w:sz w:val="18"/>
                <w:szCs w:val="18"/>
              </w:rPr>
              <w:t>Applicable taxable income (US</w:t>
            </w:r>
            <w:proofErr w:type="gramStart"/>
            <w:r w:rsidR="00CB262B">
              <w:rPr>
                <w:b/>
                <w:sz w:val="18"/>
                <w:szCs w:val="18"/>
              </w:rPr>
              <w:t>$</w:t>
            </w:r>
            <w:r>
              <w:rPr>
                <w:b/>
                <w:sz w:val="18"/>
                <w:szCs w:val="18"/>
              </w:rPr>
              <w:t>)</w:t>
            </w:r>
            <w:r w:rsidRPr="00FF7C9A">
              <w:rPr>
                <w:b/>
                <w:sz w:val="18"/>
                <w:szCs w:val="18"/>
                <w:vertAlign w:val="superscript"/>
              </w:rPr>
              <w:t>(</w:t>
            </w:r>
            <w:proofErr w:type="gramEnd"/>
            <w:r w:rsidRPr="00FF7C9A">
              <w:rPr>
                <w:b/>
                <w:sz w:val="18"/>
                <w:szCs w:val="18"/>
                <w:vertAlign w:val="superscript"/>
              </w:rPr>
              <w:t>a</w:t>
            </w:r>
            <w:proofErr w:type="gramStart"/>
            <w:r w:rsidRPr="00FF7C9A">
              <w:rPr>
                <w:b/>
                <w:sz w:val="18"/>
                <w:szCs w:val="18"/>
                <w:vertAlign w:val="superscript"/>
              </w:rPr>
              <w:t>)</w:t>
            </w:r>
            <w:r>
              <w:rPr>
                <w:b/>
                <w:sz w:val="18"/>
                <w:szCs w:val="18"/>
                <w:vertAlign w:val="superscript"/>
              </w:rPr>
              <w:t>,(</w:t>
            </w:r>
            <w:proofErr w:type="gramEnd"/>
            <w:r>
              <w:rPr>
                <w:b/>
                <w:sz w:val="18"/>
                <w:szCs w:val="18"/>
                <w:vertAlign w:val="superscript"/>
              </w:rPr>
              <w:t>b)</w:t>
            </w:r>
          </w:p>
        </w:tc>
        <w:tc>
          <w:tcPr>
            <w:tcW w:w="2070" w:type="dxa"/>
            <w:shd w:val="clear" w:color="auto" w:fill="D9D9D9"/>
          </w:tcPr>
          <w:p w14:paraId="49184435" w14:textId="5BD47F7E" w:rsidR="00130BE0" w:rsidRPr="00A01623" w:rsidRDefault="00130BE0">
            <w:pPr>
              <w:widowControl w:val="0"/>
              <w:pBdr>
                <w:top w:val="nil"/>
                <w:left w:val="nil"/>
                <w:bottom w:val="nil"/>
                <w:right w:val="nil"/>
                <w:between w:val="nil"/>
              </w:pBdr>
              <w:spacing w:after="0"/>
              <w:ind w:left="0" w:firstLine="0"/>
              <w:jc w:val="center"/>
              <w:rPr>
                <w:b/>
                <w:sz w:val="18"/>
                <w:szCs w:val="18"/>
                <w:vertAlign w:val="superscript"/>
              </w:rPr>
            </w:pPr>
            <w:r>
              <w:rPr>
                <w:b/>
                <w:sz w:val="18"/>
                <w:szCs w:val="18"/>
              </w:rPr>
              <w:t>Eligibility Threshold (US</w:t>
            </w:r>
            <w:proofErr w:type="gramStart"/>
            <w:r w:rsidR="00CB262B">
              <w:rPr>
                <w:b/>
                <w:sz w:val="18"/>
                <w:szCs w:val="18"/>
              </w:rPr>
              <w:t>$</w:t>
            </w:r>
            <w:r>
              <w:rPr>
                <w:b/>
                <w:sz w:val="18"/>
                <w:szCs w:val="18"/>
              </w:rPr>
              <w:t>)</w:t>
            </w:r>
            <w:r>
              <w:rPr>
                <w:b/>
                <w:sz w:val="18"/>
                <w:szCs w:val="18"/>
                <w:vertAlign w:val="superscript"/>
              </w:rPr>
              <w:t>(</w:t>
            </w:r>
            <w:proofErr w:type="gramEnd"/>
            <w:r>
              <w:rPr>
                <w:b/>
                <w:sz w:val="18"/>
                <w:szCs w:val="18"/>
                <w:vertAlign w:val="superscript"/>
              </w:rPr>
              <w:t>c)</w:t>
            </w:r>
          </w:p>
        </w:tc>
        <w:tc>
          <w:tcPr>
            <w:tcW w:w="1890" w:type="dxa"/>
            <w:shd w:val="clear" w:color="auto" w:fill="D9D9D9"/>
          </w:tcPr>
          <w:p w14:paraId="42FD817E" w14:textId="5AA5D34F" w:rsidR="00130BE0" w:rsidRPr="000451A8" w:rsidRDefault="00130BE0">
            <w:pPr>
              <w:widowControl w:val="0"/>
              <w:pBdr>
                <w:top w:val="nil"/>
                <w:left w:val="nil"/>
                <w:bottom w:val="nil"/>
                <w:right w:val="nil"/>
                <w:between w:val="nil"/>
              </w:pBdr>
              <w:spacing w:after="0"/>
              <w:ind w:left="0" w:firstLine="0"/>
              <w:jc w:val="center"/>
              <w:rPr>
                <w:b/>
                <w:sz w:val="18"/>
                <w:szCs w:val="18"/>
                <w:vertAlign w:val="superscript"/>
              </w:rPr>
            </w:pPr>
            <w:r>
              <w:rPr>
                <w:b/>
                <w:sz w:val="18"/>
                <w:szCs w:val="18"/>
              </w:rPr>
              <w:t>Applicable income versus GDP per capita</w:t>
            </w:r>
            <w:r w:rsidR="000451A8">
              <w:rPr>
                <w:b/>
                <w:sz w:val="18"/>
                <w:szCs w:val="18"/>
                <w:vertAlign w:val="superscript"/>
              </w:rPr>
              <w:t>(e)</w:t>
            </w:r>
          </w:p>
        </w:tc>
      </w:tr>
      <w:tr w:rsidR="00130BE0" w:rsidRPr="001C5712" w14:paraId="18F4FC41" w14:textId="77777777" w:rsidTr="000608BC">
        <w:trPr>
          <w:trHeight w:val="20"/>
        </w:trPr>
        <w:tc>
          <w:tcPr>
            <w:tcW w:w="1075" w:type="dxa"/>
            <w:shd w:val="clear" w:color="auto" w:fill="auto"/>
            <w:tcMar>
              <w:top w:w="100" w:type="dxa"/>
              <w:left w:w="100" w:type="dxa"/>
              <w:bottom w:w="100" w:type="dxa"/>
              <w:right w:w="100" w:type="dxa"/>
            </w:tcMar>
          </w:tcPr>
          <w:p w14:paraId="29674B38" w14:textId="32B1D51F" w:rsidR="00130BE0" w:rsidRPr="001C5712" w:rsidRDefault="00130BE0" w:rsidP="00267BE6">
            <w:pPr>
              <w:widowControl w:val="0"/>
              <w:pBdr>
                <w:top w:val="nil"/>
                <w:left w:val="nil"/>
                <w:bottom w:val="nil"/>
                <w:right w:val="nil"/>
                <w:between w:val="nil"/>
              </w:pBdr>
              <w:spacing w:after="0"/>
              <w:ind w:left="0" w:firstLine="0"/>
              <w:rPr>
                <w:bCs/>
                <w:sz w:val="18"/>
                <w:szCs w:val="18"/>
              </w:rPr>
            </w:pPr>
            <w:r>
              <w:rPr>
                <w:bCs/>
                <w:sz w:val="18"/>
                <w:szCs w:val="18"/>
              </w:rPr>
              <w:t>Brunei</w:t>
            </w:r>
            <w:r w:rsidR="00587E53">
              <w:rPr>
                <w:bCs/>
                <w:sz w:val="18"/>
                <w:szCs w:val="18"/>
              </w:rPr>
              <w:t xml:space="preserve"> Darussalam</w:t>
            </w:r>
          </w:p>
        </w:tc>
        <w:tc>
          <w:tcPr>
            <w:tcW w:w="1260" w:type="dxa"/>
            <w:shd w:val="clear" w:color="auto" w:fill="auto"/>
            <w:tcMar>
              <w:top w:w="100" w:type="dxa"/>
              <w:left w:w="100" w:type="dxa"/>
              <w:bottom w:w="100" w:type="dxa"/>
              <w:right w:w="100" w:type="dxa"/>
            </w:tcMar>
          </w:tcPr>
          <w:p w14:paraId="42ACC68A" w14:textId="77777777" w:rsidR="00DA29F7" w:rsidRDefault="00130BE0">
            <w:pPr>
              <w:widowControl w:val="0"/>
              <w:pBdr>
                <w:top w:val="nil"/>
                <w:left w:val="nil"/>
                <w:bottom w:val="nil"/>
                <w:right w:val="nil"/>
                <w:between w:val="nil"/>
              </w:pBdr>
              <w:spacing w:after="0"/>
              <w:jc w:val="center"/>
              <w:rPr>
                <w:sz w:val="18"/>
                <w:szCs w:val="18"/>
              </w:rPr>
            </w:pPr>
            <w:proofErr w:type="gramStart"/>
            <w:r w:rsidRPr="001C5712">
              <w:rPr>
                <w:sz w:val="18"/>
                <w:szCs w:val="18"/>
              </w:rPr>
              <w:t>4</w:t>
            </w:r>
            <w:r>
              <w:rPr>
                <w:sz w:val="18"/>
                <w:szCs w:val="18"/>
              </w:rPr>
              <w:t>.6</w:t>
            </w:r>
            <w:r w:rsidR="00D44169">
              <w:rPr>
                <w:sz w:val="18"/>
                <w:szCs w:val="18"/>
              </w:rPr>
              <w:t>25</w:t>
            </w:r>
            <w:r w:rsidRPr="001C5712">
              <w:rPr>
                <w:sz w:val="18"/>
                <w:szCs w:val="18"/>
              </w:rPr>
              <w:t>%</w:t>
            </w:r>
            <w:r>
              <w:rPr>
                <w:sz w:val="18"/>
                <w:szCs w:val="18"/>
              </w:rPr>
              <w:t>;</w:t>
            </w:r>
            <w:proofErr w:type="gramEnd"/>
          </w:p>
          <w:p w14:paraId="7ABD7D8E" w14:textId="29159A97" w:rsidR="00130BE0" w:rsidRPr="001C5712" w:rsidRDefault="00130BE0">
            <w:pPr>
              <w:widowControl w:val="0"/>
              <w:pBdr>
                <w:top w:val="nil"/>
                <w:left w:val="nil"/>
                <w:bottom w:val="nil"/>
                <w:right w:val="nil"/>
                <w:between w:val="nil"/>
              </w:pBdr>
              <w:spacing w:after="0"/>
              <w:jc w:val="center"/>
              <w:rPr>
                <w:sz w:val="18"/>
                <w:szCs w:val="18"/>
              </w:rPr>
            </w:pPr>
            <w:r>
              <w:rPr>
                <w:sz w:val="18"/>
                <w:szCs w:val="18"/>
              </w:rPr>
              <w:t>9.</w:t>
            </w:r>
            <w:r w:rsidR="00DA29F7">
              <w:rPr>
                <w:sz w:val="18"/>
                <w:szCs w:val="18"/>
              </w:rPr>
              <w:t>25</w:t>
            </w:r>
            <w:r>
              <w:rPr>
                <w:sz w:val="18"/>
                <w:szCs w:val="18"/>
              </w:rPr>
              <w:t>%</w:t>
            </w:r>
          </w:p>
        </w:tc>
        <w:tc>
          <w:tcPr>
            <w:tcW w:w="990" w:type="dxa"/>
          </w:tcPr>
          <w:p w14:paraId="5286A519" w14:textId="77777777" w:rsidR="00130BE0" w:rsidRDefault="00130BE0">
            <w:pPr>
              <w:widowControl w:val="0"/>
              <w:pBdr>
                <w:top w:val="nil"/>
                <w:left w:val="nil"/>
                <w:bottom w:val="nil"/>
                <w:right w:val="nil"/>
                <w:between w:val="nil"/>
              </w:pBdr>
              <w:spacing w:after="0"/>
              <w:jc w:val="center"/>
              <w:rPr>
                <w:sz w:val="18"/>
                <w:szCs w:val="18"/>
              </w:rPr>
            </w:pPr>
            <w:r>
              <w:rPr>
                <w:sz w:val="18"/>
                <w:szCs w:val="18"/>
              </w:rPr>
              <w:t>18.5%</w:t>
            </w:r>
          </w:p>
        </w:tc>
        <w:tc>
          <w:tcPr>
            <w:tcW w:w="1710" w:type="dxa"/>
            <w:shd w:val="clear" w:color="auto" w:fill="auto"/>
            <w:tcMar>
              <w:top w:w="100" w:type="dxa"/>
              <w:left w:w="100" w:type="dxa"/>
              <w:bottom w:w="100" w:type="dxa"/>
              <w:right w:w="100" w:type="dxa"/>
            </w:tcMar>
          </w:tcPr>
          <w:p w14:paraId="12789B4F" w14:textId="553F8801" w:rsidR="00130BE0" w:rsidRPr="001C5712" w:rsidRDefault="00130BE0">
            <w:pPr>
              <w:widowControl w:val="0"/>
              <w:pBdr>
                <w:top w:val="nil"/>
                <w:left w:val="nil"/>
                <w:bottom w:val="nil"/>
                <w:right w:val="nil"/>
                <w:between w:val="nil"/>
              </w:pBdr>
              <w:spacing w:after="0"/>
              <w:ind w:left="0" w:hanging="10"/>
              <w:jc w:val="center"/>
              <w:rPr>
                <w:sz w:val="18"/>
                <w:szCs w:val="18"/>
              </w:rPr>
            </w:pPr>
            <w:r>
              <w:rPr>
                <w:sz w:val="18"/>
                <w:szCs w:val="18"/>
              </w:rPr>
              <w:t>7</w:t>
            </w:r>
            <w:r w:rsidR="003A2C80">
              <w:rPr>
                <w:sz w:val="18"/>
                <w:szCs w:val="18"/>
              </w:rPr>
              <w:t>5</w:t>
            </w:r>
            <w:r>
              <w:rPr>
                <w:sz w:val="18"/>
                <w:szCs w:val="18"/>
              </w:rPr>
              <w:t>,000; 1</w:t>
            </w:r>
            <w:r w:rsidR="006E6AA1">
              <w:rPr>
                <w:sz w:val="18"/>
                <w:szCs w:val="18"/>
              </w:rPr>
              <w:t>87</w:t>
            </w:r>
            <w:r>
              <w:rPr>
                <w:sz w:val="18"/>
                <w:szCs w:val="18"/>
              </w:rPr>
              <w:t>,000</w:t>
            </w:r>
          </w:p>
        </w:tc>
        <w:tc>
          <w:tcPr>
            <w:tcW w:w="2070" w:type="dxa"/>
          </w:tcPr>
          <w:p w14:paraId="37EAD667" w14:textId="77777777" w:rsidR="00130BE0" w:rsidRDefault="00130BE0">
            <w:pPr>
              <w:widowControl w:val="0"/>
              <w:pBdr>
                <w:top w:val="nil"/>
                <w:left w:val="nil"/>
                <w:bottom w:val="nil"/>
                <w:right w:val="nil"/>
                <w:between w:val="nil"/>
              </w:pBdr>
              <w:spacing w:after="0"/>
              <w:jc w:val="center"/>
              <w:rPr>
                <w:sz w:val="18"/>
                <w:szCs w:val="18"/>
              </w:rPr>
            </w:pPr>
            <w:r>
              <w:rPr>
                <w:sz w:val="18"/>
                <w:szCs w:val="18"/>
              </w:rPr>
              <w:t xml:space="preserve">No size limits. </w:t>
            </w:r>
          </w:p>
        </w:tc>
        <w:tc>
          <w:tcPr>
            <w:tcW w:w="1890" w:type="dxa"/>
          </w:tcPr>
          <w:p w14:paraId="473009CE" w14:textId="560DCCA0" w:rsidR="00130BE0" w:rsidRDefault="00130BE0" w:rsidP="004A3B61">
            <w:pPr>
              <w:widowControl w:val="0"/>
              <w:pBdr>
                <w:top w:val="nil"/>
                <w:left w:val="nil"/>
                <w:bottom w:val="nil"/>
                <w:right w:val="nil"/>
                <w:between w:val="nil"/>
              </w:pBdr>
              <w:spacing w:after="0"/>
              <w:jc w:val="center"/>
              <w:rPr>
                <w:sz w:val="18"/>
                <w:szCs w:val="18"/>
              </w:rPr>
            </w:pPr>
            <w:r>
              <w:rPr>
                <w:sz w:val="18"/>
                <w:szCs w:val="18"/>
              </w:rPr>
              <w:t>2.</w:t>
            </w:r>
            <w:r w:rsidR="00367878">
              <w:rPr>
                <w:sz w:val="18"/>
                <w:szCs w:val="18"/>
              </w:rPr>
              <w:t>0; 5.1</w:t>
            </w:r>
          </w:p>
        </w:tc>
      </w:tr>
      <w:tr w:rsidR="00130BE0" w:rsidRPr="001C5712" w14:paraId="79A78A0E" w14:textId="77777777" w:rsidTr="000608BC">
        <w:trPr>
          <w:trHeight w:val="20"/>
        </w:trPr>
        <w:tc>
          <w:tcPr>
            <w:tcW w:w="1075" w:type="dxa"/>
            <w:shd w:val="clear" w:color="auto" w:fill="auto"/>
            <w:tcMar>
              <w:top w:w="100" w:type="dxa"/>
              <w:left w:w="100" w:type="dxa"/>
              <w:bottom w:w="100" w:type="dxa"/>
              <w:right w:w="100" w:type="dxa"/>
            </w:tcMar>
          </w:tcPr>
          <w:p w14:paraId="097E09FB" w14:textId="77777777" w:rsidR="00130BE0" w:rsidRPr="001C5712" w:rsidRDefault="00130BE0">
            <w:pPr>
              <w:widowControl w:val="0"/>
              <w:pBdr>
                <w:top w:val="nil"/>
                <w:left w:val="nil"/>
                <w:bottom w:val="nil"/>
                <w:right w:val="nil"/>
                <w:between w:val="nil"/>
              </w:pBdr>
              <w:spacing w:after="0"/>
              <w:rPr>
                <w:bCs/>
                <w:sz w:val="18"/>
                <w:szCs w:val="18"/>
              </w:rPr>
            </w:pPr>
            <w:r>
              <w:rPr>
                <w:bCs/>
                <w:sz w:val="18"/>
                <w:szCs w:val="18"/>
              </w:rPr>
              <w:t>Indonesia</w:t>
            </w:r>
          </w:p>
        </w:tc>
        <w:tc>
          <w:tcPr>
            <w:tcW w:w="1260" w:type="dxa"/>
            <w:shd w:val="clear" w:color="auto" w:fill="auto"/>
            <w:tcMar>
              <w:top w:w="100" w:type="dxa"/>
              <w:left w:w="100" w:type="dxa"/>
              <w:bottom w:w="100" w:type="dxa"/>
              <w:right w:w="100" w:type="dxa"/>
            </w:tcMar>
          </w:tcPr>
          <w:p w14:paraId="435196C9" w14:textId="77777777" w:rsidR="00130BE0" w:rsidRPr="001C5712" w:rsidRDefault="00130BE0">
            <w:pPr>
              <w:widowControl w:val="0"/>
              <w:pBdr>
                <w:top w:val="nil"/>
                <w:left w:val="nil"/>
                <w:bottom w:val="nil"/>
                <w:right w:val="nil"/>
                <w:between w:val="nil"/>
              </w:pBdr>
              <w:spacing w:after="0"/>
              <w:jc w:val="center"/>
              <w:rPr>
                <w:sz w:val="18"/>
                <w:szCs w:val="18"/>
              </w:rPr>
            </w:pPr>
            <w:r>
              <w:rPr>
                <w:sz w:val="18"/>
                <w:szCs w:val="18"/>
              </w:rPr>
              <w:t>11.0</w:t>
            </w:r>
            <w:r w:rsidRPr="001C5712">
              <w:rPr>
                <w:sz w:val="18"/>
                <w:szCs w:val="18"/>
              </w:rPr>
              <w:t>%</w:t>
            </w:r>
          </w:p>
        </w:tc>
        <w:tc>
          <w:tcPr>
            <w:tcW w:w="990" w:type="dxa"/>
          </w:tcPr>
          <w:p w14:paraId="2C126421" w14:textId="77777777" w:rsidR="00130BE0" w:rsidRDefault="00130BE0">
            <w:pPr>
              <w:widowControl w:val="0"/>
              <w:pBdr>
                <w:top w:val="nil"/>
                <w:left w:val="nil"/>
                <w:bottom w:val="nil"/>
                <w:right w:val="nil"/>
                <w:between w:val="nil"/>
              </w:pBdr>
              <w:spacing w:after="0"/>
              <w:jc w:val="center"/>
              <w:rPr>
                <w:sz w:val="18"/>
                <w:szCs w:val="18"/>
              </w:rPr>
            </w:pPr>
            <w:r>
              <w:rPr>
                <w:sz w:val="18"/>
                <w:szCs w:val="18"/>
              </w:rPr>
              <w:t>22.0%</w:t>
            </w:r>
          </w:p>
        </w:tc>
        <w:tc>
          <w:tcPr>
            <w:tcW w:w="1710" w:type="dxa"/>
            <w:shd w:val="clear" w:color="auto" w:fill="auto"/>
            <w:tcMar>
              <w:top w:w="100" w:type="dxa"/>
              <w:left w:w="100" w:type="dxa"/>
              <w:bottom w:w="100" w:type="dxa"/>
              <w:right w:w="100" w:type="dxa"/>
            </w:tcMar>
          </w:tcPr>
          <w:p w14:paraId="589807ED" w14:textId="080F4910" w:rsidR="00130BE0" w:rsidRPr="001C5712" w:rsidRDefault="00130BE0">
            <w:pPr>
              <w:widowControl w:val="0"/>
              <w:pBdr>
                <w:top w:val="nil"/>
                <w:left w:val="nil"/>
                <w:bottom w:val="nil"/>
                <w:right w:val="nil"/>
                <w:between w:val="nil"/>
              </w:pBdr>
              <w:spacing w:after="0"/>
              <w:ind w:left="0" w:hanging="10"/>
              <w:jc w:val="center"/>
              <w:rPr>
                <w:sz w:val="18"/>
                <w:szCs w:val="18"/>
              </w:rPr>
            </w:pPr>
            <w:r>
              <w:rPr>
                <w:sz w:val="18"/>
                <w:szCs w:val="18"/>
              </w:rPr>
              <w:t>6,</w:t>
            </w:r>
            <w:r w:rsidR="00B745FD">
              <w:rPr>
                <w:sz w:val="18"/>
                <w:szCs w:val="18"/>
              </w:rPr>
              <w:t>0</w:t>
            </w:r>
            <w:r>
              <w:rPr>
                <w:sz w:val="18"/>
                <w:szCs w:val="18"/>
              </w:rPr>
              <w:t>00-6</w:t>
            </w:r>
            <w:r w:rsidR="00B8391E">
              <w:rPr>
                <w:sz w:val="18"/>
                <w:szCs w:val="18"/>
              </w:rPr>
              <w:t>5</w:t>
            </w:r>
            <w:r>
              <w:rPr>
                <w:sz w:val="18"/>
                <w:szCs w:val="18"/>
              </w:rPr>
              <w:t>,000</w:t>
            </w:r>
          </w:p>
        </w:tc>
        <w:tc>
          <w:tcPr>
            <w:tcW w:w="2070" w:type="dxa"/>
          </w:tcPr>
          <w:p w14:paraId="5B74E2F1" w14:textId="6E9AE626" w:rsidR="00130BE0" w:rsidRDefault="00965194">
            <w:pPr>
              <w:widowControl w:val="0"/>
              <w:pBdr>
                <w:top w:val="nil"/>
                <w:left w:val="nil"/>
                <w:bottom w:val="nil"/>
                <w:right w:val="nil"/>
                <w:between w:val="nil"/>
              </w:pBdr>
              <w:spacing w:after="0"/>
              <w:jc w:val="center"/>
              <w:rPr>
                <w:sz w:val="18"/>
                <w:szCs w:val="18"/>
              </w:rPr>
            </w:pPr>
            <w:r>
              <w:rPr>
                <w:sz w:val="18"/>
                <w:szCs w:val="18"/>
              </w:rPr>
              <w:t xml:space="preserve">&lt; </w:t>
            </w:r>
            <w:r w:rsidR="00130BE0">
              <w:rPr>
                <w:sz w:val="18"/>
                <w:szCs w:val="18"/>
              </w:rPr>
              <w:t>3,3</w:t>
            </w:r>
            <w:r w:rsidR="00847273">
              <w:rPr>
                <w:sz w:val="18"/>
                <w:szCs w:val="18"/>
              </w:rPr>
              <w:t>69</w:t>
            </w:r>
            <w:r w:rsidR="00130BE0">
              <w:rPr>
                <w:sz w:val="18"/>
                <w:szCs w:val="18"/>
              </w:rPr>
              <w:t xml:space="preserve">,000 </w:t>
            </w:r>
            <w:proofErr w:type="gramStart"/>
            <w:r w:rsidR="00130BE0">
              <w:rPr>
                <w:sz w:val="18"/>
                <w:szCs w:val="18"/>
              </w:rPr>
              <w:t>turnover</w:t>
            </w:r>
            <w:proofErr w:type="gramEnd"/>
          </w:p>
        </w:tc>
        <w:tc>
          <w:tcPr>
            <w:tcW w:w="1890" w:type="dxa"/>
          </w:tcPr>
          <w:p w14:paraId="2E331B35" w14:textId="6B456559" w:rsidR="00130BE0" w:rsidRDefault="00130BE0" w:rsidP="004A3B61">
            <w:pPr>
              <w:widowControl w:val="0"/>
              <w:pBdr>
                <w:top w:val="nil"/>
                <w:left w:val="nil"/>
                <w:bottom w:val="nil"/>
                <w:right w:val="nil"/>
                <w:between w:val="nil"/>
              </w:pBdr>
              <w:spacing w:after="0"/>
              <w:jc w:val="center"/>
              <w:rPr>
                <w:sz w:val="18"/>
                <w:szCs w:val="18"/>
              </w:rPr>
            </w:pPr>
            <w:r>
              <w:rPr>
                <w:sz w:val="18"/>
                <w:szCs w:val="18"/>
              </w:rPr>
              <w:t>1.</w:t>
            </w:r>
            <w:r w:rsidR="00026D50">
              <w:rPr>
                <w:sz w:val="18"/>
                <w:szCs w:val="18"/>
              </w:rPr>
              <w:t>4</w:t>
            </w:r>
            <w:r>
              <w:rPr>
                <w:sz w:val="18"/>
                <w:szCs w:val="18"/>
              </w:rPr>
              <w:t>-1</w:t>
            </w:r>
            <w:r w:rsidR="00026D50">
              <w:rPr>
                <w:sz w:val="18"/>
                <w:szCs w:val="18"/>
              </w:rPr>
              <w:t>3</w:t>
            </w:r>
            <w:r>
              <w:rPr>
                <w:sz w:val="18"/>
                <w:szCs w:val="18"/>
              </w:rPr>
              <w:t>.</w:t>
            </w:r>
            <w:r w:rsidR="00026D50">
              <w:rPr>
                <w:sz w:val="18"/>
                <w:szCs w:val="18"/>
              </w:rPr>
              <w:t>7</w:t>
            </w:r>
          </w:p>
        </w:tc>
      </w:tr>
      <w:tr w:rsidR="00130BE0" w:rsidRPr="001C5712" w14:paraId="3222ABD5" w14:textId="77777777" w:rsidTr="000608BC">
        <w:trPr>
          <w:trHeight w:val="20"/>
        </w:trPr>
        <w:tc>
          <w:tcPr>
            <w:tcW w:w="1075" w:type="dxa"/>
            <w:shd w:val="clear" w:color="auto" w:fill="auto"/>
            <w:tcMar>
              <w:top w:w="100" w:type="dxa"/>
              <w:left w:w="100" w:type="dxa"/>
              <w:bottom w:w="100" w:type="dxa"/>
              <w:right w:w="100" w:type="dxa"/>
            </w:tcMar>
          </w:tcPr>
          <w:p w14:paraId="2B683811" w14:textId="77777777" w:rsidR="00130BE0" w:rsidRPr="00DE0335" w:rsidRDefault="00130BE0">
            <w:pPr>
              <w:widowControl w:val="0"/>
              <w:pBdr>
                <w:top w:val="nil"/>
                <w:left w:val="nil"/>
                <w:bottom w:val="nil"/>
                <w:right w:val="nil"/>
                <w:between w:val="nil"/>
              </w:pBdr>
              <w:spacing w:after="0"/>
              <w:ind w:left="0" w:hanging="10"/>
              <w:rPr>
                <w:bCs/>
                <w:sz w:val="18"/>
                <w:szCs w:val="18"/>
              </w:rPr>
            </w:pPr>
            <w:r w:rsidRPr="00DE0335">
              <w:rPr>
                <w:bCs/>
                <w:sz w:val="18"/>
                <w:szCs w:val="18"/>
              </w:rPr>
              <w:t>Malaysia</w:t>
            </w:r>
          </w:p>
        </w:tc>
        <w:tc>
          <w:tcPr>
            <w:tcW w:w="1260" w:type="dxa"/>
            <w:shd w:val="clear" w:color="auto" w:fill="auto"/>
            <w:tcMar>
              <w:top w:w="100" w:type="dxa"/>
              <w:left w:w="100" w:type="dxa"/>
              <w:bottom w:w="100" w:type="dxa"/>
              <w:right w:w="100" w:type="dxa"/>
            </w:tcMar>
          </w:tcPr>
          <w:p w14:paraId="583BBD1D" w14:textId="77777777" w:rsidR="00130BE0" w:rsidRPr="00DE0335" w:rsidRDefault="00130BE0">
            <w:pPr>
              <w:widowControl w:val="0"/>
              <w:pBdr>
                <w:top w:val="nil"/>
                <w:left w:val="nil"/>
                <w:bottom w:val="nil"/>
                <w:right w:val="nil"/>
                <w:between w:val="nil"/>
              </w:pBdr>
              <w:spacing w:after="0"/>
              <w:jc w:val="center"/>
              <w:rPr>
                <w:sz w:val="18"/>
                <w:szCs w:val="18"/>
              </w:rPr>
            </w:pPr>
            <w:r w:rsidRPr="00DE0335">
              <w:rPr>
                <w:sz w:val="18"/>
                <w:szCs w:val="18"/>
              </w:rPr>
              <w:t>15.0%; 17.0%</w:t>
            </w:r>
          </w:p>
        </w:tc>
        <w:tc>
          <w:tcPr>
            <w:tcW w:w="990" w:type="dxa"/>
          </w:tcPr>
          <w:p w14:paraId="06D2F2AE" w14:textId="77777777" w:rsidR="00130BE0" w:rsidRDefault="00130BE0">
            <w:pPr>
              <w:widowControl w:val="0"/>
              <w:pBdr>
                <w:top w:val="nil"/>
                <w:left w:val="nil"/>
                <w:bottom w:val="nil"/>
                <w:right w:val="nil"/>
                <w:between w:val="nil"/>
              </w:pBdr>
              <w:spacing w:after="0"/>
              <w:jc w:val="center"/>
              <w:rPr>
                <w:sz w:val="18"/>
                <w:szCs w:val="18"/>
              </w:rPr>
            </w:pPr>
            <w:r>
              <w:rPr>
                <w:sz w:val="18"/>
                <w:szCs w:val="18"/>
              </w:rPr>
              <w:t>24.0%</w:t>
            </w:r>
          </w:p>
        </w:tc>
        <w:tc>
          <w:tcPr>
            <w:tcW w:w="1710" w:type="dxa"/>
            <w:shd w:val="clear" w:color="auto" w:fill="auto"/>
            <w:tcMar>
              <w:top w:w="100" w:type="dxa"/>
              <w:left w:w="100" w:type="dxa"/>
              <w:bottom w:w="100" w:type="dxa"/>
              <w:right w:w="100" w:type="dxa"/>
            </w:tcMar>
          </w:tcPr>
          <w:p w14:paraId="65B4BB53" w14:textId="6144C3FC" w:rsidR="00130BE0" w:rsidRPr="00AA4611" w:rsidRDefault="00130BE0">
            <w:pPr>
              <w:widowControl w:val="0"/>
              <w:pBdr>
                <w:top w:val="nil"/>
                <w:left w:val="nil"/>
                <w:bottom w:val="nil"/>
                <w:right w:val="nil"/>
                <w:between w:val="nil"/>
              </w:pBdr>
              <w:spacing w:after="0"/>
              <w:ind w:left="0" w:hanging="10"/>
              <w:jc w:val="center"/>
              <w:rPr>
                <w:sz w:val="18"/>
                <w:szCs w:val="18"/>
              </w:rPr>
            </w:pPr>
            <w:r w:rsidRPr="00AA4611">
              <w:rPr>
                <w:sz w:val="18"/>
                <w:szCs w:val="18"/>
              </w:rPr>
              <w:t>3</w:t>
            </w:r>
            <w:r w:rsidR="00123E45">
              <w:rPr>
                <w:sz w:val="18"/>
                <w:szCs w:val="18"/>
              </w:rPr>
              <w:t>3</w:t>
            </w:r>
            <w:r w:rsidRPr="00AA4611">
              <w:rPr>
                <w:sz w:val="18"/>
                <w:szCs w:val="18"/>
              </w:rPr>
              <w:t>,000; 1</w:t>
            </w:r>
            <w:r w:rsidR="00623971">
              <w:rPr>
                <w:sz w:val="18"/>
                <w:szCs w:val="18"/>
              </w:rPr>
              <w:t>33</w:t>
            </w:r>
            <w:r w:rsidRPr="00AA4611">
              <w:rPr>
                <w:sz w:val="18"/>
                <w:szCs w:val="18"/>
              </w:rPr>
              <w:t>,000</w:t>
            </w:r>
          </w:p>
        </w:tc>
        <w:tc>
          <w:tcPr>
            <w:tcW w:w="2070" w:type="dxa"/>
          </w:tcPr>
          <w:p w14:paraId="5416027A" w14:textId="1EC31F40" w:rsidR="00130BE0" w:rsidRDefault="00515DD7">
            <w:pPr>
              <w:widowControl w:val="0"/>
              <w:pBdr>
                <w:top w:val="nil"/>
                <w:left w:val="nil"/>
                <w:bottom w:val="nil"/>
                <w:right w:val="nil"/>
                <w:between w:val="nil"/>
              </w:pBdr>
              <w:spacing w:after="0"/>
              <w:jc w:val="center"/>
              <w:rPr>
                <w:sz w:val="18"/>
                <w:szCs w:val="18"/>
              </w:rPr>
            </w:pPr>
            <w:r>
              <w:rPr>
                <w:sz w:val="18"/>
                <w:szCs w:val="18"/>
              </w:rPr>
              <w:t>&lt; 5</w:t>
            </w:r>
            <w:r w:rsidR="00623971">
              <w:rPr>
                <w:sz w:val="18"/>
                <w:szCs w:val="18"/>
              </w:rPr>
              <w:t>54</w:t>
            </w:r>
            <w:r>
              <w:rPr>
                <w:sz w:val="18"/>
                <w:szCs w:val="18"/>
              </w:rPr>
              <w:t>,000</w:t>
            </w:r>
            <w:r w:rsidR="000608BC">
              <w:rPr>
                <w:sz w:val="18"/>
                <w:szCs w:val="18"/>
              </w:rPr>
              <w:t xml:space="preserve"> </w:t>
            </w:r>
            <w:proofErr w:type="gramStart"/>
            <w:r w:rsidR="000608BC">
              <w:rPr>
                <w:sz w:val="18"/>
                <w:szCs w:val="18"/>
              </w:rPr>
              <w:t>capital</w:t>
            </w:r>
            <w:proofErr w:type="gramEnd"/>
          </w:p>
          <w:p w14:paraId="61834F3E" w14:textId="1BE06877" w:rsidR="000608BC" w:rsidRDefault="000608BC">
            <w:pPr>
              <w:widowControl w:val="0"/>
              <w:pBdr>
                <w:top w:val="nil"/>
                <w:left w:val="nil"/>
                <w:bottom w:val="nil"/>
                <w:right w:val="nil"/>
                <w:between w:val="nil"/>
              </w:pBdr>
              <w:spacing w:after="0"/>
              <w:jc w:val="center"/>
              <w:rPr>
                <w:sz w:val="18"/>
                <w:szCs w:val="18"/>
              </w:rPr>
            </w:pPr>
            <w:r>
              <w:rPr>
                <w:sz w:val="18"/>
                <w:szCs w:val="18"/>
              </w:rPr>
              <w:t>&lt; 1</w:t>
            </w:r>
            <w:r w:rsidR="00623971">
              <w:rPr>
                <w:sz w:val="18"/>
                <w:szCs w:val="18"/>
              </w:rPr>
              <w:t>1</w:t>
            </w:r>
            <w:r>
              <w:rPr>
                <w:sz w:val="18"/>
                <w:szCs w:val="18"/>
              </w:rPr>
              <w:t>,</w:t>
            </w:r>
            <w:r w:rsidR="00623971">
              <w:rPr>
                <w:sz w:val="18"/>
                <w:szCs w:val="18"/>
              </w:rPr>
              <w:t>076</w:t>
            </w:r>
            <w:r>
              <w:rPr>
                <w:sz w:val="18"/>
                <w:szCs w:val="18"/>
              </w:rPr>
              <w:t xml:space="preserve">,000 gross </w:t>
            </w:r>
            <w:proofErr w:type="gramStart"/>
            <w:r>
              <w:rPr>
                <w:sz w:val="18"/>
                <w:szCs w:val="18"/>
              </w:rPr>
              <w:t>income</w:t>
            </w:r>
            <w:proofErr w:type="gramEnd"/>
          </w:p>
        </w:tc>
        <w:tc>
          <w:tcPr>
            <w:tcW w:w="1890" w:type="dxa"/>
          </w:tcPr>
          <w:p w14:paraId="0583F38A" w14:textId="5071A95C" w:rsidR="00130BE0" w:rsidRDefault="00130BE0" w:rsidP="004A3B61">
            <w:pPr>
              <w:widowControl w:val="0"/>
              <w:pBdr>
                <w:top w:val="nil"/>
                <w:left w:val="nil"/>
                <w:bottom w:val="nil"/>
                <w:right w:val="nil"/>
                <w:between w:val="nil"/>
              </w:pBdr>
              <w:spacing w:after="0"/>
              <w:jc w:val="center"/>
              <w:rPr>
                <w:sz w:val="18"/>
                <w:szCs w:val="18"/>
              </w:rPr>
            </w:pPr>
            <w:r>
              <w:rPr>
                <w:sz w:val="18"/>
                <w:szCs w:val="18"/>
              </w:rPr>
              <w:t>2.</w:t>
            </w:r>
            <w:r w:rsidR="00D060E4">
              <w:rPr>
                <w:sz w:val="18"/>
                <w:szCs w:val="18"/>
              </w:rPr>
              <w:t>8</w:t>
            </w:r>
            <w:r>
              <w:rPr>
                <w:sz w:val="18"/>
                <w:szCs w:val="18"/>
              </w:rPr>
              <w:t>; 11.</w:t>
            </w:r>
            <w:r w:rsidR="00D060E4">
              <w:rPr>
                <w:sz w:val="18"/>
                <w:szCs w:val="18"/>
              </w:rPr>
              <w:t>3</w:t>
            </w:r>
          </w:p>
        </w:tc>
      </w:tr>
      <w:tr w:rsidR="00130BE0" w:rsidRPr="001C5712" w14:paraId="4DF107D7" w14:textId="77777777" w:rsidTr="000608BC">
        <w:trPr>
          <w:trHeight w:val="20"/>
        </w:trPr>
        <w:tc>
          <w:tcPr>
            <w:tcW w:w="1075" w:type="dxa"/>
            <w:shd w:val="clear" w:color="auto" w:fill="auto"/>
            <w:tcMar>
              <w:top w:w="100" w:type="dxa"/>
              <w:left w:w="100" w:type="dxa"/>
              <w:bottom w:w="100" w:type="dxa"/>
              <w:right w:w="100" w:type="dxa"/>
            </w:tcMar>
          </w:tcPr>
          <w:p w14:paraId="7726D4C8" w14:textId="77777777" w:rsidR="00130BE0" w:rsidRPr="00DE0335" w:rsidRDefault="00130BE0">
            <w:pPr>
              <w:widowControl w:val="0"/>
              <w:pBdr>
                <w:top w:val="nil"/>
                <w:left w:val="nil"/>
                <w:bottom w:val="nil"/>
                <w:right w:val="nil"/>
                <w:between w:val="nil"/>
              </w:pBdr>
              <w:spacing w:after="0"/>
              <w:rPr>
                <w:bCs/>
                <w:sz w:val="18"/>
                <w:szCs w:val="18"/>
              </w:rPr>
            </w:pPr>
            <w:r w:rsidRPr="00DE0335">
              <w:rPr>
                <w:bCs/>
                <w:sz w:val="18"/>
                <w:szCs w:val="18"/>
              </w:rPr>
              <w:t>Philippines</w:t>
            </w:r>
          </w:p>
        </w:tc>
        <w:tc>
          <w:tcPr>
            <w:tcW w:w="1260" w:type="dxa"/>
            <w:shd w:val="clear" w:color="auto" w:fill="auto"/>
            <w:tcMar>
              <w:top w:w="100" w:type="dxa"/>
              <w:left w:w="100" w:type="dxa"/>
              <w:bottom w:w="100" w:type="dxa"/>
              <w:right w:w="100" w:type="dxa"/>
            </w:tcMar>
          </w:tcPr>
          <w:p w14:paraId="27BDE4A9" w14:textId="77777777" w:rsidR="00130BE0" w:rsidRPr="00DE0335" w:rsidRDefault="00130BE0">
            <w:pPr>
              <w:widowControl w:val="0"/>
              <w:pBdr>
                <w:top w:val="nil"/>
                <w:left w:val="nil"/>
                <w:bottom w:val="nil"/>
                <w:right w:val="nil"/>
                <w:between w:val="nil"/>
              </w:pBdr>
              <w:spacing w:after="0"/>
              <w:jc w:val="center"/>
              <w:rPr>
                <w:sz w:val="18"/>
                <w:szCs w:val="18"/>
              </w:rPr>
            </w:pPr>
            <w:r w:rsidRPr="00DE0335">
              <w:rPr>
                <w:sz w:val="18"/>
                <w:szCs w:val="18"/>
              </w:rPr>
              <w:t>20.0%</w:t>
            </w:r>
          </w:p>
        </w:tc>
        <w:tc>
          <w:tcPr>
            <w:tcW w:w="990" w:type="dxa"/>
          </w:tcPr>
          <w:p w14:paraId="3AF9DF5E" w14:textId="77777777" w:rsidR="00130BE0" w:rsidRDefault="00130BE0">
            <w:pPr>
              <w:widowControl w:val="0"/>
              <w:pBdr>
                <w:top w:val="nil"/>
                <w:left w:val="nil"/>
                <w:bottom w:val="nil"/>
                <w:right w:val="nil"/>
                <w:between w:val="nil"/>
              </w:pBdr>
              <w:spacing w:after="0"/>
              <w:jc w:val="center"/>
              <w:rPr>
                <w:sz w:val="18"/>
                <w:szCs w:val="18"/>
              </w:rPr>
            </w:pPr>
            <w:r>
              <w:rPr>
                <w:sz w:val="18"/>
                <w:szCs w:val="18"/>
              </w:rPr>
              <w:t>25.0%</w:t>
            </w:r>
          </w:p>
        </w:tc>
        <w:tc>
          <w:tcPr>
            <w:tcW w:w="1710" w:type="dxa"/>
            <w:shd w:val="clear" w:color="auto" w:fill="auto"/>
            <w:tcMar>
              <w:top w:w="100" w:type="dxa"/>
              <w:left w:w="100" w:type="dxa"/>
              <w:bottom w:w="100" w:type="dxa"/>
              <w:right w:w="100" w:type="dxa"/>
            </w:tcMar>
          </w:tcPr>
          <w:p w14:paraId="1EFAE6ED" w14:textId="77777777" w:rsidR="00130BE0" w:rsidRPr="00AA4611" w:rsidRDefault="00130BE0">
            <w:pPr>
              <w:widowControl w:val="0"/>
              <w:pBdr>
                <w:top w:val="nil"/>
                <w:left w:val="nil"/>
                <w:bottom w:val="nil"/>
                <w:right w:val="nil"/>
                <w:between w:val="nil"/>
              </w:pBdr>
              <w:spacing w:after="0"/>
              <w:ind w:left="0" w:hanging="10"/>
              <w:jc w:val="center"/>
              <w:rPr>
                <w:sz w:val="18"/>
                <w:szCs w:val="18"/>
              </w:rPr>
            </w:pPr>
            <w:r w:rsidRPr="00AA4611">
              <w:rPr>
                <w:sz w:val="18"/>
                <w:szCs w:val="18"/>
              </w:rPr>
              <w:t>90,000</w:t>
            </w:r>
          </w:p>
        </w:tc>
        <w:tc>
          <w:tcPr>
            <w:tcW w:w="2070" w:type="dxa"/>
          </w:tcPr>
          <w:p w14:paraId="1A79DA68" w14:textId="72B4DF1D" w:rsidR="00130BE0" w:rsidRDefault="00130BE0">
            <w:pPr>
              <w:widowControl w:val="0"/>
              <w:pBdr>
                <w:top w:val="nil"/>
                <w:left w:val="nil"/>
                <w:bottom w:val="nil"/>
                <w:right w:val="nil"/>
                <w:between w:val="nil"/>
              </w:pBdr>
              <w:spacing w:after="0"/>
              <w:jc w:val="center"/>
              <w:rPr>
                <w:sz w:val="18"/>
                <w:szCs w:val="18"/>
              </w:rPr>
            </w:pPr>
            <w:r>
              <w:rPr>
                <w:sz w:val="18"/>
                <w:szCs w:val="18"/>
              </w:rPr>
              <w:t>&lt; 1,79</w:t>
            </w:r>
            <w:r w:rsidR="00465FDC">
              <w:rPr>
                <w:sz w:val="18"/>
                <w:szCs w:val="18"/>
              </w:rPr>
              <w:t>3</w:t>
            </w:r>
            <w:r>
              <w:rPr>
                <w:sz w:val="18"/>
                <w:szCs w:val="18"/>
              </w:rPr>
              <w:t xml:space="preserve">,000 </w:t>
            </w:r>
            <w:proofErr w:type="gramStart"/>
            <w:r>
              <w:rPr>
                <w:sz w:val="18"/>
                <w:szCs w:val="18"/>
              </w:rPr>
              <w:t>capital;</w:t>
            </w:r>
            <w:proofErr w:type="gramEnd"/>
          </w:p>
          <w:p w14:paraId="4FBC861F" w14:textId="76D29C63" w:rsidR="00130BE0" w:rsidRDefault="00130BE0">
            <w:pPr>
              <w:widowControl w:val="0"/>
              <w:pBdr>
                <w:top w:val="nil"/>
                <w:left w:val="nil"/>
                <w:bottom w:val="nil"/>
                <w:right w:val="nil"/>
                <w:between w:val="nil"/>
              </w:pBdr>
              <w:spacing w:after="0"/>
              <w:jc w:val="center"/>
              <w:rPr>
                <w:sz w:val="18"/>
                <w:szCs w:val="18"/>
              </w:rPr>
            </w:pPr>
            <w:r>
              <w:rPr>
                <w:sz w:val="18"/>
                <w:szCs w:val="18"/>
              </w:rPr>
              <w:t xml:space="preserve">&lt; 90,000 taxable </w:t>
            </w:r>
            <w:proofErr w:type="gramStart"/>
            <w:r>
              <w:rPr>
                <w:sz w:val="18"/>
                <w:szCs w:val="18"/>
              </w:rPr>
              <w:t>income</w:t>
            </w:r>
            <w:proofErr w:type="gramEnd"/>
          </w:p>
        </w:tc>
        <w:tc>
          <w:tcPr>
            <w:tcW w:w="1890" w:type="dxa"/>
          </w:tcPr>
          <w:p w14:paraId="0E7231E6" w14:textId="30D98096" w:rsidR="00130BE0" w:rsidRDefault="00130BE0" w:rsidP="004A3B61">
            <w:pPr>
              <w:widowControl w:val="0"/>
              <w:pBdr>
                <w:top w:val="nil"/>
                <w:left w:val="nil"/>
                <w:bottom w:val="nil"/>
                <w:right w:val="nil"/>
                <w:between w:val="nil"/>
              </w:pBdr>
              <w:spacing w:after="0"/>
              <w:jc w:val="center"/>
              <w:rPr>
                <w:sz w:val="18"/>
                <w:szCs w:val="18"/>
              </w:rPr>
            </w:pPr>
            <w:r>
              <w:rPr>
                <w:sz w:val="18"/>
                <w:szCs w:val="18"/>
              </w:rPr>
              <w:t>25.</w:t>
            </w:r>
            <w:r w:rsidR="000451A8">
              <w:rPr>
                <w:sz w:val="18"/>
                <w:szCs w:val="18"/>
              </w:rPr>
              <w:t>3</w:t>
            </w:r>
          </w:p>
        </w:tc>
      </w:tr>
      <w:tr w:rsidR="00130BE0" w:rsidRPr="0055431A" w14:paraId="57DA0918" w14:textId="77777777" w:rsidTr="000608BC">
        <w:trPr>
          <w:trHeight w:val="20"/>
        </w:trPr>
        <w:tc>
          <w:tcPr>
            <w:tcW w:w="1075" w:type="dxa"/>
            <w:shd w:val="clear" w:color="auto" w:fill="auto"/>
            <w:tcMar>
              <w:top w:w="100" w:type="dxa"/>
              <w:left w:w="100" w:type="dxa"/>
              <w:bottom w:w="100" w:type="dxa"/>
              <w:right w:w="100" w:type="dxa"/>
            </w:tcMar>
          </w:tcPr>
          <w:p w14:paraId="32C6A14B" w14:textId="77777777" w:rsidR="00130BE0" w:rsidRPr="0055431A" w:rsidRDefault="00130BE0">
            <w:pPr>
              <w:widowControl w:val="0"/>
              <w:pBdr>
                <w:top w:val="nil"/>
                <w:left w:val="nil"/>
                <w:bottom w:val="nil"/>
                <w:right w:val="nil"/>
                <w:between w:val="nil"/>
              </w:pBdr>
              <w:spacing w:after="0"/>
              <w:rPr>
                <w:bCs/>
                <w:sz w:val="18"/>
                <w:szCs w:val="18"/>
              </w:rPr>
            </w:pPr>
            <w:r w:rsidRPr="0055431A">
              <w:rPr>
                <w:bCs/>
                <w:sz w:val="18"/>
                <w:szCs w:val="18"/>
              </w:rPr>
              <w:t>Singapore</w:t>
            </w:r>
          </w:p>
        </w:tc>
        <w:tc>
          <w:tcPr>
            <w:tcW w:w="1260" w:type="dxa"/>
            <w:shd w:val="clear" w:color="auto" w:fill="auto"/>
            <w:tcMar>
              <w:top w:w="100" w:type="dxa"/>
              <w:left w:w="100" w:type="dxa"/>
              <w:bottom w:w="100" w:type="dxa"/>
              <w:right w:w="100" w:type="dxa"/>
            </w:tcMar>
          </w:tcPr>
          <w:p w14:paraId="09267A17" w14:textId="6566685D" w:rsidR="00130BE0" w:rsidRPr="0055431A" w:rsidRDefault="00130BE0">
            <w:pPr>
              <w:widowControl w:val="0"/>
              <w:pBdr>
                <w:top w:val="nil"/>
                <w:left w:val="nil"/>
                <w:bottom w:val="nil"/>
                <w:right w:val="nil"/>
                <w:between w:val="nil"/>
              </w:pBdr>
              <w:spacing w:after="0"/>
              <w:jc w:val="center"/>
              <w:rPr>
                <w:sz w:val="18"/>
                <w:szCs w:val="18"/>
              </w:rPr>
            </w:pPr>
            <w:r w:rsidRPr="0055431A">
              <w:rPr>
                <w:sz w:val="18"/>
                <w:szCs w:val="18"/>
              </w:rPr>
              <w:t>4.</w:t>
            </w:r>
            <w:r w:rsidR="00576FC4">
              <w:rPr>
                <w:sz w:val="18"/>
                <w:szCs w:val="18"/>
              </w:rPr>
              <w:t>25</w:t>
            </w:r>
            <w:r w:rsidRPr="0055431A">
              <w:rPr>
                <w:sz w:val="18"/>
                <w:szCs w:val="18"/>
              </w:rPr>
              <w:t>%; 8.5%</w:t>
            </w:r>
          </w:p>
        </w:tc>
        <w:tc>
          <w:tcPr>
            <w:tcW w:w="990" w:type="dxa"/>
          </w:tcPr>
          <w:p w14:paraId="24266E8B" w14:textId="77777777" w:rsidR="00130BE0" w:rsidRPr="0055431A" w:rsidRDefault="00130BE0">
            <w:pPr>
              <w:widowControl w:val="0"/>
              <w:pBdr>
                <w:top w:val="nil"/>
                <w:left w:val="nil"/>
                <w:bottom w:val="nil"/>
                <w:right w:val="nil"/>
                <w:between w:val="nil"/>
              </w:pBdr>
              <w:spacing w:after="0"/>
              <w:jc w:val="center"/>
              <w:rPr>
                <w:sz w:val="18"/>
                <w:szCs w:val="18"/>
              </w:rPr>
            </w:pPr>
            <w:r w:rsidRPr="0055431A">
              <w:rPr>
                <w:sz w:val="18"/>
                <w:szCs w:val="18"/>
              </w:rPr>
              <w:t>17.0%</w:t>
            </w:r>
          </w:p>
        </w:tc>
        <w:tc>
          <w:tcPr>
            <w:tcW w:w="1710" w:type="dxa"/>
            <w:shd w:val="clear" w:color="auto" w:fill="auto"/>
            <w:tcMar>
              <w:top w:w="100" w:type="dxa"/>
              <w:left w:w="100" w:type="dxa"/>
              <w:bottom w:w="100" w:type="dxa"/>
              <w:right w:w="100" w:type="dxa"/>
            </w:tcMar>
          </w:tcPr>
          <w:p w14:paraId="716B8816" w14:textId="77777777" w:rsidR="00130BE0" w:rsidRPr="0055431A" w:rsidRDefault="00130BE0">
            <w:pPr>
              <w:widowControl w:val="0"/>
              <w:pBdr>
                <w:top w:val="nil"/>
                <w:left w:val="nil"/>
                <w:bottom w:val="nil"/>
                <w:right w:val="nil"/>
                <w:between w:val="nil"/>
              </w:pBdr>
              <w:spacing w:after="0"/>
              <w:ind w:left="0" w:hanging="10"/>
              <w:jc w:val="center"/>
              <w:rPr>
                <w:sz w:val="18"/>
                <w:szCs w:val="18"/>
              </w:rPr>
            </w:pPr>
            <w:r w:rsidRPr="0055431A">
              <w:rPr>
                <w:sz w:val="18"/>
                <w:szCs w:val="18"/>
              </w:rPr>
              <w:t xml:space="preserve">(i) 74,000; </w:t>
            </w:r>
            <w:proofErr w:type="gramStart"/>
            <w:r w:rsidRPr="0055431A">
              <w:rPr>
                <w:sz w:val="18"/>
                <w:szCs w:val="18"/>
              </w:rPr>
              <w:t>148,000;</w:t>
            </w:r>
            <w:proofErr w:type="gramEnd"/>
          </w:p>
          <w:p w14:paraId="455099AB" w14:textId="62E052DA" w:rsidR="00130BE0" w:rsidRPr="0055431A" w:rsidRDefault="00130BE0" w:rsidP="00BE1598">
            <w:pPr>
              <w:widowControl w:val="0"/>
              <w:pBdr>
                <w:top w:val="nil"/>
                <w:left w:val="nil"/>
                <w:bottom w:val="nil"/>
                <w:right w:val="nil"/>
                <w:between w:val="nil"/>
              </w:pBdr>
              <w:spacing w:after="0"/>
              <w:ind w:left="0" w:hanging="10"/>
              <w:jc w:val="center"/>
              <w:rPr>
                <w:sz w:val="18"/>
                <w:szCs w:val="18"/>
              </w:rPr>
            </w:pPr>
            <w:r w:rsidRPr="0055431A">
              <w:rPr>
                <w:sz w:val="18"/>
                <w:szCs w:val="18"/>
              </w:rPr>
              <w:t>(ii) 7,000; 148,000</w:t>
            </w:r>
          </w:p>
        </w:tc>
        <w:tc>
          <w:tcPr>
            <w:tcW w:w="2070" w:type="dxa"/>
          </w:tcPr>
          <w:p w14:paraId="402421B1" w14:textId="5DC1A0BE" w:rsidR="00130BE0" w:rsidRPr="0055431A" w:rsidRDefault="00130BE0" w:rsidP="0055431A">
            <w:pPr>
              <w:widowControl w:val="0"/>
              <w:pBdr>
                <w:top w:val="nil"/>
                <w:left w:val="nil"/>
                <w:bottom w:val="nil"/>
                <w:right w:val="nil"/>
                <w:between w:val="nil"/>
              </w:pBdr>
              <w:spacing w:after="0"/>
              <w:ind w:left="720" w:hanging="720"/>
              <w:jc w:val="center"/>
              <w:rPr>
                <w:sz w:val="18"/>
                <w:szCs w:val="18"/>
              </w:rPr>
            </w:pPr>
            <w:r w:rsidRPr="0055431A">
              <w:rPr>
                <w:sz w:val="18"/>
                <w:szCs w:val="18"/>
              </w:rPr>
              <w:t xml:space="preserve">(i) First 3 </w:t>
            </w:r>
            <w:proofErr w:type="gramStart"/>
            <w:r w:rsidRPr="0055431A">
              <w:rPr>
                <w:sz w:val="18"/>
                <w:szCs w:val="18"/>
              </w:rPr>
              <w:t>years;</w:t>
            </w:r>
            <w:proofErr w:type="gramEnd"/>
          </w:p>
          <w:p w14:paraId="452D64B5" w14:textId="08C68C49" w:rsidR="00130BE0" w:rsidRPr="0055431A" w:rsidRDefault="00130BE0" w:rsidP="0055431A">
            <w:pPr>
              <w:widowControl w:val="0"/>
              <w:pBdr>
                <w:top w:val="nil"/>
                <w:left w:val="nil"/>
                <w:bottom w:val="nil"/>
                <w:right w:val="nil"/>
                <w:between w:val="nil"/>
              </w:pBdr>
              <w:spacing w:after="0"/>
              <w:ind w:left="720" w:hanging="720"/>
              <w:jc w:val="center"/>
              <w:rPr>
                <w:sz w:val="18"/>
                <w:szCs w:val="18"/>
              </w:rPr>
            </w:pPr>
            <w:r w:rsidRPr="0055431A">
              <w:rPr>
                <w:sz w:val="18"/>
                <w:szCs w:val="18"/>
              </w:rPr>
              <w:t>(ii) Years 4+</w:t>
            </w:r>
          </w:p>
        </w:tc>
        <w:tc>
          <w:tcPr>
            <w:tcW w:w="1890" w:type="dxa"/>
          </w:tcPr>
          <w:p w14:paraId="431CCCA4" w14:textId="77777777" w:rsidR="00130BE0" w:rsidRDefault="00C33108" w:rsidP="004A3B61">
            <w:pPr>
              <w:widowControl w:val="0"/>
              <w:pBdr>
                <w:top w:val="nil"/>
                <w:left w:val="nil"/>
                <w:bottom w:val="nil"/>
                <w:right w:val="nil"/>
                <w:between w:val="nil"/>
              </w:pBdr>
              <w:spacing w:after="0"/>
              <w:ind w:left="720" w:hanging="720"/>
              <w:jc w:val="center"/>
              <w:rPr>
                <w:sz w:val="18"/>
                <w:szCs w:val="18"/>
              </w:rPr>
            </w:pPr>
            <w:r>
              <w:rPr>
                <w:sz w:val="18"/>
                <w:szCs w:val="18"/>
              </w:rPr>
              <w:t>0.8</w:t>
            </w:r>
            <w:r w:rsidR="00B85BFE">
              <w:rPr>
                <w:sz w:val="18"/>
                <w:szCs w:val="18"/>
              </w:rPr>
              <w:t xml:space="preserve">, </w:t>
            </w:r>
            <w:proofErr w:type="gramStart"/>
            <w:r>
              <w:rPr>
                <w:sz w:val="18"/>
                <w:szCs w:val="18"/>
              </w:rPr>
              <w:t>1.7</w:t>
            </w:r>
            <w:r w:rsidR="00B85BFE">
              <w:rPr>
                <w:sz w:val="18"/>
                <w:szCs w:val="18"/>
              </w:rPr>
              <w:t>;</w:t>
            </w:r>
            <w:proofErr w:type="gramEnd"/>
            <w:r w:rsidR="00B85BFE">
              <w:rPr>
                <w:sz w:val="18"/>
                <w:szCs w:val="18"/>
              </w:rPr>
              <w:t xml:space="preserve"> </w:t>
            </w:r>
          </w:p>
          <w:p w14:paraId="797D52AF" w14:textId="5946B2D8" w:rsidR="00B85BFE" w:rsidRPr="0055431A" w:rsidRDefault="00B85BFE" w:rsidP="004A3B61">
            <w:pPr>
              <w:widowControl w:val="0"/>
              <w:pBdr>
                <w:top w:val="nil"/>
                <w:left w:val="nil"/>
                <w:bottom w:val="nil"/>
                <w:right w:val="nil"/>
                <w:between w:val="nil"/>
              </w:pBdr>
              <w:spacing w:after="0"/>
              <w:ind w:left="720" w:hanging="720"/>
              <w:jc w:val="center"/>
              <w:rPr>
                <w:sz w:val="18"/>
                <w:szCs w:val="18"/>
              </w:rPr>
            </w:pPr>
            <w:r>
              <w:rPr>
                <w:sz w:val="18"/>
                <w:szCs w:val="18"/>
              </w:rPr>
              <w:t>0.1, 1.7</w:t>
            </w:r>
          </w:p>
        </w:tc>
      </w:tr>
      <w:tr w:rsidR="00130BE0" w:rsidRPr="001C5712" w14:paraId="50AF8BF5" w14:textId="77777777" w:rsidTr="000608BC">
        <w:trPr>
          <w:trHeight w:val="20"/>
        </w:trPr>
        <w:tc>
          <w:tcPr>
            <w:tcW w:w="1075" w:type="dxa"/>
            <w:shd w:val="clear" w:color="auto" w:fill="auto"/>
            <w:tcMar>
              <w:top w:w="100" w:type="dxa"/>
              <w:left w:w="100" w:type="dxa"/>
              <w:bottom w:w="100" w:type="dxa"/>
              <w:right w:w="100" w:type="dxa"/>
            </w:tcMar>
          </w:tcPr>
          <w:p w14:paraId="629BD1EE" w14:textId="77777777" w:rsidR="00130BE0" w:rsidRPr="00DE0335" w:rsidRDefault="00130BE0">
            <w:pPr>
              <w:widowControl w:val="0"/>
              <w:pBdr>
                <w:top w:val="nil"/>
                <w:left w:val="nil"/>
                <w:bottom w:val="nil"/>
                <w:right w:val="nil"/>
                <w:between w:val="nil"/>
              </w:pBdr>
              <w:spacing w:after="0"/>
              <w:rPr>
                <w:bCs/>
                <w:sz w:val="18"/>
                <w:szCs w:val="18"/>
              </w:rPr>
            </w:pPr>
            <w:r w:rsidRPr="00DE0335">
              <w:rPr>
                <w:bCs/>
                <w:sz w:val="18"/>
                <w:szCs w:val="18"/>
              </w:rPr>
              <w:t>Thailand</w:t>
            </w:r>
            <w:r w:rsidRPr="003B7A6C">
              <w:rPr>
                <w:bCs/>
                <w:sz w:val="18"/>
                <w:szCs w:val="18"/>
                <w:vertAlign w:val="superscript"/>
              </w:rPr>
              <w:t>(</w:t>
            </w:r>
            <w:r>
              <w:rPr>
                <w:bCs/>
                <w:sz w:val="18"/>
                <w:szCs w:val="18"/>
                <w:vertAlign w:val="superscript"/>
              </w:rPr>
              <w:t>d</w:t>
            </w:r>
            <w:r w:rsidRPr="003B7A6C">
              <w:rPr>
                <w:bCs/>
                <w:sz w:val="18"/>
                <w:szCs w:val="18"/>
                <w:vertAlign w:val="superscript"/>
              </w:rPr>
              <w:t>)</w:t>
            </w:r>
          </w:p>
        </w:tc>
        <w:tc>
          <w:tcPr>
            <w:tcW w:w="1260" w:type="dxa"/>
            <w:shd w:val="clear" w:color="auto" w:fill="auto"/>
            <w:tcMar>
              <w:top w:w="100" w:type="dxa"/>
              <w:left w:w="100" w:type="dxa"/>
              <w:bottom w:w="100" w:type="dxa"/>
              <w:right w:w="100" w:type="dxa"/>
            </w:tcMar>
          </w:tcPr>
          <w:p w14:paraId="0ED18D1A" w14:textId="77777777" w:rsidR="00130BE0" w:rsidRPr="00DE0335" w:rsidRDefault="00130BE0">
            <w:pPr>
              <w:widowControl w:val="0"/>
              <w:pBdr>
                <w:top w:val="nil"/>
                <w:left w:val="nil"/>
                <w:bottom w:val="nil"/>
                <w:right w:val="nil"/>
                <w:between w:val="nil"/>
              </w:pBdr>
              <w:spacing w:after="0"/>
              <w:jc w:val="center"/>
              <w:rPr>
                <w:sz w:val="18"/>
                <w:szCs w:val="18"/>
              </w:rPr>
            </w:pPr>
            <w:r w:rsidRPr="00DE0335">
              <w:rPr>
                <w:sz w:val="18"/>
                <w:szCs w:val="18"/>
              </w:rPr>
              <w:t>0.0%; 15.0%</w:t>
            </w:r>
          </w:p>
        </w:tc>
        <w:tc>
          <w:tcPr>
            <w:tcW w:w="990" w:type="dxa"/>
          </w:tcPr>
          <w:p w14:paraId="181ED8AB" w14:textId="77777777" w:rsidR="00130BE0" w:rsidRDefault="00130BE0">
            <w:pPr>
              <w:widowControl w:val="0"/>
              <w:pBdr>
                <w:top w:val="nil"/>
                <w:left w:val="nil"/>
                <w:bottom w:val="nil"/>
                <w:right w:val="nil"/>
                <w:between w:val="nil"/>
              </w:pBdr>
              <w:spacing w:after="0"/>
              <w:jc w:val="center"/>
              <w:rPr>
                <w:sz w:val="18"/>
                <w:szCs w:val="18"/>
              </w:rPr>
            </w:pPr>
            <w:r>
              <w:rPr>
                <w:sz w:val="18"/>
                <w:szCs w:val="18"/>
              </w:rPr>
              <w:t>20.0%</w:t>
            </w:r>
          </w:p>
        </w:tc>
        <w:tc>
          <w:tcPr>
            <w:tcW w:w="1710" w:type="dxa"/>
            <w:shd w:val="clear" w:color="auto" w:fill="auto"/>
            <w:tcMar>
              <w:top w:w="100" w:type="dxa"/>
              <w:left w:w="100" w:type="dxa"/>
              <w:bottom w:w="100" w:type="dxa"/>
              <w:right w:w="100" w:type="dxa"/>
            </w:tcMar>
          </w:tcPr>
          <w:p w14:paraId="726AD0C4" w14:textId="58531F02" w:rsidR="00130BE0" w:rsidRPr="00AA4611" w:rsidRDefault="00130BE0">
            <w:pPr>
              <w:widowControl w:val="0"/>
              <w:pBdr>
                <w:top w:val="nil"/>
                <w:left w:val="nil"/>
                <w:bottom w:val="nil"/>
                <w:right w:val="nil"/>
                <w:between w:val="nil"/>
              </w:pBdr>
              <w:spacing w:after="0"/>
              <w:ind w:left="0" w:hanging="10"/>
              <w:jc w:val="center"/>
              <w:rPr>
                <w:sz w:val="18"/>
                <w:szCs w:val="18"/>
              </w:rPr>
            </w:pPr>
            <w:r w:rsidRPr="00AA4611">
              <w:rPr>
                <w:sz w:val="18"/>
                <w:szCs w:val="18"/>
              </w:rPr>
              <w:t>9,000; 8</w:t>
            </w:r>
            <w:r w:rsidR="00942815">
              <w:rPr>
                <w:sz w:val="18"/>
                <w:szCs w:val="18"/>
              </w:rPr>
              <w:t>8</w:t>
            </w:r>
            <w:r w:rsidRPr="00AA4611">
              <w:rPr>
                <w:sz w:val="18"/>
                <w:szCs w:val="18"/>
              </w:rPr>
              <w:t>,000</w:t>
            </w:r>
          </w:p>
        </w:tc>
        <w:tc>
          <w:tcPr>
            <w:tcW w:w="2070" w:type="dxa"/>
          </w:tcPr>
          <w:p w14:paraId="06D7D556" w14:textId="5AC41972" w:rsidR="00130BE0" w:rsidRDefault="00130BE0">
            <w:pPr>
              <w:widowControl w:val="0"/>
              <w:pBdr>
                <w:top w:val="nil"/>
                <w:left w:val="nil"/>
                <w:bottom w:val="nil"/>
                <w:right w:val="nil"/>
                <w:between w:val="nil"/>
              </w:pBdr>
              <w:spacing w:after="0"/>
              <w:ind w:left="720" w:hanging="720"/>
              <w:jc w:val="center"/>
              <w:rPr>
                <w:sz w:val="18"/>
                <w:szCs w:val="18"/>
              </w:rPr>
            </w:pPr>
            <w:r>
              <w:rPr>
                <w:sz w:val="18"/>
                <w:szCs w:val="18"/>
              </w:rPr>
              <w:t>&lt; 14</w:t>
            </w:r>
            <w:r w:rsidR="00022CD3">
              <w:rPr>
                <w:sz w:val="18"/>
                <w:szCs w:val="18"/>
              </w:rPr>
              <w:t>6</w:t>
            </w:r>
            <w:r>
              <w:rPr>
                <w:sz w:val="18"/>
                <w:szCs w:val="18"/>
              </w:rPr>
              <w:t xml:space="preserve">,000 </w:t>
            </w:r>
            <w:proofErr w:type="gramStart"/>
            <w:r>
              <w:rPr>
                <w:sz w:val="18"/>
                <w:szCs w:val="18"/>
              </w:rPr>
              <w:t>capital</w:t>
            </w:r>
            <w:r w:rsidR="00230A86">
              <w:rPr>
                <w:sz w:val="18"/>
                <w:szCs w:val="18"/>
              </w:rPr>
              <w:t>;</w:t>
            </w:r>
            <w:proofErr w:type="gramEnd"/>
          </w:p>
          <w:p w14:paraId="211FE789" w14:textId="44008BFC" w:rsidR="00130BE0" w:rsidRDefault="00130BE0">
            <w:pPr>
              <w:widowControl w:val="0"/>
              <w:pBdr>
                <w:top w:val="nil"/>
                <w:left w:val="nil"/>
                <w:bottom w:val="nil"/>
                <w:right w:val="nil"/>
                <w:between w:val="nil"/>
              </w:pBdr>
              <w:spacing w:after="0"/>
              <w:ind w:left="720" w:hanging="720"/>
              <w:jc w:val="center"/>
              <w:rPr>
                <w:sz w:val="18"/>
                <w:szCs w:val="18"/>
              </w:rPr>
            </w:pPr>
            <w:r>
              <w:rPr>
                <w:sz w:val="18"/>
                <w:szCs w:val="18"/>
              </w:rPr>
              <w:t>&lt; 8</w:t>
            </w:r>
            <w:r w:rsidR="00022CD3">
              <w:rPr>
                <w:sz w:val="18"/>
                <w:szCs w:val="18"/>
              </w:rPr>
              <w:t>77</w:t>
            </w:r>
            <w:r>
              <w:rPr>
                <w:sz w:val="18"/>
                <w:szCs w:val="18"/>
              </w:rPr>
              <w:t xml:space="preserve">,000 </w:t>
            </w:r>
            <w:proofErr w:type="gramStart"/>
            <w:r>
              <w:rPr>
                <w:sz w:val="18"/>
                <w:szCs w:val="18"/>
              </w:rPr>
              <w:t>turnover</w:t>
            </w:r>
            <w:proofErr w:type="gramEnd"/>
          </w:p>
        </w:tc>
        <w:tc>
          <w:tcPr>
            <w:tcW w:w="1890" w:type="dxa"/>
          </w:tcPr>
          <w:p w14:paraId="60023B73" w14:textId="77AEF2AA" w:rsidR="00130BE0" w:rsidRDefault="00130BE0" w:rsidP="004A3B61">
            <w:pPr>
              <w:widowControl w:val="0"/>
              <w:pBdr>
                <w:top w:val="nil"/>
                <w:left w:val="nil"/>
                <w:bottom w:val="nil"/>
                <w:right w:val="nil"/>
                <w:between w:val="nil"/>
              </w:pBdr>
              <w:spacing w:after="0"/>
              <w:ind w:left="720" w:hanging="720"/>
              <w:jc w:val="center"/>
              <w:rPr>
                <w:sz w:val="18"/>
                <w:szCs w:val="18"/>
              </w:rPr>
            </w:pPr>
            <w:r>
              <w:rPr>
                <w:sz w:val="18"/>
                <w:szCs w:val="18"/>
              </w:rPr>
              <w:t>1.</w:t>
            </w:r>
            <w:r w:rsidR="00942815">
              <w:rPr>
                <w:sz w:val="18"/>
                <w:szCs w:val="18"/>
              </w:rPr>
              <w:t>3</w:t>
            </w:r>
            <w:r>
              <w:rPr>
                <w:sz w:val="18"/>
                <w:szCs w:val="18"/>
              </w:rPr>
              <w:t>; 12.</w:t>
            </w:r>
            <w:r w:rsidR="00D61168">
              <w:rPr>
                <w:sz w:val="18"/>
                <w:szCs w:val="18"/>
              </w:rPr>
              <w:t>7</w:t>
            </w:r>
          </w:p>
        </w:tc>
      </w:tr>
    </w:tbl>
    <w:p w14:paraId="79992665" w14:textId="40379283" w:rsidR="00130BE0" w:rsidRPr="000451A8" w:rsidRDefault="00130BE0" w:rsidP="00130BE0">
      <w:pPr>
        <w:ind w:left="0" w:firstLine="0"/>
        <w:jc w:val="both"/>
        <w:rPr>
          <w:sz w:val="18"/>
          <w:szCs w:val="18"/>
        </w:rPr>
      </w:pPr>
      <w:r w:rsidRPr="00267BE6">
        <w:rPr>
          <w:i/>
          <w:iCs/>
          <w:sz w:val="18"/>
          <w:szCs w:val="18"/>
        </w:rPr>
        <w:t>Notes</w:t>
      </w:r>
      <w:r w:rsidRPr="0017497E">
        <w:rPr>
          <w:sz w:val="18"/>
          <w:szCs w:val="18"/>
        </w:rPr>
        <w:t xml:space="preserve">: </w:t>
      </w:r>
      <w:r w:rsidRPr="00FF7C9A">
        <w:rPr>
          <w:sz w:val="18"/>
          <w:szCs w:val="18"/>
          <w:vertAlign w:val="superscript"/>
        </w:rPr>
        <w:t>(a)</w:t>
      </w:r>
      <w:r>
        <w:rPr>
          <w:sz w:val="18"/>
          <w:szCs w:val="18"/>
        </w:rPr>
        <w:t xml:space="preserve"> Applicable taxable income data are rounded to the nearest US$1,000 based on </w:t>
      </w:r>
      <w:r w:rsidR="002F3B7E">
        <w:rPr>
          <w:sz w:val="18"/>
          <w:szCs w:val="18"/>
        </w:rPr>
        <w:t xml:space="preserve">average </w:t>
      </w:r>
      <w:r>
        <w:rPr>
          <w:sz w:val="18"/>
          <w:szCs w:val="18"/>
        </w:rPr>
        <w:t xml:space="preserve">exchange rates in May 2023. </w:t>
      </w:r>
      <w:r>
        <w:rPr>
          <w:sz w:val="18"/>
          <w:szCs w:val="18"/>
          <w:vertAlign w:val="superscript"/>
        </w:rPr>
        <w:t xml:space="preserve">(b) </w:t>
      </w:r>
      <w:r>
        <w:rPr>
          <w:sz w:val="18"/>
          <w:szCs w:val="18"/>
        </w:rPr>
        <w:t xml:space="preserve">For tiered schemes, the first-listed reduced rate applies on taxable income up to the first-listed applicable income level; the second-listed reduced rate applies to any additional income up to the second applicable income level. For Indonesia, the range is calculated based on net profit margins of 2 to 20 percent, for a firm with revenues above </w:t>
      </w:r>
      <w:r w:rsidR="00D42617">
        <w:rPr>
          <w:sz w:val="18"/>
          <w:szCs w:val="18"/>
        </w:rPr>
        <w:t>IDR 4.8 billion</w:t>
      </w:r>
      <w:r>
        <w:rPr>
          <w:sz w:val="18"/>
          <w:szCs w:val="18"/>
        </w:rPr>
        <w:t xml:space="preserve">. For smaller firms, the applicable range is whatever their taxable income is. </w:t>
      </w:r>
      <w:r w:rsidR="00B745FD">
        <w:rPr>
          <w:sz w:val="18"/>
          <w:szCs w:val="18"/>
        </w:rPr>
        <w:t>All figures rounded to the nearest US$1,000.</w:t>
      </w:r>
      <w:r w:rsidR="00B745FD">
        <w:rPr>
          <w:sz w:val="18"/>
          <w:szCs w:val="18"/>
          <w:vertAlign w:val="superscript"/>
        </w:rPr>
        <w:t xml:space="preserve"> </w:t>
      </w:r>
      <w:r>
        <w:rPr>
          <w:sz w:val="18"/>
          <w:szCs w:val="18"/>
          <w:vertAlign w:val="superscript"/>
        </w:rPr>
        <w:t xml:space="preserve">(c) </w:t>
      </w:r>
      <w:r>
        <w:rPr>
          <w:sz w:val="18"/>
          <w:szCs w:val="18"/>
        </w:rPr>
        <w:t xml:space="preserve">Firms that exceed the eligibility threshold cannot use the reduced rate scheme. </w:t>
      </w:r>
      <w:r w:rsidR="00CA18F6">
        <w:rPr>
          <w:sz w:val="18"/>
          <w:szCs w:val="18"/>
        </w:rPr>
        <w:t xml:space="preserve">All figures rounded to the </w:t>
      </w:r>
      <w:r w:rsidR="00CA18F6">
        <w:rPr>
          <w:sz w:val="18"/>
          <w:szCs w:val="18"/>
        </w:rPr>
        <w:lastRenderedPageBreak/>
        <w:t xml:space="preserve">nearest US$1,000. </w:t>
      </w:r>
      <w:r w:rsidRPr="003B7A6C">
        <w:rPr>
          <w:sz w:val="18"/>
          <w:szCs w:val="18"/>
          <w:vertAlign w:val="superscript"/>
        </w:rPr>
        <w:t>(</w:t>
      </w:r>
      <w:r>
        <w:rPr>
          <w:sz w:val="18"/>
          <w:szCs w:val="18"/>
          <w:vertAlign w:val="superscript"/>
        </w:rPr>
        <w:t>d</w:t>
      </w:r>
      <w:r w:rsidRPr="003B7A6C">
        <w:rPr>
          <w:sz w:val="18"/>
          <w:szCs w:val="18"/>
          <w:vertAlign w:val="superscript"/>
        </w:rPr>
        <w:t>)</w:t>
      </w:r>
      <w:r>
        <w:rPr>
          <w:sz w:val="18"/>
          <w:szCs w:val="18"/>
        </w:rPr>
        <w:t xml:space="preserve"> Thailand’s scheme offers 0 percent on the first </w:t>
      </w:r>
      <w:r w:rsidR="0008243B">
        <w:rPr>
          <w:sz w:val="18"/>
          <w:szCs w:val="18"/>
        </w:rPr>
        <w:t xml:space="preserve">THB 300,000 </w:t>
      </w:r>
      <w:r>
        <w:rPr>
          <w:sz w:val="18"/>
          <w:szCs w:val="18"/>
        </w:rPr>
        <w:t xml:space="preserve">of taxable income, 15 percent on additional income up to </w:t>
      </w:r>
      <w:r w:rsidR="0008243B">
        <w:rPr>
          <w:sz w:val="18"/>
          <w:szCs w:val="18"/>
        </w:rPr>
        <w:t>THB 3,000</w:t>
      </w:r>
      <w:r>
        <w:rPr>
          <w:sz w:val="18"/>
          <w:szCs w:val="18"/>
        </w:rPr>
        <w:t xml:space="preserve">,000, and 20 percent on </w:t>
      </w:r>
      <w:r w:rsidR="0008243B">
        <w:rPr>
          <w:sz w:val="18"/>
          <w:szCs w:val="18"/>
        </w:rPr>
        <w:t xml:space="preserve">any further </w:t>
      </w:r>
      <w:r>
        <w:rPr>
          <w:sz w:val="18"/>
          <w:szCs w:val="18"/>
        </w:rPr>
        <w:t xml:space="preserve">income; but reverts to a flat 20-percent rate if </w:t>
      </w:r>
      <w:r w:rsidR="005952BA">
        <w:rPr>
          <w:sz w:val="18"/>
          <w:szCs w:val="18"/>
        </w:rPr>
        <w:t xml:space="preserve">paid-in capital exceeds THB 5,000,000 or </w:t>
      </w:r>
      <w:r>
        <w:rPr>
          <w:sz w:val="18"/>
          <w:szCs w:val="18"/>
        </w:rPr>
        <w:t xml:space="preserve">turnover exceeds </w:t>
      </w:r>
      <w:r w:rsidR="005952BA">
        <w:rPr>
          <w:sz w:val="18"/>
          <w:szCs w:val="18"/>
        </w:rPr>
        <w:t>THB 30,000,000</w:t>
      </w:r>
      <w:r>
        <w:rPr>
          <w:sz w:val="18"/>
          <w:szCs w:val="18"/>
        </w:rPr>
        <w:t xml:space="preserve">. </w:t>
      </w:r>
      <w:r w:rsidR="000451A8">
        <w:rPr>
          <w:sz w:val="18"/>
          <w:szCs w:val="18"/>
          <w:vertAlign w:val="superscript"/>
        </w:rPr>
        <w:t>(e)</w:t>
      </w:r>
      <w:r w:rsidR="000451A8">
        <w:rPr>
          <w:sz w:val="18"/>
          <w:szCs w:val="18"/>
        </w:rPr>
        <w:t xml:space="preserve"> GDP per capita in current US$ for 2022 based on World Development Indicators. </w:t>
      </w:r>
    </w:p>
    <w:p w14:paraId="29A340DD" w14:textId="3597CD47" w:rsidR="00733F71" w:rsidRPr="00571C0C" w:rsidRDefault="00733F71" w:rsidP="00D409BB">
      <w:pPr>
        <w:pStyle w:val="ListParagraph"/>
        <w:numPr>
          <w:ilvl w:val="0"/>
          <w:numId w:val="12"/>
        </w:numPr>
        <w:spacing w:before="120"/>
        <w:ind w:left="0" w:firstLine="0"/>
        <w:contextualSpacing w:val="0"/>
        <w:jc w:val="both"/>
      </w:pPr>
      <w:r w:rsidRPr="00571C0C">
        <w:rPr>
          <w:b/>
          <w:bCs/>
        </w:rPr>
        <w:t>The</w:t>
      </w:r>
      <w:r w:rsidR="00D94376" w:rsidRPr="00571C0C">
        <w:rPr>
          <w:b/>
          <w:bCs/>
        </w:rPr>
        <w:t xml:space="preserve"> turnover </w:t>
      </w:r>
      <w:r w:rsidR="00754E33" w:rsidRPr="00571C0C">
        <w:rPr>
          <w:b/>
          <w:bCs/>
        </w:rPr>
        <w:t xml:space="preserve">threshold for AFT </w:t>
      </w:r>
      <w:r w:rsidR="00D94376" w:rsidRPr="00571C0C">
        <w:rPr>
          <w:b/>
          <w:bCs/>
        </w:rPr>
        <w:t>eligibility</w:t>
      </w:r>
      <w:r w:rsidR="00A56FF9" w:rsidRPr="00571C0C">
        <w:rPr>
          <w:b/>
          <w:bCs/>
        </w:rPr>
        <w:t xml:space="preserve">, set at </w:t>
      </w:r>
      <w:r w:rsidR="00CB262B" w:rsidRPr="00571C0C">
        <w:rPr>
          <w:b/>
          <w:bCs/>
        </w:rPr>
        <w:t>about</w:t>
      </w:r>
      <w:r w:rsidR="00A56FF9" w:rsidRPr="00571C0C">
        <w:rPr>
          <w:b/>
          <w:bCs/>
        </w:rPr>
        <w:t xml:space="preserve"> US$3</w:t>
      </w:r>
      <w:r w:rsidR="00101ADD" w:rsidRPr="00571C0C">
        <w:rPr>
          <w:b/>
          <w:bCs/>
        </w:rPr>
        <w:t>20</w:t>
      </w:r>
      <w:r w:rsidR="00A56FF9" w:rsidRPr="00571C0C">
        <w:rPr>
          <w:b/>
          <w:bCs/>
        </w:rPr>
        <w:t>,000</w:t>
      </w:r>
      <w:r w:rsidR="00485A2C" w:rsidRPr="00571C0C">
        <w:rPr>
          <w:b/>
          <w:bCs/>
        </w:rPr>
        <w:t xml:space="preserve"> (IDR 4.8 billion</w:t>
      </w:r>
      <w:r w:rsidR="00C47675" w:rsidRPr="00571C0C">
        <w:rPr>
          <w:b/>
          <w:bCs/>
        </w:rPr>
        <w:t>, at May 2023 exchange rates</w:t>
      </w:r>
      <w:r w:rsidR="00485A2C" w:rsidRPr="00571C0C">
        <w:rPr>
          <w:b/>
          <w:bCs/>
        </w:rPr>
        <w:t>)</w:t>
      </w:r>
      <w:r w:rsidR="00A56FF9" w:rsidRPr="00571C0C">
        <w:rPr>
          <w:b/>
          <w:bCs/>
        </w:rPr>
        <w:t>,</w:t>
      </w:r>
      <w:r w:rsidR="00D94376" w:rsidRPr="00571C0C">
        <w:rPr>
          <w:b/>
          <w:bCs/>
        </w:rPr>
        <w:t xml:space="preserve"> </w:t>
      </w:r>
      <w:r w:rsidR="00754E33" w:rsidRPr="00571C0C">
        <w:rPr>
          <w:b/>
          <w:bCs/>
        </w:rPr>
        <w:t xml:space="preserve">is </w:t>
      </w:r>
      <w:r w:rsidR="009A13A5" w:rsidRPr="00571C0C">
        <w:rPr>
          <w:b/>
          <w:bCs/>
        </w:rPr>
        <w:t>too high.</w:t>
      </w:r>
      <w:r w:rsidR="009A13A5" w:rsidRPr="00571C0C">
        <w:t xml:space="preserve"> </w:t>
      </w:r>
      <w:r w:rsidR="005F17C5" w:rsidRPr="00571C0C">
        <w:t xml:space="preserve">The core justification for </w:t>
      </w:r>
      <w:r w:rsidR="0047678E" w:rsidRPr="00571C0C">
        <w:t xml:space="preserve">the </w:t>
      </w:r>
      <w:r w:rsidR="005F17C5" w:rsidRPr="00571C0C">
        <w:t xml:space="preserve">simplified alternative scheme </w:t>
      </w:r>
      <w:r w:rsidR="0047678E" w:rsidRPr="00571C0C">
        <w:t xml:space="preserve">is </w:t>
      </w:r>
      <w:r w:rsidR="005F17C5" w:rsidRPr="00571C0C">
        <w:t xml:space="preserve">that </w:t>
      </w:r>
      <w:r w:rsidR="0032089C" w:rsidRPr="00571C0C">
        <w:t xml:space="preserve">firms of a smaller size and lower capacity </w:t>
      </w:r>
      <w:r w:rsidR="003E6695" w:rsidRPr="00571C0C">
        <w:t xml:space="preserve">might </w:t>
      </w:r>
      <w:r w:rsidR="00AD08E1" w:rsidRPr="00571C0C">
        <w:t xml:space="preserve">need some time and assistance to adapt to </w:t>
      </w:r>
      <w:r w:rsidR="00837088" w:rsidRPr="00571C0C">
        <w:t xml:space="preserve">complex </w:t>
      </w:r>
      <w:r w:rsidR="006C77F0" w:rsidRPr="00571C0C">
        <w:t xml:space="preserve">CIT </w:t>
      </w:r>
      <w:r w:rsidR="00DE5EF7" w:rsidRPr="00571C0C">
        <w:t xml:space="preserve">compliance requirements. </w:t>
      </w:r>
      <w:r w:rsidR="00872444" w:rsidRPr="00571C0C">
        <w:t xml:space="preserve">The </w:t>
      </w:r>
      <w:r w:rsidR="00855CA8" w:rsidRPr="00571C0C">
        <w:t xml:space="preserve">very </w:t>
      </w:r>
      <w:r w:rsidR="00872444" w:rsidRPr="00571C0C">
        <w:t xml:space="preserve">smallest firms </w:t>
      </w:r>
      <w:r w:rsidR="00855CA8" w:rsidRPr="00571C0C">
        <w:t xml:space="preserve">might </w:t>
      </w:r>
      <w:r w:rsidR="00872444" w:rsidRPr="00571C0C">
        <w:t xml:space="preserve">never have the </w:t>
      </w:r>
      <w:r w:rsidR="00855CA8" w:rsidRPr="00571C0C">
        <w:t xml:space="preserve">skills and capacity to properly comply with such requirements. </w:t>
      </w:r>
      <w:r w:rsidR="00CA65DF" w:rsidRPr="00571C0C">
        <w:t xml:space="preserve">However, the current eligibility threshold sits at </w:t>
      </w:r>
      <w:r w:rsidR="00CB262B" w:rsidRPr="00571C0C">
        <w:t>about</w:t>
      </w:r>
      <w:r w:rsidR="009B51F6" w:rsidRPr="00571C0C">
        <w:t xml:space="preserve"> </w:t>
      </w:r>
      <w:r w:rsidR="00E37840" w:rsidRPr="00571C0C">
        <w:t xml:space="preserve">70 </w:t>
      </w:r>
      <w:r w:rsidR="009B51F6" w:rsidRPr="00571C0C">
        <w:t xml:space="preserve">times Indonesia’s GDP per capita. </w:t>
      </w:r>
      <w:r w:rsidR="006E0B06" w:rsidRPr="00571C0C">
        <w:t>That is, f</w:t>
      </w:r>
      <w:r w:rsidR="0043474F" w:rsidRPr="00571C0C">
        <w:t xml:space="preserve">irms of a </w:t>
      </w:r>
      <w:r w:rsidR="00C60365" w:rsidRPr="00571C0C">
        <w:t xml:space="preserve">very </w:t>
      </w:r>
      <w:r w:rsidR="0043474F" w:rsidRPr="00571C0C">
        <w:t xml:space="preserve">large size, with potentially </w:t>
      </w:r>
      <w:r w:rsidR="00CB50D4" w:rsidRPr="00571C0C">
        <w:t xml:space="preserve">several </w:t>
      </w:r>
      <w:r w:rsidR="000F42E2" w:rsidRPr="00571C0C">
        <w:t>dozen</w:t>
      </w:r>
      <w:r w:rsidR="00BC7173" w:rsidRPr="00571C0C">
        <w:t xml:space="preserve"> </w:t>
      </w:r>
      <w:proofErr w:type="gramStart"/>
      <w:r w:rsidR="000F42E2" w:rsidRPr="00571C0C">
        <w:t>employees</w:t>
      </w:r>
      <w:proofErr w:type="gramEnd"/>
      <w:r w:rsidR="000F42E2" w:rsidRPr="00571C0C">
        <w:t xml:space="preserve"> can qualify for </w:t>
      </w:r>
      <w:r w:rsidR="00005574" w:rsidRPr="00571C0C">
        <w:t>the AFT</w:t>
      </w:r>
      <w:r w:rsidR="000F42E2" w:rsidRPr="00571C0C">
        <w:t xml:space="preserve">. </w:t>
      </w:r>
      <w:r w:rsidR="00CB50D4" w:rsidRPr="00571C0C">
        <w:t xml:space="preserve">A </w:t>
      </w:r>
      <w:r w:rsidR="000F42E2" w:rsidRPr="00571C0C">
        <w:t xml:space="preserve">broad policy consensus </w:t>
      </w:r>
      <w:r w:rsidR="0018010A" w:rsidRPr="00571C0C">
        <w:t>(</w:t>
      </w:r>
      <w:proofErr w:type="gramStart"/>
      <w:r w:rsidR="0018010A" w:rsidRPr="00571C0C">
        <w:t>though,</w:t>
      </w:r>
      <w:proofErr w:type="gramEnd"/>
      <w:r w:rsidR="0018010A" w:rsidRPr="00571C0C">
        <w:t xml:space="preserve"> not political consensus) </w:t>
      </w:r>
      <w:r w:rsidR="00CB50D4" w:rsidRPr="00571C0C">
        <w:t>has</w:t>
      </w:r>
      <w:r w:rsidR="009100B1" w:rsidRPr="00571C0C">
        <w:t>,</w:t>
      </w:r>
      <w:r w:rsidR="00CB50D4" w:rsidRPr="00571C0C">
        <w:t xml:space="preserve"> th</w:t>
      </w:r>
      <w:r w:rsidR="009100B1" w:rsidRPr="00571C0C">
        <w:t>erefore,</w:t>
      </w:r>
      <w:r w:rsidR="00CB50D4" w:rsidRPr="00571C0C">
        <w:t xml:space="preserve"> emerged </w:t>
      </w:r>
      <w:r w:rsidR="000F42E2" w:rsidRPr="00571C0C">
        <w:t xml:space="preserve">that </w:t>
      </w:r>
      <w:r w:rsidR="00CC4776" w:rsidRPr="00571C0C">
        <w:t xml:space="preserve">the threshold is too </w:t>
      </w:r>
      <w:r w:rsidR="00224140" w:rsidRPr="00571C0C">
        <w:t>high,</w:t>
      </w:r>
      <w:r w:rsidR="00CC4776" w:rsidRPr="00571C0C">
        <w:t xml:space="preserve"> and </w:t>
      </w:r>
      <w:proofErr w:type="gramStart"/>
      <w:r w:rsidR="00CC4776" w:rsidRPr="00571C0C">
        <w:t>government</w:t>
      </w:r>
      <w:proofErr w:type="gramEnd"/>
      <w:r w:rsidR="00CC4776" w:rsidRPr="00571C0C">
        <w:t xml:space="preserve"> has been actively considering options </w:t>
      </w:r>
      <w:r w:rsidR="00005574" w:rsidRPr="00571C0C">
        <w:t>to lower it</w:t>
      </w:r>
      <w:r w:rsidR="00CC4776" w:rsidRPr="00571C0C">
        <w:t xml:space="preserve">. </w:t>
      </w:r>
      <w:r w:rsidR="004A218E" w:rsidRPr="00571C0C">
        <w:t>A</w:t>
      </w:r>
      <w:r w:rsidR="009B1224" w:rsidRPr="00571C0C">
        <w:t>ny</w:t>
      </w:r>
      <w:r w:rsidR="004A218E" w:rsidRPr="00571C0C">
        <w:t xml:space="preserve"> reduction would advance the government’s objective of raising revenue. </w:t>
      </w:r>
      <w:r w:rsidR="006A75E2" w:rsidRPr="00571C0C">
        <w:t xml:space="preserve">At the same time, the consequences of </w:t>
      </w:r>
      <w:r w:rsidR="00994C77" w:rsidRPr="00571C0C">
        <w:t>a high AFT threshold in Indonesia</w:t>
      </w:r>
      <w:r w:rsidR="00862C96" w:rsidRPr="00571C0C">
        <w:t xml:space="preserve"> are likely modest</w:t>
      </w:r>
      <w:r w:rsidR="00163F8B" w:rsidRPr="00571C0C">
        <w:t xml:space="preserve"> given that eligibility sunsets </w:t>
      </w:r>
      <w:r w:rsidR="005D34F4" w:rsidRPr="00571C0C">
        <w:t xml:space="preserve">anyway </w:t>
      </w:r>
      <w:r w:rsidR="00163F8B" w:rsidRPr="00571C0C">
        <w:t>after three to four years</w:t>
      </w:r>
      <w:r w:rsidR="00862C96" w:rsidRPr="00571C0C">
        <w:t xml:space="preserve">. </w:t>
      </w:r>
    </w:p>
    <w:p w14:paraId="05075713" w14:textId="52E900BB" w:rsidR="00A51B37" w:rsidRPr="00571C0C" w:rsidRDefault="00A60F6B" w:rsidP="00C07D84">
      <w:pPr>
        <w:pStyle w:val="ListParagraph"/>
        <w:numPr>
          <w:ilvl w:val="0"/>
          <w:numId w:val="12"/>
        </w:numPr>
        <w:spacing w:before="120"/>
        <w:ind w:left="0" w:firstLine="0"/>
        <w:contextualSpacing w:val="0"/>
        <w:jc w:val="both"/>
      </w:pPr>
      <w:r w:rsidRPr="00571C0C">
        <w:rPr>
          <w:b/>
          <w:bCs/>
        </w:rPr>
        <w:t xml:space="preserve">By contrast, </w:t>
      </w:r>
      <w:r w:rsidR="0028628C" w:rsidRPr="00571C0C">
        <w:rPr>
          <w:b/>
          <w:bCs/>
        </w:rPr>
        <w:t xml:space="preserve">Indonesia’s concessional CIT rate </w:t>
      </w:r>
      <w:r w:rsidR="00C07D84" w:rsidRPr="00571C0C">
        <w:rPr>
          <w:b/>
          <w:bCs/>
        </w:rPr>
        <w:t xml:space="preserve">for MSMEs applies to a taxable income range that is </w:t>
      </w:r>
      <w:r w:rsidR="0028628C" w:rsidRPr="00571C0C">
        <w:rPr>
          <w:b/>
          <w:bCs/>
        </w:rPr>
        <w:t xml:space="preserve">not unusually high. </w:t>
      </w:r>
      <w:r w:rsidR="0028628C" w:rsidRPr="00571C0C">
        <w:t xml:space="preserve">It is difficult to benchmark </w:t>
      </w:r>
      <w:r w:rsidR="00A204D6" w:rsidRPr="00571C0C">
        <w:t xml:space="preserve">the </w:t>
      </w:r>
      <w:r w:rsidR="0028628C" w:rsidRPr="00571C0C">
        <w:t xml:space="preserve">income range </w:t>
      </w:r>
      <w:r w:rsidR="00A204D6" w:rsidRPr="00571C0C">
        <w:t xml:space="preserve">for Indonesia’s concessional CIT </w:t>
      </w:r>
      <w:r w:rsidR="0028628C" w:rsidRPr="00571C0C">
        <w:t xml:space="preserve">because it is defined </w:t>
      </w:r>
      <w:r w:rsidR="000C5E0E" w:rsidRPr="00571C0C">
        <w:t xml:space="preserve">in a </w:t>
      </w:r>
      <w:r w:rsidR="009E113B" w:rsidRPr="00571C0C">
        <w:t xml:space="preserve">far </w:t>
      </w:r>
      <w:r w:rsidR="000C5E0E" w:rsidRPr="00571C0C">
        <w:t>more complex way</w:t>
      </w:r>
      <w:r w:rsidR="009E113B" w:rsidRPr="00571C0C">
        <w:t xml:space="preserve"> than in </w:t>
      </w:r>
      <w:r w:rsidR="0028628C" w:rsidRPr="00571C0C">
        <w:t xml:space="preserve">other countries. Most countries </w:t>
      </w:r>
      <w:r w:rsidR="001B1EC9" w:rsidRPr="00571C0C">
        <w:t xml:space="preserve">apply their </w:t>
      </w:r>
      <w:r w:rsidR="0028628C" w:rsidRPr="00571C0C">
        <w:t xml:space="preserve">reduced CIT rate </w:t>
      </w:r>
      <w:r w:rsidR="001B1EC9" w:rsidRPr="00571C0C">
        <w:t xml:space="preserve">to a specific </w:t>
      </w:r>
      <w:r w:rsidR="00AB0E1C" w:rsidRPr="00571C0C">
        <w:t xml:space="preserve">initial amount of </w:t>
      </w:r>
      <w:r w:rsidR="0028628C" w:rsidRPr="00571C0C">
        <w:t xml:space="preserve">net taxable income. For example, in Malaysia, a </w:t>
      </w:r>
      <w:r w:rsidR="00346B16" w:rsidRPr="00571C0C">
        <w:t xml:space="preserve">reduced </w:t>
      </w:r>
      <w:r w:rsidR="0028628C" w:rsidRPr="00571C0C">
        <w:t>CIT rate of 15 percent applies to the first US$3</w:t>
      </w:r>
      <w:r w:rsidR="002D5DFE" w:rsidRPr="00571C0C">
        <w:t>3</w:t>
      </w:r>
      <w:r w:rsidR="0028628C" w:rsidRPr="00571C0C">
        <w:t xml:space="preserve">,000 of net taxable income. </w:t>
      </w:r>
      <w:r w:rsidR="00ED5776" w:rsidRPr="00571C0C">
        <w:t xml:space="preserve">In </w:t>
      </w:r>
      <w:r w:rsidR="0028628C" w:rsidRPr="00571C0C">
        <w:t>Indonesia</w:t>
      </w:r>
      <w:r w:rsidR="00ED5776" w:rsidRPr="00571C0C">
        <w:t xml:space="preserve">, </w:t>
      </w:r>
      <w:r w:rsidR="00825FDD" w:rsidRPr="00571C0C">
        <w:t xml:space="preserve">eligible </w:t>
      </w:r>
      <w:r w:rsidR="00ED5776" w:rsidRPr="00571C0C">
        <w:t xml:space="preserve">firms must first calculate the </w:t>
      </w:r>
      <w:r w:rsidR="00FA0F3D" w:rsidRPr="00571C0C">
        <w:t xml:space="preserve">net taxable income </w:t>
      </w:r>
      <w:r w:rsidR="00ED5776" w:rsidRPr="00571C0C">
        <w:t>attributable to the</w:t>
      </w:r>
      <w:r w:rsidR="00FA0F3D" w:rsidRPr="00571C0C">
        <w:t xml:space="preserve">ir first US$320,000 of </w:t>
      </w:r>
      <w:proofErr w:type="gramStart"/>
      <w:r w:rsidR="00FA0F3D" w:rsidRPr="00571C0C">
        <w:t>turnover, and</w:t>
      </w:r>
      <w:proofErr w:type="gramEnd"/>
      <w:r w:rsidR="00FA0F3D" w:rsidRPr="00571C0C">
        <w:t xml:space="preserve"> then apply the</w:t>
      </w:r>
      <w:r w:rsidR="00096D2A" w:rsidRPr="00571C0C">
        <w:t xml:space="preserve"> reduced CIT rate </w:t>
      </w:r>
      <w:r w:rsidR="00CB6CBD" w:rsidRPr="00571C0C">
        <w:t xml:space="preserve">only </w:t>
      </w:r>
      <w:r w:rsidR="00096D2A" w:rsidRPr="00571C0C">
        <w:t>to that</w:t>
      </w:r>
      <w:r w:rsidR="0028628C" w:rsidRPr="00571C0C">
        <w:t xml:space="preserve">. The </w:t>
      </w:r>
      <w:r w:rsidR="004A412F" w:rsidRPr="00571C0C">
        <w:t xml:space="preserve">amount of </w:t>
      </w:r>
      <w:r w:rsidR="0062283B" w:rsidRPr="00571C0C">
        <w:t xml:space="preserve">net </w:t>
      </w:r>
      <w:r w:rsidR="004A412F" w:rsidRPr="00571C0C">
        <w:t xml:space="preserve">taxable income that </w:t>
      </w:r>
      <w:r w:rsidR="008E2596" w:rsidRPr="00571C0C">
        <w:t xml:space="preserve">is subject to </w:t>
      </w:r>
      <w:r w:rsidR="00A75BA5" w:rsidRPr="00571C0C">
        <w:t>the reduced rate</w:t>
      </w:r>
      <w:r w:rsidR="00070AE4" w:rsidRPr="00571C0C">
        <w:t>,</w:t>
      </w:r>
      <w:r w:rsidR="00A75BA5" w:rsidRPr="00571C0C">
        <w:t xml:space="preserve"> </w:t>
      </w:r>
      <w:r w:rsidR="0028628C" w:rsidRPr="00571C0C">
        <w:t>therefore</w:t>
      </w:r>
      <w:r w:rsidR="00070AE4" w:rsidRPr="00571C0C">
        <w:t>,</w:t>
      </w:r>
      <w:r w:rsidR="0028628C" w:rsidRPr="00571C0C">
        <w:t xml:space="preserve"> depends on a firm’s net profit margin.</w:t>
      </w:r>
      <w:r w:rsidR="0028628C" w:rsidRPr="00571C0C">
        <w:rPr>
          <w:rStyle w:val="FootnoteReference"/>
        </w:rPr>
        <w:footnoteReference w:id="72"/>
      </w:r>
      <w:r w:rsidR="0028628C" w:rsidRPr="00571C0C">
        <w:t xml:space="preserve"> For instance, </w:t>
      </w:r>
      <w:r w:rsidR="00DF0EBF" w:rsidRPr="00571C0C">
        <w:t xml:space="preserve">take </w:t>
      </w:r>
      <w:r w:rsidR="0028628C" w:rsidRPr="00571C0C">
        <w:t xml:space="preserve">an Indonesian firm with turnover of US$330,000 and a 2 percent NPMR </w:t>
      </w:r>
      <w:r w:rsidR="00235F0E" w:rsidRPr="00571C0C">
        <w:t xml:space="preserve">as defined earlier </w:t>
      </w:r>
      <w:r w:rsidR="0028628C" w:rsidRPr="00571C0C">
        <w:t>(</w:t>
      </w:r>
      <w:r w:rsidR="00070AE4" w:rsidRPr="00571C0C">
        <w:t>that is</w:t>
      </w:r>
      <w:r w:rsidR="00CD7F37" w:rsidRPr="00571C0C">
        <w:t>,</w:t>
      </w:r>
      <w:r w:rsidR="0028628C" w:rsidRPr="00571C0C">
        <w:t xml:space="preserve"> net profits of US$6,</w:t>
      </w:r>
      <w:r w:rsidR="00791F26" w:rsidRPr="00571C0C">
        <w:t>600</w:t>
      </w:r>
      <w:r w:rsidR="0028628C" w:rsidRPr="00571C0C">
        <w:t>)</w:t>
      </w:r>
      <w:r w:rsidR="00DF0EBF" w:rsidRPr="00571C0C">
        <w:t>. It</w:t>
      </w:r>
      <w:r w:rsidR="0028628C" w:rsidRPr="00571C0C">
        <w:t xml:space="preserve"> will </w:t>
      </w:r>
      <w:r w:rsidR="00F0378E" w:rsidRPr="00571C0C">
        <w:t xml:space="preserve">owe </w:t>
      </w:r>
      <w:r w:rsidR="0028628C" w:rsidRPr="00571C0C">
        <w:t>11</w:t>
      </w:r>
      <w:r w:rsidR="00DF0EBF" w:rsidRPr="00571C0C">
        <w:t> </w:t>
      </w:r>
      <w:r w:rsidR="0028628C" w:rsidRPr="00571C0C">
        <w:t>percent tax on the first US$</w:t>
      </w:r>
      <w:r w:rsidR="004D6A6E" w:rsidRPr="00571C0C">
        <w:t>6,400</w:t>
      </w:r>
      <w:r w:rsidR="0028628C" w:rsidRPr="00571C0C">
        <w:t xml:space="preserve"> </w:t>
      </w:r>
      <w:r w:rsidR="00021D6B" w:rsidRPr="00571C0C">
        <w:t xml:space="preserve">of profits </w:t>
      </w:r>
      <w:r w:rsidR="00E34B25" w:rsidRPr="00571C0C">
        <w:t>(</w:t>
      </w:r>
      <w:r w:rsidR="00C833F1" w:rsidRPr="00571C0C">
        <w:t xml:space="preserve">that is, 11 percent </w:t>
      </w:r>
      <w:r w:rsidR="005A7B43" w:rsidRPr="00571C0C">
        <w:t xml:space="preserve">tax </w:t>
      </w:r>
      <w:r w:rsidR="00C833F1" w:rsidRPr="00571C0C">
        <w:t xml:space="preserve">on </w:t>
      </w:r>
      <w:r w:rsidR="008E3DBB" w:rsidRPr="00571C0C">
        <w:t xml:space="preserve">the </w:t>
      </w:r>
      <w:r w:rsidR="005A7B43" w:rsidRPr="00571C0C">
        <w:t xml:space="preserve">profits </w:t>
      </w:r>
      <w:r w:rsidR="004F5505" w:rsidRPr="00571C0C">
        <w:t xml:space="preserve">attributable to the </w:t>
      </w:r>
      <w:r w:rsidR="005A7B43" w:rsidRPr="00571C0C">
        <w:t xml:space="preserve">first US$320,000 of </w:t>
      </w:r>
      <w:r w:rsidR="00743108" w:rsidRPr="00571C0C">
        <w:t>net taxable income</w:t>
      </w:r>
      <w:r w:rsidR="005A7B43" w:rsidRPr="00571C0C">
        <w:t xml:space="preserve">), </w:t>
      </w:r>
      <w:r w:rsidR="0028628C" w:rsidRPr="00571C0C">
        <w:t xml:space="preserve">and 22 percent tax on the remaining </w:t>
      </w:r>
      <w:r w:rsidR="00743108" w:rsidRPr="00571C0C">
        <w:t xml:space="preserve">profit of </w:t>
      </w:r>
      <w:r w:rsidR="0028628C" w:rsidRPr="00571C0C">
        <w:t>US$</w:t>
      </w:r>
      <w:r w:rsidR="0053321B" w:rsidRPr="00571C0C">
        <w:t>200</w:t>
      </w:r>
      <w:r w:rsidR="0028628C" w:rsidRPr="00571C0C">
        <w:t>. By contrast, if the exact same firm had a 20 percent NPMR (</w:t>
      </w:r>
      <w:r w:rsidR="00070AE4" w:rsidRPr="00571C0C">
        <w:t>that is</w:t>
      </w:r>
      <w:r w:rsidR="00CD7F37" w:rsidRPr="00571C0C">
        <w:t>,</w:t>
      </w:r>
      <w:r w:rsidR="0028628C" w:rsidRPr="00571C0C">
        <w:t xml:space="preserve"> net profits of US$</w:t>
      </w:r>
      <w:r w:rsidR="0053321B" w:rsidRPr="00571C0C">
        <w:t>66</w:t>
      </w:r>
      <w:r w:rsidR="0028628C" w:rsidRPr="00571C0C">
        <w:t>,</w:t>
      </w:r>
      <w:r w:rsidR="006D00D0" w:rsidRPr="00571C0C">
        <w:t>000</w:t>
      </w:r>
      <w:r w:rsidR="0028628C" w:rsidRPr="00571C0C">
        <w:t xml:space="preserve">), it would </w:t>
      </w:r>
      <w:r w:rsidR="00997E51" w:rsidRPr="00571C0C">
        <w:t xml:space="preserve">owe </w:t>
      </w:r>
      <w:r w:rsidR="0028628C" w:rsidRPr="00571C0C">
        <w:t>11 percent tax on the first US$</w:t>
      </w:r>
      <w:r w:rsidR="00D24895" w:rsidRPr="00571C0C">
        <w:t>64,000</w:t>
      </w:r>
      <w:r w:rsidR="0028628C" w:rsidRPr="00571C0C">
        <w:t xml:space="preserve"> of </w:t>
      </w:r>
      <w:r w:rsidR="00AE397B" w:rsidRPr="00571C0C">
        <w:t xml:space="preserve">net </w:t>
      </w:r>
      <w:r w:rsidR="0028628C" w:rsidRPr="00571C0C">
        <w:t>taxable income, and 22 percent on the remaining US$</w:t>
      </w:r>
      <w:r w:rsidR="00D24895" w:rsidRPr="00571C0C">
        <w:t>2</w:t>
      </w:r>
      <w:r w:rsidR="00950B64" w:rsidRPr="00571C0C">
        <w:t>,</w:t>
      </w:r>
      <w:r w:rsidR="00D24895" w:rsidRPr="00571C0C">
        <w:t>000</w:t>
      </w:r>
      <w:r w:rsidR="00553FF5" w:rsidRPr="00571C0C">
        <w:t>.</w:t>
      </w:r>
      <w:r w:rsidR="0028628C" w:rsidRPr="00571C0C">
        <w:t xml:space="preserve"> In these two cases, which span a wide range of net profit margins</w:t>
      </w:r>
      <w:r w:rsidR="00070AE4" w:rsidRPr="00571C0C">
        <w:t>,</w:t>
      </w:r>
      <w:r w:rsidR="0028628C" w:rsidRPr="00571C0C">
        <w:rPr>
          <w:rStyle w:val="FootnoteReference"/>
        </w:rPr>
        <w:footnoteReference w:id="73"/>
      </w:r>
      <w:r w:rsidR="0028628C" w:rsidRPr="00571C0C">
        <w:t xml:space="preserve"> the reduced rate applies to a taxable income range (US$6,</w:t>
      </w:r>
      <w:r w:rsidR="00355FB9" w:rsidRPr="00571C0C">
        <w:t>400</w:t>
      </w:r>
      <w:r w:rsidR="0028628C" w:rsidRPr="00571C0C">
        <w:t>; US$</w:t>
      </w:r>
      <w:r w:rsidR="00355FB9" w:rsidRPr="00571C0C">
        <w:t>64</w:t>
      </w:r>
      <w:r w:rsidR="0028628C" w:rsidRPr="00571C0C">
        <w:t>,000</w:t>
      </w:r>
      <w:r w:rsidR="007B7752" w:rsidRPr="00571C0C">
        <w:rPr>
          <w:rStyle w:val="FootnoteReference"/>
        </w:rPr>
        <w:footnoteReference w:id="74"/>
      </w:r>
      <w:r w:rsidR="0028628C" w:rsidRPr="00571C0C">
        <w:t>) that is not high compared to peer countries (</w:t>
      </w:r>
      <w:r w:rsidR="000A26D7" w:rsidRPr="00571C0C">
        <w:t xml:space="preserve">see </w:t>
      </w:r>
      <w:r w:rsidR="0028628C" w:rsidRPr="00571C0C">
        <w:t>Table 3.1).</w:t>
      </w:r>
    </w:p>
    <w:p w14:paraId="18E5456C" w14:textId="058CA383" w:rsidR="000F5DC6" w:rsidRPr="00571C0C" w:rsidRDefault="00391AD2" w:rsidP="00A51B37">
      <w:pPr>
        <w:pStyle w:val="ListParagraph"/>
        <w:numPr>
          <w:ilvl w:val="0"/>
          <w:numId w:val="12"/>
        </w:numPr>
        <w:spacing w:before="120"/>
        <w:ind w:left="0" w:firstLine="0"/>
        <w:contextualSpacing w:val="0"/>
        <w:jc w:val="both"/>
      </w:pPr>
      <w:r w:rsidRPr="00571C0C">
        <w:rPr>
          <w:b/>
        </w:rPr>
        <w:t>High thresholds can create tax leakages when too many firms are offered the chance to pay concessional or below-statutory tax rates, but the Indonesian evidence on such leakages is mixed.</w:t>
      </w:r>
      <w:r w:rsidRPr="00571C0C">
        <w:t xml:space="preserve"> Tax concessions should be carefully targeted to ensure that their intended objectives outweigh the associated revenue costs. In addition to offering benefits to sizeable businesses (</w:t>
      </w:r>
      <w:r w:rsidR="000F1DC0" w:rsidRPr="00571C0C">
        <w:t>that is</w:t>
      </w:r>
      <w:r w:rsidRPr="00571C0C">
        <w:t>, those that are large but still eligible), high thresholds can also create an incentive for even larger businesses to artificially divide their operations into smaller entities. This practice, known as business splitting or fragmentation, can lead to tax avoidance and hurt productivity</w:t>
      </w:r>
      <w:r w:rsidR="00070AE4" w:rsidRPr="00571C0C">
        <w:t>.</w:t>
      </w:r>
      <w:r w:rsidRPr="00571C0C">
        <w:rPr>
          <w:rStyle w:val="FootnoteReference"/>
        </w:rPr>
        <w:footnoteReference w:id="75"/>
      </w:r>
      <w:r w:rsidR="00070AE4" w:rsidRPr="00571C0C">
        <w:rPr>
          <w:vertAlign w:val="superscript"/>
        </w:rPr>
        <w:t>,</w:t>
      </w:r>
      <w:r w:rsidRPr="00571C0C">
        <w:rPr>
          <w:rStyle w:val="FootnoteReference"/>
        </w:rPr>
        <w:footnoteReference w:id="76"/>
      </w:r>
      <w:r w:rsidRPr="00571C0C">
        <w:t xml:space="preserve"> In Indonesia, the </w:t>
      </w:r>
      <w:r w:rsidR="002A680D" w:rsidRPr="00571C0C">
        <w:t xml:space="preserve">eligibility </w:t>
      </w:r>
      <w:r w:rsidRPr="00571C0C">
        <w:t>thresholds for the AFT and concessional CIT regime do not result in high tax expenditure estimates.</w:t>
      </w:r>
      <w:r w:rsidRPr="00571C0C">
        <w:rPr>
          <w:rStyle w:val="FootnoteReference"/>
        </w:rPr>
        <w:footnoteReference w:id="77"/>
      </w:r>
      <w:r w:rsidRPr="00571C0C">
        <w:t xml:space="preserve"> If these two schemes were materially important and financially beneficial to firms, one should expect </w:t>
      </w:r>
      <w:r w:rsidRPr="00571C0C">
        <w:lastRenderedPageBreak/>
        <w:t>more extensive exploitation of the benefits, and correspondingly high estimated tax expenditures.</w:t>
      </w:r>
      <w:r w:rsidRPr="00571C0C">
        <w:rPr>
          <w:rStyle w:val="FootnoteReference"/>
        </w:rPr>
        <w:footnoteReference w:id="78"/>
      </w:r>
      <w:r w:rsidRPr="00571C0C">
        <w:t xml:space="preserve"> One possible explanation for low </w:t>
      </w:r>
      <w:r w:rsidR="00D41381" w:rsidRPr="00571C0C">
        <w:t xml:space="preserve">tax expenditures </w:t>
      </w:r>
      <w:r w:rsidRPr="00571C0C">
        <w:t>is that</w:t>
      </w:r>
      <w:r w:rsidR="00070AE4" w:rsidRPr="00571C0C">
        <w:t>,</w:t>
      </w:r>
      <w:r w:rsidRPr="00571C0C">
        <w:t xml:space="preserve"> rather than taking advantage of preferential regimes, businesses simply choose to underreport their earnings or remain outside of the tax net altogether. </w:t>
      </w:r>
      <w:r w:rsidR="00DC133B" w:rsidRPr="00571C0C">
        <w:t xml:space="preserve">Another possibility is </w:t>
      </w:r>
      <w:r w:rsidRPr="00571C0C">
        <w:t xml:space="preserve">that most eligible MSMEs are so small as to have negligible tax revenue impact. </w:t>
      </w:r>
    </w:p>
    <w:p w14:paraId="34406B52" w14:textId="4A16EDF2" w:rsidR="000E65E7" w:rsidRPr="00571C0C" w:rsidRDefault="00691E39" w:rsidP="006714F1">
      <w:pPr>
        <w:pStyle w:val="ListParagraph"/>
        <w:numPr>
          <w:ilvl w:val="0"/>
          <w:numId w:val="12"/>
        </w:numPr>
        <w:spacing w:before="120"/>
        <w:ind w:left="0" w:firstLine="0"/>
        <w:contextualSpacing w:val="0"/>
        <w:jc w:val="both"/>
        <w:rPr>
          <w:b/>
        </w:rPr>
      </w:pPr>
      <w:r w:rsidRPr="00571C0C">
        <w:rPr>
          <w:b/>
        </w:rPr>
        <w:t xml:space="preserve">Despite the absence of glaring pitfalls in the current regime, </w:t>
      </w:r>
      <w:r w:rsidR="00A2175B" w:rsidRPr="00571C0C">
        <w:rPr>
          <w:b/>
        </w:rPr>
        <w:t xml:space="preserve">the preceding </w:t>
      </w:r>
      <w:r w:rsidRPr="00571C0C">
        <w:rPr>
          <w:b/>
        </w:rPr>
        <w:t xml:space="preserve">discussion </w:t>
      </w:r>
      <w:r w:rsidR="00A2175B" w:rsidRPr="00571C0C">
        <w:rPr>
          <w:b/>
        </w:rPr>
        <w:t xml:space="preserve">highlights several dimensions for improvement. </w:t>
      </w:r>
      <w:r w:rsidR="00A2175B" w:rsidRPr="00571C0C">
        <w:rPr>
          <w:bCs/>
        </w:rPr>
        <w:t xml:space="preserve">The </w:t>
      </w:r>
      <w:r w:rsidR="00B9752D" w:rsidRPr="00571C0C">
        <w:rPr>
          <w:bCs/>
        </w:rPr>
        <w:t>AFT</w:t>
      </w:r>
      <w:r w:rsidR="00A2175B" w:rsidRPr="00571C0C">
        <w:rPr>
          <w:bCs/>
        </w:rPr>
        <w:t xml:space="preserve">’s </w:t>
      </w:r>
      <w:r w:rsidR="00523C48" w:rsidRPr="00571C0C">
        <w:rPr>
          <w:bCs/>
        </w:rPr>
        <w:t xml:space="preserve">rate </w:t>
      </w:r>
      <w:r w:rsidRPr="00571C0C">
        <w:rPr>
          <w:bCs/>
        </w:rPr>
        <w:t xml:space="preserve">is </w:t>
      </w:r>
      <w:r w:rsidR="00A2175B" w:rsidRPr="00571C0C">
        <w:rPr>
          <w:bCs/>
        </w:rPr>
        <w:t xml:space="preserve">found to be </w:t>
      </w:r>
      <w:r w:rsidR="00523C48" w:rsidRPr="00571C0C">
        <w:rPr>
          <w:bCs/>
        </w:rPr>
        <w:t xml:space="preserve">reasonable </w:t>
      </w:r>
      <w:r w:rsidR="00070AE4" w:rsidRPr="00571C0C">
        <w:rPr>
          <w:bCs/>
        </w:rPr>
        <w:t>al</w:t>
      </w:r>
      <w:r w:rsidR="00523C48" w:rsidRPr="00571C0C">
        <w:rPr>
          <w:bCs/>
        </w:rPr>
        <w:t>though its eligibility threshold is too high</w:t>
      </w:r>
      <w:r w:rsidR="0034046C" w:rsidRPr="00571C0C">
        <w:rPr>
          <w:bCs/>
        </w:rPr>
        <w:t>.</w:t>
      </w:r>
      <w:r w:rsidR="006C01D7" w:rsidRPr="00571C0C">
        <w:rPr>
          <w:bCs/>
        </w:rPr>
        <w:t xml:space="preserve"> Its sunset clause </w:t>
      </w:r>
      <w:r w:rsidR="00E9560F" w:rsidRPr="00571C0C">
        <w:rPr>
          <w:bCs/>
        </w:rPr>
        <w:t xml:space="preserve">gives firms time to </w:t>
      </w:r>
      <w:proofErr w:type="gramStart"/>
      <w:r w:rsidR="00E9560F" w:rsidRPr="00571C0C">
        <w:rPr>
          <w:bCs/>
        </w:rPr>
        <w:t>adapt, but</w:t>
      </w:r>
      <w:proofErr w:type="gramEnd"/>
      <w:r w:rsidR="00E9560F" w:rsidRPr="00571C0C">
        <w:rPr>
          <w:bCs/>
        </w:rPr>
        <w:t xml:space="preserve"> </w:t>
      </w:r>
      <w:r w:rsidRPr="00571C0C">
        <w:rPr>
          <w:bCs/>
        </w:rPr>
        <w:t xml:space="preserve">eventually introduces even the </w:t>
      </w:r>
      <w:r w:rsidR="004C471C" w:rsidRPr="00571C0C">
        <w:rPr>
          <w:bCs/>
        </w:rPr>
        <w:t xml:space="preserve">smallest firms </w:t>
      </w:r>
      <w:r w:rsidRPr="00571C0C">
        <w:rPr>
          <w:bCs/>
        </w:rPr>
        <w:t xml:space="preserve">into the CIT regime with </w:t>
      </w:r>
      <w:r w:rsidR="004E4AD3" w:rsidRPr="00571C0C">
        <w:rPr>
          <w:bCs/>
        </w:rPr>
        <w:t xml:space="preserve">bookkeeping </w:t>
      </w:r>
      <w:r w:rsidR="00477BB4" w:rsidRPr="00571C0C">
        <w:rPr>
          <w:bCs/>
        </w:rPr>
        <w:t>requirements</w:t>
      </w:r>
      <w:r w:rsidR="009C21D3" w:rsidRPr="00571C0C">
        <w:rPr>
          <w:bCs/>
        </w:rPr>
        <w:t xml:space="preserve"> that they may </w:t>
      </w:r>
      <w:r w:rsidRPr="00571C0C">
        <w:rPr>
          <w:bCs/>
        </w:rPr>
        <w:t xml:space="preserve">never be </w:t>
      </w:r>
      <w:r w:rsidR="00A2175B" w:rsidRPr="00571C0C">
        <w:rPr>
          <w:bCs/>
        </w:rPr>
        <w:t>capable of fulfilling</w:t>
      </w:r>
      <w:r w:rsidR="006A3775" w:rsidRPr="00571C0C">
        <w:rPr>
          <w:bCs/>
        </w:rPr>
        <w:t xml:space="preserve">. </w:t>
      </w:r>
      <w:r w:rsidRPr="00571C0C">
        <w:rPr>
          <w:bCs/>
        </w:rPr>
        <w:t xml:space="preserve">The concessional CIT regime is designed in an unnecessarily complex way, with a somewhat generous rate, and offers indefinite tax expenditures to all MSMEs. </w:t>
      </w:r>
      <w:r w:rsidR="00A2175B" w:rsidRPr="00571C0C">
        <w:rPr>
          <w:bCs/>
        </w:rPr>
        <w:t>Both the AFT and the concessional CIT are horizontally inequitable, favoring firms and sectors with higher net profit margins.</w:t>
      </w:r>
    </w:p>
    <w:p w14:paraId="4810D563" w14:textId="11ECB799" w:rsidR="000E65E7" w:rsidRPr="00571C0C" w:rsidRDefault="00A2175B" w:rsidP="006714F1">
      <w:pPr>
        <w:pStyle w:val="ListParagraph"/>
        <w:numPr>
          <w:ilvl w:val="0"/>
          <w:numId w:val="12"/>
        </w:numPr>
        <w:spacing w:before="120"/>
        <w:ind w:left="0" w:firstLine="0"/>
        <w:contextualSpacing w:val="0"/>
        <w:jc w:val="both"/>
        <w:rPr>
          <w:b/>
        </w:rPr>
      </w:pPr>
      <w:r w:rsidRPr="00571C0C">
        <w:rPr>
          <w:b/>
        </w:rPr>
        <w:t xml:space="preserve">There </w:t>
      </w:r>
      <w:r w:rsidR="00F33641" w:rsidRPr="00571C0C">
        <w:rPr>
          <w:b/>
        </w:rPr>
        <w:t xml:space="preserve">is a set of clear </w:t>
      </w:r>
      <w:r w:rsidRPr="00571C0C">
        <w:rPr>
          <w:b/>
        </w:rPr>
        <w:t>policy steps that</w:t>
      </w:r>
      <w:r w:rsidR="00C81608" w:rsidRPr="00571C0C">
        <w:rPr>
          <w:b/>
        </w:rPr>
        <w:t xml:space="preserve">, from a small-firm perspective, </w:t>
      </w:r>
      <w:r w:rsidR="00F33641" w:rsidRPr="00571C0C">
        <w:rPr>
          <w:b/>
        </w:rPr>
        <w:t xml:space="preserve">could </w:t>
      </w:r>
      <w:r w:rsidRPr="00571C0C">
        <w:rPr>
          <w:b/>
        </w:rPr>
        <w:t>simplify the business income tax regime</w:t>
      </w:r>
      <w:r w:rsidR="00C81608" w:rsidRPr="00571C0C">
        <w:rPr>
          <w:b/>
        </w:rPr>
        <w:t xml:space="preserve"> </w:t>
      </w:r>
      <w:r w:rsidRPr="00571C0C">
        <w:rPr>
          <w:b/>
        </w:rPr>
        <w:t xml:space="preserve">and increase revenue mobilization. </w:t>
      </w:r>
      <w:r w:rsidRPr="00571C0C">
        <w:rPr>
          <w:bCs/>
        </w:rPr>
        <w:t xml:space="preserve">The AFT and concessional CIT schemes could be abolished and replaced with a single </w:t>
      </w:r>
      <w:r w:rsidR="00F33641" w:rsidRPr="00571C0C">
        <w:rPr>
          <w:bCs/>
        </w:rPr>
        <w:t xml:space="preserve">simplified </w:t>
      </w:r>
      <w:r w:rsidRPr="00571C0C">
        <w:rPr>
          <w:bCs/>
        </w:rPr>
        <w:t>scheme for the smallest firms</w:t>
      </w:r>
      <w:r w:rsidR="00D276E7" w:rsidRPr="00571C0C">
        <w:rPr>
          <w:rFonts w:cstheme="minorHAnsi"/>
          <w:bCs/>
        </w:rPr>
        <w:t>–</w:t>
      </w:r>
      <w:r w:rsidRPr="00571C0C">
        <w:rPr>
          <w:bCs/>
        </w:rPr>
        <w:t>particularly for those economically marginal or subsistence-type firms that have low administrative capacity, low productivity, and limited growth prospects.</w:t>
      </w:r>
      <w:r w:rsidR="00F33641" w:rsidRPr="00571C0C">
        <w:rPr>
          <w:bCs/>
        </w:rPr>
        <w:t xml:space="preserve"> Accordingly, the eligibility threshold should be low</w:t>
      </w:r>
      <w:r w:rsidR="00D276E7" w:rsidRPr="00571C0C">
        <w:rPr>
          <w:rFonts w:cstheme="minorHAnsi"/>
          <w:bCs/>
        </w:rPr>
        <w:t>–</w:t>
      </w:r>
      <w:r w:rsidR="00D276E7" w:rsidRPr="00571C0C">
        <w:rPr>
          <w:bCs/>
        </w:rPr>
        <w:t>at</w:t>
      </w:r>
      <w:r w:rsidR="00237E95" w:rsidRPr="00571C0C">
        <w:rPr>
          <w:bCs/>
        </w:rPr>
        <w:t xml:space="preserve"> say R</w:t>
      </w:r>
      <w:r w:rsidR="00CB262B" w:rsidRPr="00571C0C">
        <w:rPr>
          <w:bCs/>
        </w:rPr>
        <w:t>p</w:t>
      </w:r>
      <w:r w:rsidR="00237E95" w:rsidRPr="00571C0C">
        <w:rPr>
          <w:bCs/>
        </w:rPr>
        <w:t> 500 million</w:t>
      </w:r>
      <w:r w:rsidR="00D276E7" w:rsidRPr="00571C0C">
        <w:rPr>
          <w:bCs/>
        </w:rPr>
        <w:t>.</w:t>
      </w:r>
      <w:r w:rsidR="00237E95" w:rsidRPr="00571C0C">
        <w:rPr>
          <w:rStyle w:val="FootnoteReference"/>
          <w:bCs/>
        </w:rPr>
        <w:footnoteReference w:id="79"/>
      </w:r>
      <w:r w:rsidR="00F33641" w:rsidRPr="00571C0C">
        <w:rPr>
          <w:bCs/>
        </w:rPr>
        <w:t xml:space="preserve"> It should also be </w:t>
      </w:r>
      <w:r w:rsidR="00F33641" w:rsidRPr="00571C0C">
        <w:rPr>
          <w:bCs/>
          <w:i/>
          <w:iCs/>
        </w:rPr>
        <w:t>permanent</w:t>
      </w:r>
      <w:r w:rsidR="00F33641" w:rsidRPr="00571C0C">
        <w:rPr>
          <w:bCs/>
        </w:rPr>
        <w:t xml:space="preserve"> for those that remain of the eligible size</w:t>
      </w:r>
      <w:r w:rsidR="00D276E7" w:rsidRPr="00571C0C">
        <w:rPr>
          <w:rFonts w:cstheme="minorHAnsi"/>
          <w:bCs/>
        </w:rPr>
        <w:t>–</w:t>
      </w:r>
      <w:r w:rsidR="00F33641" w:rsidRPr="00571C0C">
        <w:rPr>
          <w:bCs/>
        </w:rPr>
        <w:t>there is little benefit to the authorities of imposing complex bookkeeping requirements on such</w:t>
      </w:r>
      <w:r w:rsidR="003576F5" w:rsidRPr="00571C0C">
        <w:rPr>
          <w:bCs/>
        </w:rPr>
        <w:t xml:space="preserve"> small or subsistence </w:t>
      </w:r>
      <w:r w:rsidR="00F33641" w:rsidRPr="00571C0C">
        <w:rPr>
          <w:bCs/>
        </w:rPr>
        <w:t>firms.</w:t>
      </w:r>
      <w:r w:rsidR="003F71E4" w:rsidRPr="00571C0C">
        <w:rPr>
          <w:rStyle w:val="FootnoteReference"/>
          <w:bCs/>
        </w:rPr>
        <w:footnoteReference w:id="80"/>
      </w:r>
      <w:r w:rsidR="00F33641" w:rsidRPr="00571C0C">
        <w:rPr>
          <w:bCs/>
        </w:rPr>
        <w:t xml:space="preserve"> </w:t>
      </w:r>
      <w:r w:rsidR="003576F5" w:rsidRPr="00571C0C">
        <w:rPr>
          <w:bCs/>
        </w:rPr>
        <w:t xml:space="preserve">This reform would simplify the overall regime, </w:t>
      </w:r>
      <w:r w:rsidR="00A9379E" w:rsidRPr="00571C0C">
        <w:rPr>
          <w:bCs/>
        </w:rPr>
        <w:t>significantly increase</w:t>
      </w:r>
      <w:r w:rsidR="003576F5" w:rsidRPr="00571C0C">
        <w:rPr>
          <w:bCs/>
        </w:rPr>
        <w:t xml:space="preserve"> </w:t>
      </w:r>
      <w:r w:rsidR="00A9379E" w:rsidRPr="00571C0C">
        <w:rPr>
          <w:bCs/>
        </w:rPr>
        <w:t>the number of firms subject to the standard CIT rate</w:t>
      </w:r>
      <w:r w:rsidR="003576F5" w:rsidRPr="00571C0C">
        <w:rPr>
          <w:bCs/>
        </w:rPr>
        <w:t xml:space="preserve">, and </w:t>
      </w:r>
      <w:r w:rsidR="000C0A68" w:rsidRPr="00571C0C">
        <w:rPr>
          <w:bCs/>
        </w:rPr>
        <w:t xml:space="preserve">end </w:t>
      </w:r>
      <w:r w:rsidR="003576F5" w:rsidRPr="00571C0C">
        <w:rPr>
          <w:bCs/>
        </w:rPr>
        <w:t xml:space="preserve">incentives for </w:t>
      </w:r>
      <w:r w:rsidR="000C0A68" w:rsidRPr="00571C0C">
        <w:rPr>
          <w:bCs/>
        </w:rPr>
        <w:t xml:space="preserve">phoenix behavior tied to </w:t>
      </w:r>
      <w:r w:rsidR="003576F5" w:rsidRPr="00571C0C">
        <w:rPr>
          <w:bCs/>
        </w:rPr>
        <w:t xml:space="preserve">sunsetting eligibility. The significantly lower eligibility threshold </w:t>
      </w:r>
      <w:r w:rsidR="00D17A8A" w:rsidRPr="00571C0C">
        <w:rPr>
          <w:bCs/>
        </w:rPr>
        <w:t xml:space="preserve">may </w:t>
      </w:r>
      <w:r w:rsidR="00DE58C3" w:rsidRPr="00571C0C">
        <w:rPr>
          <w:bCs/>
        </w:rPr>
        <w:t xml:space="preserve">also make </w:t>
      </w:r>
      <w:r w:rsidR="00CB16B4" w:rsidRPr="00571C0C">
        <w:rPr>
          <w:bCs/>
        </w:rPr>
        <w:t xml:space="preserve">firm splitting schemes less attractive, </w:t>
      </w:r>
      <w:r w:rsidR="00D17A8A" w:rsidRPr="00571C0C">
        <w:rPr>
          <w:bCs/>
        </w:rPr>
        <w:t xml:space="preserve">given the </w:t>
      </w:r>
      <w:r w:rsidR="00C81608" w:rsidRPr="00571C0C">
        <w:rPr>
          <w:bCs/>
        </w:rPr>
        <w:t xml:space="preserve">relative </w:t>
      </w:r>
      <w:r w:rsidR="00D17A8A" w:rsidRPr="00571C0C">
        <w:rPr>
          <w:bCs/>
        </w:rPr>
        <w:t xml:space="preserve">inefficiency burden of </w:t>
      </w:r>
      <w:r w:rsidR="0074600A" w:rsidRPr="00571C0C">
        <w:rPr>
          <w:bCs/>
        </w:rPr>
        <w:t xml:space="preserve">splitting into very small operations. </w:t>
      </w:r>
      <w:r w:rsidR="00C81608" w:rsidRPr="00571C0C">
        <w:rPr>
          <w:bCs/>
        </w:rPr>
        <w:t xml:space="preserve">Many MSMEs entering the tax system </w:t>
      </w:r>
      <w:proofErr w:type="gramStart"/>
      <w:r w:rsidR="00C81608" w:rsidRPr="00571C0C">
        <w:rPr>
          <w:bCs/>
        </w:rPr>
        <w:t>would now</w:t>
      </w:r>
      <w:proofErr w:type="gramEnd"/>
      <w:r w:rsidR="00C81608" w:rsidRPr="00571C0C">
        <w:rPr>
          <w:bCs/>
        </w:rPr>
        <w:t xml:space="preserve"> no longer receive the easier transitional bookkeeping requirements that came with the AFT</w:t>
      </w:r>
      <w:r w:rsidR="00293C23" w:rsidRPr="00571C0C">
        <w:rPr>
          <w:bCs/>
        </w:rPr>
        <w:t xml:space="preserve"> (since they</w:t>
      </w:r>
      <w:r w:rsidR="00E175FC" w:rsidRPr="00571C0C">
        <w:rPr>
          <w:bCs/>
        </w:rPr>
        <w:t xml:space="preserve"> would now be larger than the </w:t>
      </w:r>
      <w:r w:rsidR="00432348" w:rsidRPr="00571C0C">
        <w:rPr>
          <w:bCs/>
        </w:rPr>
        <w:t>new lower threshold)</w:t>
      </w:r>
      <w:r w:rsidR="00B10CB4" w:rsidRPr="00571C0C">
        <w:rPr>
          <w:bCs/>
        </w:rPr>
        <w:t xml:space="preserve">. </w:t>
      </w:r>
      <w:r w:rsidR="00F277EF" w:rsidRPr="00571C0C">
        <w:rPr>
          <w:bCs/>
        </w:rPr>
        <w:t xml:space="preserve">However, </w:t>
      </w:r>
      <w:r w:rsidR="00C81608" w:rsidRPr="00571C0C">
        <w:rPr>
          <w:bCs/>
        </w:rPr>
        <w:t xml:space="preserve">the authorities could ensure some </w:t>
      </w:r>
      <w:r w:rsidR="00CD3DF6" w:rsidRPr="00571C0C">
        <w:rPr>
          <w:bCs/>
        </w:rPr>
        <w:t xml:space="preserve">transitional </w:t>
      </w:r>
      <w:r w:rsidR="00F277EF" w:rsidRPr="00571C0C">
        <w:rPr>
          <w:bCs/>
        </w:rPr>
        <w:t xml:space="preserve">arrangement </w:t>
      </w:r>
      <w:r w:rsidR="00C81608" w:rsidRPr="00571C0C">
        <w:rPr>
          <w:bCs/>
        </w:rPr>
        <w:t xml:space="preserve">for </w:t>
      </w:r>
      <w:r w:rsidR="008B7C22" w:rsidRPr="00571C0C">
        <w:rPr>
          <w:bCs/>
        </w:rPr>
        <w:t xml:space="preserve">transitioning or </w:t>
      </w:r>
      <w:r w:rsidR="00432348" w:rsidRPr="00571C0C">
        <w:rPr>
          <w:bCs/>
        </w:rPr>
        <w:t xml:space="preserve">new </w:t>
      </w:r>
      <w:r w:rsidR="00C81608" w:rsidRPr="00571C0C">
        <w:rPr>
          <w:bCs/>
        </w:rPr>
        <w:t>firms</w:t>
      </w:r>
      <w:r w:rsidR="00EA3C91" w:rsidRPr="00571C0C">
        <w:rPr>
          <w:bCs/>
        </w:rPr>
        <w:t>,</w:t>
      </w:r>
      <w:r w:rsidR="00C81608" w:rsidRPr="00571C0C">
        <w:rPr>
          <w:bCs/>
        </w:rPr>
        <w:t xml:space="preserve"> </w:t>
      </w:r>
      <w:r w:rsidR="008D4611" w:rsidRPr="00571C0C">
        <w:rPr>
          <w:bCs/>
        </w:rPr>
        <w:t xml:space="preserve">while </w:t>
      </w:r>
      <w:r w:rsidR="00C81608" w:rsidRPr="00571C0C">
        <w:rPr>
          <w:bCs/>
        </w:rPr>
        <w:t>they learn the ropes.</w:t>
      </w:r>
    </w:p>
    <w:p w14:paraId="4F7A6922" w14:textId="4FAFE43E" w:rsidR="00E5142B" w:rsidRPr="00571C0C" w:rsidRDefault="00E5142B" w:rsidP="001C0F5C">
      <w:pPr>
        <w:pStyle w:val="ListParagraph"/>
        <w:numPr>
          <w:ilvl w:val="0"/>
          <w:numId w:val="12"/>
        </w:numPr>
        <w:spacing w:before="120"/>
        <w:ind w:left="0" w:firstLine="0"/>
        <w:contextualSpacing w:val="0"/>
        <w:jc w:val="both"/>
        <w:rPr>
          <w:b/>
        </w:rPr>
      </w:pPr>
      <w:r w:rsidRPr="00571C0C">
        <w:rPr>
          <w:b/>
        </w:rPr>
        <w:t xml:space="preserve">A more sensible eligibility threshold for simplified taxpayer obligations would be closer to IDR 500 million in annual turnover. </w:t>
      </w:r>
      <w:r w:rsidRPr="00571C0C">
        <w:rPr>
          <w:bCs/>
        </w:rPr>
        <w:t>The AFT’s current eligibility threshold is R</w:t>
      </w:r>
      <w:r w:rsidR="00CB262B" w:rsidRPr="00571C0C">
        <w:rPr>
          <w:bCs/>
        </w:rPr>
        <w:t>p</w:t>
      </w:r>
      <w:r w:rsidRPr="00571C0C">
        <w:rPr>
          <w:bCs/>
        </w:rPr>
        <w:t xml:space="preserve"> 4.8 billion in annual turnover, and the CIT’s concessional rate for MSMEs also only applies to the profits derived from this turnover range.</w:t>
      </w:r>
      <w:r w:rsidR="00A97DBC" w:rsidRPr="00571C0C">
        <w:rPr>
          <w:b/>
        </w:rPr>
        <w:t xml:space="preserve"> </w:t>
      </w:r>
      <w:r w:rsidR="00333BF7" w:rsidRPr="00571C0C">
        <w:rPr>
          <w:bCs/>
        </w:rPr>
        <w:t>As discussed in the next section, this threshold also applies to VAT registration</w:t>
      </w:r>
      <w:r w:rsidR="00B7629A" w:rsidRPr="00571C0C">
        <w:rPr>
          <w:bCs/>
        </w:rPr>
        <w:t>:</w:t>
      </w:r>
      <w:r w:rsidR="00333BF7" w:rsidRPr="00571C0C">
        <w:rPr>
          <w:bCs/>
        </w:rPr>
        <w:t xml:space="preserve"> to ease compliance burdens for smaller firms</w:t>
      </w:r>
      <w:r w:rsidR="00B7629A" w:rsidRPr="00571C0C">
        <w:rPr>
          <w:bCs/>
        </w:rPr>
        <w:t>,</w:t>
      </w:r>
      <w:r w:rsidR="00333BF7" w:rsidRPr="00571C0C">
        <w:rPr>
          <w:bCs/>
        </w:rPr>
        <w:t xml:space="preserve"> firms with turnover below the threshold do not need to participate in the VAT. Consequently, any changes to this threshold should be aligned across business income taxation and the VAT.</w:t>
      </w:r>
      <w:r w:rsidR="00333BF7" w:rsidRPr="00571C0C">
        <w:rPr>
          <w:b/>
        </w:rPr>
        <w:t xml:space="preserve"> </w:t>
      </w:r>
      <w:r w:rsidR="00B14DFC" w:rsidRPr="00571C0C">
        <w:rPr>
          <w:bCs/>
        </w:rPr>
        <w:t xml:space="preserve">While the current threshold is too high, there is </w:t>
      </w:r>
      <w:r w:rsidR="00243CD8" w:rsidRPr="00571C0C">
        <w:rPr>
          <w:bCs/>
        </w:rPr>
        <w:t xml:space="preserve">no </w:t>
      </w:r>
      <w:r w:rsidR="00E57076" w:rsidRPr="00571C0C">
        <w:rPr>
          <w:bCs/>
        </w:rPr>
        <w:t xml:space="preserve">single ‘correct’ answer </w:t>
      </w:r>
      <w:r w:rsidR="00243CD8" w:rsidRPr="00571C0C">
        <w:rPr>
          <w:bCs/>
        </w:rPr>
        <w:t xml:space="preserve">for the best level at which to set a </w:t>
      </w:r>
      <w:r w:rsidR="00B14DFC" w:rsidRPr="00571C0C">
        <w:rPr>
          <w:bCs/>
        </w:rPr>
        <w:t xml:space="preserve">lower threshold. </w:t>
      </w:r>
      <w:r w:rsidR="004B1E61" w:rsidRPr="00571C0C">
        <w:rPr>
          <w:bCs/>
        </w:rPr>
        <w:t>Under the current policy</w:t>
      </w:r>
      <w:r w:rsidR="00DD1CF6" w:rsidRPr="00571C0C">
        <w:rPr>
          <w:bCs/>
        </w:rPr>
        <w:t xml:space="preserve"> regime</w:t>
      </w:r>
      <w:r w:rsidR="004B1E61" w:rsidRPr="00571C0C">
        <w:rPr>
          <w:bCs/>
        </w:rPr>
        <w:t xml:space="preserve">, a lower threshold </w:t>
      </w:r>
      <w:r w:rsidR="00147EA8" w:rsidRPr="00571C0C">
        <w:rPr>
          <w:bCs/>
        </w:rPr>
        <w:t xml:space="preserve">for the AFT has </w:t>
      </w:r>
      <w:r w:rsidR="00DD1CF6" w:rsidRPr="00571C0C">
        <w:rPr>
          <w:bCs/>
        </w:rPr>
        <w:t xml:space="preserve">only modest </w:t>
      </w:r>
      <w:r w:rsidR="00147EA8" w:rsidRPr="00571C0C">
        <w:rPr>
          <w:bCs/>
        </w:rPr>
        <w:t xml:space="preserve">impact on firms, seeing as AFT eligibility is anyway time-bound. </w:t>
      </w:r>
      <w:r w:rsidR="00E57076" w:rsidRPr="00571C0C">
        <w:rPr>
          <w:bCs/>
        </w:rPr>
        <w:t>However, i</w:t>
      </w:r>
      <w:r w:rsidR="00A94FF7" w:rsidRPr="00571C0C">
        <w:rPr>
          <w:bCs/>
        </w:rPr>
        <w:t xml:space="preserve">f the </w:t>
      </w:r>
      <w:r w:rsidR="00B7629A" w:rsidRPr="00571C0C">
        <w:rPr>
          <w:bCs/>
        </w:rPr>
        <w:t xml:space="preserve">proposed </w:t>
      </w:r>
      <w:r w:rsidR="00A94FF7" w:rsidRPr="00571C0C">
        <w:rPr>
          <w:bCs/>
        </w:rPr>
        <w:t xml:space="preserve">new turnover regime </w:t>
      </w:r>
      <w:r w:rsidR="00D616BB" w:rsidRPr="00571C0C">
        <w:rPr>
          <w:bCs/>
        </w:rPr>
        <w:t>does not have time-bound sunset clauses</w:t>
      </w:r>
      <w:r w:rsidR="00A63024" w:rsidRPr="00571C0C">
        <w:rPr>
          <w:bCs/>
        </w:rPr>
        <w:t xml:space="preserve">, it should only be accessible to </w:t>
      </w:r>
      <w:r w:rsidR="00FA3244" w:rsidRPr="00571C0C">
        <w:rPr>
          <w:bCs/>
        </w:rPr>
        <w:t xml:space="preserve">the very </w:t>
      </w:r>
      <w:r w:rsidR="00A63024" w:rsidRPr="00571C0C">
        <w:rPr>
          <w:bCs/>
        </w:rPr>
        <w:t>small</w:t>
      </w:r>
      <w:r w:rsidR="00FA3244" w:rsidRPr="00571C0C">
        <w:rPr>
          <w:bCs/>
        </w:rPr>
        <w:t xml:space="preserve">, subsistence-style, low-capacity </w:t>
      </w:r>
      <w:r w:rsidR="00A63024" w:rsidRPr="00571C0C">
        <w:rPr>
          <w:bCs/>
        </w:rPr>
        <w:t>firms</w:t>
      </w:r>
      <w:r w:rsidR="00FA3244" w:rsidRPr="00571C0C">
        <w:rPr>
          <w:bCs/>
        </w:rPr>
        <w:t xml:space="preserve"> described earlier</w:t>
      </w:r>
      <w:r w:rsidR="00A63024" w:rsidRPr="00571C0C">
        <w:rPr>
          <w:bCs/>
        </w:rPr>
        <w:t xml:space="preserve">. </w:t>
      </w:r>
      <w:r w:rsidR="00C10866" w:rsidRPr="00571C0C">
        <w:rPr>
          <w:bCs/>
        </w:rPr>
        <w:t xml:space="preserve">Conservative </w:t>
      </w:r>
      <w:r w:rsidR="00C56ECE" w:rsidRPr="00571C0C">
        <w:rPr>
          <w:bCs/>
        </w:rPr>
        <w:t xml:space="preserve">estimates based on </w:t>
      </w:r>
      <w:r w:rsidR="00C10866" w:rsidRPr="00571C0C">
        <w:rPr>
          <w:bCs/>
        </w:rPr>
        <w:t xml:space="preserve">Indonesia’s 2023 </w:t>
      </w:r>
      <w:r w:rsidR="00656CBA" w:rsidRPr="00571C0C">
        <w:rPr>
          <w:bCs/>
        </w:rPr>
        <w:t>WBES</w:t>
      </w:r>
      <w:r w:rsidR="00C56ECE" w:rsidRPr="00571C0C">
        <w:rPr>
          <w:bCs/>
        </w:rPr>
        <w:t xml:space="preserve"> suggest </w:t>
      </w:r>
      <w:r w:rsidR="00C94ADC" w:rsidRPr="00571C0C">
        <w:rPr>
          <w:bCs/>
        </w:rPr>
        <w:t xml:space="preserve">that </w:t>
      </w:r>
      <w:r w:rsidR="00AA73AF" w:rsidRPr="00571C0C">
        <w:rPr>
          <w:bCs/>
        </w:rPr>
        <w:t xml:space="preserve">66.4 percent of formal </w:t>
      </w:r>
      <w:r w:rsidR="006259C3" w:rsidRPr="00571C0C">
        <w:rPr>
          <w:bCs/>
        </w:rPr>
        <w:t>firms</w:t>
      </w:r>
      <w:r w:rsidR="00AA73AF" w:rsidRPr="00571C0C">
        <w:rPr>
          <w:bCs/>
        </w:rPr>
        <w:t xml:space="preserve"> have annual turnover </w:t>
      </w:r>
      <w:r w:rsidR="00DA7D9E" w:rsidRPr="00571C0C">
        <w:rPr>
          <w:bCs/>
        </w:rPr>
        <w:t xml:space="preserve">below </w:t>
      </w:r>
      <w:r w:rsidR="00AA73AF" w:rsidRPr="00571C0C">
        <w:rPr>
          <w:bCs/>
        </w:rPr>
        <w:t>R</w:t>
      </w:r>
      <w:r w:rsidR="0004266E" w:rsidRPr="00571C0C">
        <w:rPr>
          <w:bCs/>
        </w:rPr>
        <w:t>p</w:t>
      </w:r>
      <w:r w:rsidR="00AA73AF" w:rsidRPr="00571C0C">
        <w:rPr>
          <w:bCs/>
        </w:rPr>
        <w:t xml:space="preserve"> 1 billion, </w:t>
      </w:r>
      <w:r w:rsidR="006259C3" w:rsidRPr="00571C0C">
        <w:rPr>
          <w:bCs/>
        </w:rPr>
        <w:t xml:space="preserve">while </w:t>
      </w:r>
      <w:r w:rsidR="00207450" w:rsidRPr="00571C0C">
        <w:rPr>
          <w:bCs/>
        </w:rPr>
        <w:t xml:space="preserve">46.9 percent </w:t>
      </w:r>
      <w:r w:rsidR="006259C3" w:rsidRPr="00571C0C">
        <w:rPr>
          <w:bCs/>
        </w:rPr>
        <w:t xml:space="preserve">fall </w:t>
      </w:r>
      <w:r w:rsidR="00207450" w:rsidRPr="00571C0C">
        <w:rPr>
          <w:bCs/>
        </w:rPr>
        <w:t>below R</w:t>
      </w:r>
      <w:r w:rsidR="00CB262B" w:rsidRPr="00571C0C">
        <w:rPr>
          <w:bCs/>
        </w:rPr>
        <w:t>p</w:t>
      </w:r>
      <w:r w:rsidR="00207450" w:rsidRPr="00571C0C">
        <w:rPr>
          <w:bCs/>
        </w:rPr>
        <w:t xml:space="preserve"> </w:t>
      </w:r>
      <w:r w:rsidR="00E72E86" w:rsidRPr="00571C0C">
        <w:rPr>
          <w:bCs/>
        </w:rPr>
        <w:t>500</w:t>
      </w:r>
      <w:r w:rsidR="00207450" w:rsidRPr="00571C0C">
        <w:rPr>
          <w:bCs/>
        </w:rPr>
        <w:t xml:space="preserve"> </w:t>
      </w:r>
      <w:r w:rsidR="00E72E86" w:rsidRPr="00571C0C">
        <w:rPr>
          <w:bCs/>
        </w:rPr>
        <w:t>m</w:t>
      </w:r>
      <w:r w:rsidR="00207450" w:rsidRPr="00571C0C">
        <w:rPr>
          <w:bCs/>
        </w:rPr>
        <w:t>illion.</w:t>
      </w:r>
      <w:r w:rsidR="005F01E5" w:rsidRPr="00571C0C">
        <w:rPr>
          <w:rStyle w:val="FootnoteReference"/>
          <w:bCs/>
        </w:rPr>
        <w:footnoteReference w:id="81"/>
      </w:r>
      <w:r w:rsidR="00207450" w:rsidRPr="00571C0C">
        <w:rPr>
          <w:bCs/>
        </w:rPr>
        <w:t xml:space="preserve"> </w:t>
      </w:r>
      <w:r w:rsidR="00D35778" w:rsidRPr="00571C0C">
        <w:rPr>
          <w:bCs/>
        </w:rPr>
        <w:t>Furthermore</w:t>
      </w:r>
      <w:r w:rsidR="003A6952" w:rsidRPr="00571C0C">
        <w:rPr>
          <w:bCs/>
        </w:rPr>
        <w:t xml:space="preserve">, the lower the threshold, the larger the efficiency burdens for any businesses that seek to abuse it by splitting their firms into multiple operations. </w:t>
      </w:r>
      <w:r w:rsidR="00093DBD" w:rsidRPr="00571C0C">
        <w:rPr>
          <w:bCs/>
        </w:rPr>
        <w:t>For both these reasons, a</w:t>
      </w:r>
      <w:r w:rsidR="004E3504" w:rsidRPr="00571C0C">
        <w:rPr>
          <w:bCs/>
        </w:rPr>
        <w:t xml:space="preserve"> threshold </w:t>
      </w:r>
      <w:r w:rsidR="002C2AAA" w:rsidRPr="00571C0C">
        <w:rPr>
          <w:bCs/>
        </w:rPr>
        <w:t xml:space="preserve">well below </w:t>
      </w:r>
      <w:r w:rsidR="004E3504" w:rsidRPr="00571C0C">
        <w:rPr>
          <w:bCs/>
        </w:rPr>
        <w:lastRenderedPageBreak/>
        <w:t>R</w:t>
      </w:r>
      <w:r w:rsidR="00CB262B" w:rsidRPr="00571C0C">
        <w:rPr>
          <w:bCs/>
        </w:rPr>
        <w:t>p</w:t>
      </w:r>
      <w:r w:rsidR="00B53625" w:rsidRPr="00571C0C">
        <w:rPr>
          <w:bCs/>
        </w:rPr>
        <w:t> </w:t>
      </w:r>
      <w:r w:rsidR="004E3504" w:rsidRPr="00571C0C">
        <w:rPr>
          <w:bCs/>
        </w:rPr>
        <w:t>5</w:t>
      </w:r>
      <w:r w:rsidR="00D276E7" w:rsidRPr="00571C0C">
        <w:rPr>
          <w:bCs/>
        </w:rPr>
        <w:t>00</w:t>
      </w:r>
      <w:r w:rsidR="00B53625" w:rsidRPr="00571C0C">
        <w:rPr>
          <w:bCs/>
        </w:rPr>
        <w:t> </w:t>
      </w:r>
      <w:r w:rsidR="00D276E7" w:rsidRPr="00571C0C">
        <w:rPr>
          <w:bCs/>
        </w:rPr>
        <w:t>m</w:t>
      </w:r>
      <w:r w:rsidR="004E3504" w:rsidRPr="00571C0C">
        <w:rPr>
          <w:bCs/>
        </w:rPr>
        <w:t>illion may</w:t>
      </w:r>
      <w:r w:rsidR="00D276E7" w:rsidRPr="00571C0C">
        <w:rPr>
          <w:bCs/>
        </w:rPr>
        <w:t>,</w:t>
      </w:r>
      <w:r w:rsidR="004E3504" w:rsidRPr="00571C0C">
        <w:rPr>
          <w:bCs/>
        </w:rPr>
        <w:t xml:space="preserve"> </w:t>
      </w:r>
      <w:r w:rsidR="001A6863" w:rsidRPr="00571C0C">
        <w:rPr>
          <w:bCs/>
        </w:rPr>
        <w:t>therefore</w:t>
      </w:r>
      <w:r w:rsidR="00D276E7" w:rsidRPr="00571C0C">
        <w:rPr>
          <w:bCs/>
        </w:rPr>
        <w:t>,</w:t>
      </w:r>
      <w:r w:rsidR="001A6863" w:rsidRPr="00571C0C">
        <w:rPr>
          <w:bCs/>
        </w:rPr>
        <w:t xml:space="preserve"> </w:t>
      </w:r>
      <w:r w:rsidR="004E3504" w:rsidRPr="00571C0C">
        <w:rPr>
          <w:bCs/>
        </w:rPr>
        <w:t>be desirable</w:t>
      </w:r>
      <w:r w:rsidR="001A6863" w:rsidRPr="00571C0C">
        <w:rPr>
          <w:bCs/>
        </w:rPr>
        <w:t xml:space="preserve">. On the other hand, </w:t>
      </w:r>
      <w:r w:rsidR="007A47F6" w:rsidRPr="00571C0C">
        <w:rPr>
          <w:bCs/>
        </w:rPr>
        <w:t xml:space="preserve">a threshold of </w:t>
      </w:r>
      <w:r w:rsidR="003502FF" w:rsidRPr="00571C0C">
        <w:rPr>
          <w:bCs/>
        </w:rPr>
        <w:t>R</w:t>
      </w:r>
      <w:r w:rsidR="0004266E" w:rsidRPr="00571C0C">
        <w:rPr>
          <w:bCs/>
        </w:rPr>
        <w:t>p</w:t>
      </w:r>
      <w:r w:rsidR="003502FF" w:rsidRPr="00571C0C">
        <w:rPr>
          <w:bCs/>
        </w:rPr>
        <w:t xml:space="preserve"> 5</w:t>
      </w:r>
      <w:r w:rsidR="00D276E7" w:rsidRPr="00571C0C">
        <w:rPr>
          <w:bCs/>
        </w:rPr>
        <w:t>00</w:t>
      </w:r>
      <w:r w:rsidR="003502FF" w:rsidRPr="00571C0C">
        <w:rPr>
          <w:bCs/>
        </w:rPr>
        <w:t xml:space="preserve"> </w:t>
      </w:r>
      <w:r w:rsidR="00D276E7" w:rsidRPr="00571C0C">
        <w:rPr>
          <w:bCs/>
        </w:rPr>
        <w:t>m</w:t>
      </w:r>
      <w:r w:rsidR="003502FF" w:rsidRPr="00571C0C">
        <w:rPr>
          <w:bCs/>
        </w:rPr>
        <w:t>illion</w:t>
      </w:r>
      <w:r w:rsidR="00700016" w:rsidRPr="00571C0C">
        <w:rPr>
          <w:bCs/>
        </w:rPr>
        <w:t xml:space="preserve"> would at least return </w:t>
      </w:r>
      <w:r w:rsidR="002C2AAA" w:rsidRPr="00571C0C">
        <w:rPr>
          <w:bCs/>
        </w:rPr>
        <w:t xml:space="preserve">the equivalent </w:t>
      </w:r>
      <w:r w:rsidR="00700016" w:rsidRPr="00571C0C">
        <w:rPr>
          <w:bCs/>
        </w:rPr>
        <w:t xml:space="preserve">VAT threshold </w:t>
      </w:r>
      <w:r w:rsidR="00BD7C60" w:rsidRPr="00571C0C">
        <w:rPr>
          <w:bCs/>
        </w:rPr>
        <w:t>closer to the R</w:t>
      </w:r>
      <w:r w:rsidR="00CB262B" w:rsidRPr="00571C0C">
        <w:rPr>
          <w:bCs/>
        </w:rPr>
        <w:t>p</w:t>
      </w:r>
      <w:r w:rsidR="00BD7C60" w:rsidRPr="00571C0C">
        <w:rPr>
          <w:bCs/>
        </w:rPr>
        <w:t xml:space="preserve"> 600 million at which it was set until 2014</w:t>
      </w:r>
      <w:r w:rsidR="00333BF7" w:rsidRPr="00571C0C">
        <w:rPr>
          <w:bCs/>
        </w:rPr>
        <w:t xml:space="preserve">. </w:t>
      </w:r>
    </w:p>
    <w:p w14:paraId="5BA7B351" w14:textId="123948C8" w:rsidR="00130BE0" w:rsidRPr="00571C0C" w:rsidRDefault="00B04190" w:rsidP="00130BE0">
      <w:pPr>
        <w:pStyle w:val="ListParagraph"/>
        <w:numPr>
          <w:ilvl w:val="0"/>
          <w:numId w:val="12"/>
        </w:numPr>
        <w:spacing w:before="120"/>
        <w:ind w:left="0" w:firstLine="0"/>
        <w:contextualSpacing w:val="0"/>
        <w:jc w:val="both"/>
        <w:rPr>
          <w:bCs/>
        </w:rPr>
      </w:pPr>
      <w:r w:rsidRPr="00571C0C">
        <w:rPr>
          <w:b/>
        </w:rPr>
        <w:t xml:space="preserve">One </w:t>
      </w:r>
      <w:r w:rsidR="00130BE0" w:rsidRPr="00571C0C">
        <w:rPr>
          <w:b/>
        </w:rPr>
        <w:t xml:space="preserve">weakness of the </w:t>
      </w:r>
      <w:r w:rsidR="00BB240D" w:rsidRPr="00571C0C">
        <w:rPr>
          <w:b/>
        </w:rPr>
        <w:t xml:space="preserve">above discussions on the </w:t>
      </w:r>
      <w:r w:rsidR="00130BE0" w:rsidRPr="00571C0C">
        <w:rPr>
          <w:b/>
        </w:rPr>
        <w:t xml:space="preserve">CIT and AFT is that </w:t>
      </w:r>
      <w:r w:rsidR="00901B27" w:rsidRPr="00571C0C">
        <w:rPr>
          <w:b/>
        </w:rPr>
        <w:t xml:space="preserve">more </w:t>
      </w:r>
      <w:r w:rsidR="00130BE0" w:rsidRPr="00571C0C">
        <w:rPr>
          <w:b/>
        </w:rPr>
        <w:t xml:space="preserve">consideration </w:t>
      </w:r>
      <w:r w:rsidR="00901B27" w:rsidRPr="00571C0C">
        <w:rPr>
          <w:b/>
        </w:rPr>
        <w:t xml:space="preserve">could be given </w:t>
      </w:r>
      <w:r w:rsidR="00130BE0" w:rsidRPr="00571C0C">
        <w:rPr>
          <w:b/>
        </w:rPr>
        <w:t xml:space="preserve">to </w:t>
      </w:r>
      <w:r w:rsidR="00C866D9" w:rsidRPr="00571C0C">
        <w:rPr>
          <w:b/>
        </w:rPr>
        <w:t xml:space="preserve">the </w:t>
      </w:r>
      <w:r w:rsidR="00130BE0" w:rsidRPr="00571C0C">
        <w:rPr>
          <w:b/>
        </w:rPr>
        <w:t xml:space="preserve">PIT regime. </w:t>
      </w:r>
      <w:bookmarkStart w:id="34" w:name="_Hlk177811174"/>
      <w:r w:rsidR="00130BE0" w:rsidRPr="00571C0C">
        <w:rPr>
          <w:bCs/>
        </w:rPr>
        <w:t xml:space="preserve">Although the PIT regime is </w:t>
      </w:r>
      <w:r w:rsidR="002907AF" w:rsidRPr="00571C0C">
        <w:rPr>
          <w:bCs/>
        </w:rPr>
        <w:t xml:space="preserve">mostly </w:t>
      </w:r>
      <w:r w:rsidR="00130BE0" w:rsidRPr="00571C0C">
        <w:rPr>
          <w:bCs/>
        </w:rPr>
        <w:t xml:space="preserve">beyond the scope of the present study, a </w:t>
      </w:r>
      <w:r w:rsidR="00722CE0" w:rsidRPr="00571C0C">
        <w:rPr>
          <w:bCs/>
        </w:rPr>
        <w:t xml:space="preserve">more </w:t>
      </w:r>
      <w:r w:rsidR="00130BE0" w:rsidRPr="00571C0C">
        <w:rPr>
          <w:bCs/>
        </w:rPr>
        <w:t xml:space="preserve">comprehensive assessment of business taxes </w:t>
      </w:r>
      <w:r w:rsidR="00722CE0" w:rsidRPr="00571C0C">
        <w:rPr>
          <w:bCs/>
        </w:rPr>
        <w:t xml:space="preserve">could </w:t>
      </w:r>
      <w:r w:rsidR="00130BE0" w:rsidRPr="00571C0C">
        <w:rPr>
          <w:bCs/>
        </w:rPr>
        <w:t>consider how businesses are taxed under the PIT in different countries</w:t>
      </w:r>
      <w:r w:rsidR="00F06A34" w:rsidRPr="00571C0C">
        <w:rPr>
          <w:bCs/>
        </w:rPr>
        <w:t xml:space="preserve">. </w:t>
      </w:r>
      <w:bookmarkEnd w:id="34"/>
      <w:r w:rsidR="00D276E7" w:rsidRPr="00571C0C">
        <w:rPr>
          <w:bCs/>
        </w:rPr>
        <w:t>As</w:t>
      </w:r>
      <w:r w:rsidR="000E0BF7" w:rsidRPr="00571C0C">
        <w:rPr>
          <w:bCs/>
        </w:rPr>
        <w:t xml:space="preserve"> in Indonesia, t</w:t>
      </w:r>
      <w:r w:rsidR="00130BE0" w:rsidRPr="00571C0C">
        <w:rPr>
          <w:bCs/>
        </w:rPr>
        <w:t>he PIT regimes of many countries have significant participation by MSMEs and unincorporated firms. For example, all unincorporated firms</w:t>
      </w:r>
      <w:r w:rsidR="00D276E7" w:rsidRPr="00571C0C">
        <w:rPr>
          <w:bCs/>
        </w:rPr>
        <w:t xml:space="preserve"> in Cambodia</w:t>
      </w:r>
      <w:r w:rsidR="00130BE0" w:rsidRPr="00571C0C">
        <w:rPr>
          <w:bCs/>
        </w:rPr>
        <w:t xml:space="preserve"> that meet the legal definition of small can file their taxable income under the PIT regime. In Australia, unincorporated firms and partnerships are not eligible to file under the CIT regime, even though the CIT has a reduced rate for MSMEs. </w:t>
      </w:r>
      <w:r w:rsidRPr="00571C0C">
        <w:rPr>
          <w:bCs/>
        </w:rPr>
        <w:t xml:space="preserve">It would also be worth considering </w:t>
      </w:r>
      <w:r w:rsidR="004F5FDB" w:rsidRPr="00571C0C">
        <w:rPr>
          <w:bCs/>
        </w:rPr>
        <w:t xml:space="preserve">the relative incentives for an entrepreneur to choose between business structures that fall under the PIT versus the CIT. </w:t>
      </w:r>
      <w:r w:rsidR="00130BE0" w:rsidRPr="00571C0C">
        <w:rPr>
          <w:bCs/>
        </w:rPr>
        <w:t>Large differences between the top PIT rates and relevant CIT rates can give rise to exploitable tax loopholes for high income earners.</w:t>
      </w:r>
      <w:r w:rsidR="00130BE0" w:rsidRPr="00571C0C">
        <w:rPr>
          <w:rStyle w:val="FootnoteReference"/>
          <w:bCs/>
        </w:rPr>
        <w:footnoteReference w:id="82"/>
      </w:r>
      <w:r w:rsidR="00130BE0" w:rsidRPr="00571C0C">
        <w:rPr>
          <w:bCs/>
        </w:rPr>
        <w:t xml:space="preserve"> Finally, the appropriateness of offering seven years of AFT-regime eligibility (with a R</w:t>
      </w:r>
      <w:r w:rsidR="0004266E" w:rsidRPr="00571C0C">
        <w:rPr>
          <w:bCs/>
        </w:rPr>
        <w:t>p</w:t>
      </w:r>
      <w:r w:rsidR="00130BE0" w:rsidRPr="00571C0C">
        <w:rPr>
          <w:bCs/>
        </w:rPr>
        <w:t xml:space="preserve"> 500 million tax-free threshold) to individual businesses that eventually graduate to the PIT (with just a R</w:t>
      </w:r>
      <w:r w:rsidR="0004266E" w:rsidRPr="00571C0C">
        <w:rPr>
          <w:bCs/>
        </w:rPr>
        <w:t>p</w:t>
      </w:r>
      <w:r w:rsidR="00130BE0" w:rsidRPr="00571C0C">
        <w:rPr>
          <w:bCs/>
        </w:rPr>
        <w:t xml:space="preserve"> 60 million tax-free threshold) should also be reviewed. </w:t>
      </w:r>
    </w:p>
    <w:p w14:paraId="4B971AD1" w14:textId="7C6CA519" w:rsidR="00130BE0" w:rsidRPr="002D5942" w:rsidRDefault="00130BE0" w:rsidP="00130BE0">
      <w:pPr>
        <w:pStyle w:val="Heading2"/>
        <w:rPr>
          <w:rFonts w:asciiTheme="minorHAnsi" w:hAnsiTheme="minorHAnsi" w:cstheme="minorHAnsi"/>
          <w:color w:val="4472C4" w:themeColor="accent1"/>
          <w:sz w:val="24"/>
          <w:szCs w:val="24"/>
        </w:rPr>
      </w:pPr>
      <w:bookmarkStart w:id="35" w:name="_Toc177819044"/>
      <w:r w:rsidRPr="002D5942">
        <w:rPr>
          <w:rFonts w:asciiTheme="minorHAnsi" w:hAnsiTheme="minorHAnsi" w:cstheme="minorHAnsi"/>
          <w:color w:val="4472C4" w:themeColor="accent1"/>
          <w:sz w:val="24"/>
          <w:szCs w:val="24"/>
        </w:rPr>
        <w:t xml:space="preserve">Administration and </w:t>
      </w:r>
      <w:r w:rsidR="00405397">
        <w:rPr>
          <w:rFonts w:asciiTheme="minorHAnsi" w:hAnsiTheme="minorHAnsi" w:cstheme="minorHAnsi"/>
          <w:color w:val="4472C4" w:themeColor="accent1"/>
          <w:sz w:val="24"/>
          <w:szCs w:val="24"/>
        </w:rPr>
        <w:t>c</w:t>
      </w:r>
      <w:r w:rsidRPr="002D5942">
        <w:rPr>
          <w:rFonts w:asciiTheme="minorHAnsi" w:hAnsiTheme="minorHAnsi" w:cstheme="minorHAnsi"/>
          <w:color w:val="4472C4" w:themeColor="accent1"/>
          <w:sz w:val="24"/>
          <w:szCs w:val="24"/>
        </w:rPr>
        <w:t>ompliance</w:t>
      </w:r>
      <w:bookmarkEnd w:id="35"/>
    </w:p>
    <w:p w14:paraId="7EECAF72" w14:textId="680DE7C9" w:rsidR="00130BE0" w:rsidRPr="00414E06" w:rsidRDefault="00130BE0" w:rsidP="00130BE0">
      <w:pPr>
        <w:pStyle w:val="ListParagraph"/>
        <w:numPr>
          <w:ilvl w:val="0"/>
          <w:numId w:val="12"/>
        </w:numPr>
        <w:spacing w:before="120"/>
        <w:ind w:left="0" w:firstLine="0"/>
        <w:contextualSpacing w:val="0"/>
        <w:jc w:val="both"/>
      </w:pPr>
      <w:r w:rsidRPr="008843A4">
        <w:rPr>
          <w:b/>
          <w:bCs/>
        </w:rPr>
        <w:t>Paying taxes under the AFT regime is relatively simple.</w:t>
      </w:r>
      <w:r>
        <w:t xml:space="preserve"> </w:t>
      </w:r>
      <w:r w:rsidR="00C50B7A">
        <w:t>When</w:t>
      </w:r>
      <w:r>
        <w:t xml:space="preserve"> a new business is registered, it is</w:t>
      </w:r>
      <w:r w:rsidR="00C50B7A">
        <w:t>,</w:t>
      </w:r>
      <w:r>
        <w:t xml:space="preserve"> by default</w:t>
      </w:r>
      <w:r w:rsidR="00C50B7A">
        <w:t>,</w:t>
      </w:r>
      <w:r>
        <w:t xml:space="preserve"> subject to the AFT regime. Alternatively, it may choose to opt into the CIT during business and tax registration, or by mail </w:t>
      </w:r>
      <w:proofErr w:type="gramStart"/>
      <w:r>
        <w:t>at a later date</w:t>
      </w:r>
      <w:proofErr w:type="gramEnd"/>
      <w:r>
        <w:t>.</w:t>
      </w:r>
      <w:r w:rsidDel="0088481B">
        <w:t xml:space="preserve"> </w:t>
      </w:r>
      <w:r>
        <w:t xml:space="preserve">Next, based on Indonesia’s self-assessment principle, businesses are expected to record, calculate, pay, and file their taxes. Monthly filing is compulsory and needs to be done irrespective of whether there is a tax liability due for the month. The data required for AFT filing is </w:t>
      </w:r>
      <w:proofErr w:type="gramStart"/>
      <w:r>
        <w:t>similar to</w:t>
      </w:r>
      <w:proofErr w:type="gramEnd"/>
      <w:r>
        <w:t xml:space="preserve"> CIT filing. Firms under both regimes are</w:t>
      </w:r>
      <w:r w:rsidDel="00960E7A">
        <w:t xml:space="preserve"> </w:t>
      </w:r>
      <w:r>
        <w:t xml:space="preserve">expected to maintain standard bookkeeping. However, since the tax obligations of AFT-regime firms are based on their revenues, DGT tax audits do not interrogate the other elements of their bookkeeping, and these firms are not expected to keep evidence related to expenses. </w:t>
      </w:r>
      <w:r w:rsidRPr="00B92E3D">
        <w:t>Moreover, unlike under the CIT, there is no separate requirement for annual filing at the end of the year.</w:t>
      </w:r>
      <w:r>
        <w:t xml:space="preserve"> </w:t>
      </w:r>
    </w:p>
    <w:p w14:paraId="59139B5A" w14:textId="7830DD09" w:rsidR="00130BE0" w:rsidRDefault="00130BE0" w:rsidP="00130BE0">
      <w:pPr>
        <w:pStyle w:val="ListParagraph"/>
        <w:numPr>
          <w:ilvl w:val="0"/>
          <w:numId w:val="12"/>
        </w:numPr>
        <w:spacing w:before="120"/>
        <w:ind w:left="0" w:firstLine="0"/>
        <w:contextualSpacing w:val="0"/>
        <w:jc w:val="both"/>
      </w:pPr>
      <w:r w:rsidRPr="00671367">
        <w:rPr>
          <w:b/>
        </w:rPr>
        <w:t xml:space="preserve">When calculating the tax liability that must be remitted </w:t>
      </w:r>
      <w:proofErr w:type="gramStart"/>
      <w:r w:rsidRPr="00671367">
        <w:rPr>
          <w:b/>
        </w:rPr>
        <w:t>in a given</w:t>
      </w:r>
      <w:proofErr w:type="gramEnd"/>
      <w:r w:rsidRPr="00671367">
        <w:rPr>
          <w:b/>
        </w:rPr>
        <w:t xml:space="preserve"> month, a business must deduct any taxes that have been withheld by third parties. </w:t>
      </w:r>
      <w:r w:rsidRPr="00680F0F">
        <w:t>Just as with</w:t>
      </w:r>
      <w:r w:rsidRPr="00671367">
        <w:rPr>
          <w:b/>
        </w:rPr>
        <w:t xml:space="preserve"> </w:t>
      </w:r>
      <w:r>
        <w:t xml:space="preserve">CIT, the same designated third parties are required to withhold taxes in transactions with </w:t>
      </w:r>
      <w:proofErr w:type="gramStart"/>
      <w:r>
        <w:t>AFT-regime</w:t>
      </w:r>
      <w:proofErr w:type="gramEnd"/>
      <w:r>
        <w:t xml:space="preserve"> </w:t>
      </w:r>
      <w:proofErr w:type="gramStart"/>
      <w:r>
        <w:t>taxpayers, and</w:t>
      </w:r>
      <w:proofErr w:type="gramEnd"/>
      <w:r>
        <w:t xml:space="preserve"> remit it to the state treasury on their behalf. Withholders provide an official receipt to the taxpayer upon doing so. This is then used as proof by the taxpayer when directly filing its taxes. </w:t>
      </w:r>
      <w:proofErr w:type="gramStart"/>
      <w:r>
        <w:t>Withholding on</w:t>
      </w:r>
      <w:proofErr w:type="gramEnd"/>
      <w:r>
        <w:t xml:space="preserve"> transactions with AFT-regime taxpayers is subject to a reduced rate of 0.5 percent of the value of the transaction. To ensure they get this reduced rate, taxpayers must provide designated </w:t>
      </w:r>
      <w:proofErr w:type="spellStart"/>
      <w:r>
        <w:t>withholders</w:t>
      </w:r>
      <w:proofErr w:type="spellEnd"/>
      <w:r>
        <w:t xml:space="preserve"> with a statement letter from the tax authority confirming their AFT-eligibility status. </w:t>
      </w:r>
      <w:r w:rsidR="000A6CFC">
        <w:t>As</w:t>
      </w:r>
      <w:r w:rsidR="00A75FA2">
        <w:t xml:space="preserve"> with </w:t>
      </w:r>
      <w:proofErr w:type="gramStart"/>
      <w:r w:rsidR="00A75FA2">
        <w:t>the CIT</w:t>
      </w:r>
      <w:proofErr w:type="gramEnd"/>
      <w:r w:rsidR="00A75FA2">
        <w:t xml:space="preserve">, AFT-regime firms can avoid overpaying withholding tax by applying to the DGT for a temporary pause on such collections. </w:t>
      </w:r>
      <w:r w:rsidR="00015331">
        <w:t xml:space="preserve">If </w:t>
      </w:r>
      <w:r w:rsidR="00A75FA2">
        <w:t xml:space="preserve">overpayment occurs, </w:t>
      </w:r>
      <w:r w:rsidR="00015331">
        <w:t xml:space="preserve">they can submit a request for a </w:t>
      </w:r>
      <w:r w:rsidR="00A75FA2">
        <w:t xml:space="preserve">refund at </w:t>
      </w:r>
      <w:r w:rsidR="00015331">
        <w:t xml:space="preserve">the </w:t>
      </w:r>
      <w:r w:rsidR="00A75FA2">
        <w:t>end of the tax year.</w:t>
      </w:r>
    </w:p>
    <w:p w14:paraId="603BBE1C" w14:textId="4721E00D" w:rsidR="00130BE0" w:rsidRPr="00036A74" w:rsidRDefault="00494782" w:rsidP="00130BE0">
      <w:pPr>
        <w:pStyle w:val="ListParagraph"/>
        <w:numPr>
          <w:ilvl w:val="0"/>
          <w:numId w:val="12"/>
        </w:numPr>
        <w:spacing w:before="120"/>
        <w:ind w:left="0" w:firstLine="0"/>
        <w:contextualSpacing w:val="0"/>
        <w:jc w:val="both"/>
      </w:pPr>
      <w:r w:rsidRPr="00036A74">
        <w:rPr>
          <w:b/>
        </w:rPr>
        <w:t xml:space="preserve">As </w:t>
      </w:r>
      <w:proofErr w:type="gramStart"/>
      <w:r w:rsidRPr="00036A74">
        <w:rPr>
          <w:b/>
        </w:rPr>
        <w:t>touched on</w:t>
      </w:r>
      <w:proofErr w:type="gramEnd"/>
      <w:r w:rsidRPr="00036A74">
        <w:rPr>
          <w:b/>
        </w:rPr>
        <w:t xml:space="preserve"> earlier, a</w:t>
      </w:r>
      <w:r w:rsidR="00130BE0" w:rsidRPr="00036A74">
        <w:rPr>
          <w:b/>
        </w:rPr>
        <w:t>n important compliance pain point arises during the transition to the CIT regime once a firm’s eligibility for the AFT expires.</w:t>
      </w:r>
      <w:r w:rsidR="00130BE0" w:rsidRPr="00036A74">
        <w:t xml:space="preserve"> The firm’s tax-filing responsibilities immediately become more complex. Businesses that have not maintained </w:t>
      </w:r>
      <w:r w:rsidR="00B5734D" w:rsidRPr="00036A74">
        <w:t xml:space="preserve">full </w:t>
      </w:r>
      <w:r w:rsidR="00130BE0" w:rsidRPr="00036A74">
        <w:t xml:space="preserve">standard bookkeeping and have never submitted an annual filing, must now begin doing so with relatively complex reporting </w:t>
      </w:r>
      <w:r w:rsidR="00B5734D" w:rsidRPr="00036A74">
        <w:t xml:space="preserve">and evidence </w:t>
      </w:r>
      <w:r w:rsidR="00130BE0" w:rsidRPr="00036A74">
        <w:t xml:space="preserve">requirements. There would appear to be a significant capacity shortfall at this transition point in the system for firms graduating out of the AFT. This deserves attention given the suspected very low compliance and registration even with the simpler AFT regime. </w:t>
      </w:r>
    </w:p>
    <w:p w14:paraId="6EF92005" w14:textId="2D11E318" w:rsidR="00130BE0" w:rsidRDefault="00130BE0" w:rsidP="00130BE0">
      <w:pPr>
        <w:pStyle w:val="ListParagraph"/>
        <w:numPr>
          <w:ilvl w:val="0"/>
          <w:numId w:val="12"/>
        </w:numPr>
        <w:spacing w:before="120"/>
        <w:ind w:left="0" w:firstLine="0"/>
        <w:contextualSpacing w:val="0"/>
        <w:jc w:val="both"/>
      </w:pPr>
      <w:r>
        <w:rPr>
          <w:b/>
          <w:bCs/>
        </w:rPr>
        <w:t xml:space="preserve">Not much is known about the tax compliance performance of firms in the AFT regime. </w:t>
      </w:r>
      <w:r w:rsidRPr="00891926">
        <w:t xml:space="preserve">The </w:t>
      </w:r>
      <w:r w:rsidRPr="00E03431">
        <w:t xml:space="preserve">tax authority’s risk-based approach to </w:t>
      </w:r>
      <w:r w:rsidR="00036A74" w:rsidRPr="00E03431">
        <w:t>CRM</w:t>
      </w:r>
      <w:r w:rsidRPr="00E03431">
        <w:t xml:space="preserve"> and </w:t>
      </w:r>
      <w:proofErr w:type="gramStart"/>
      <w:r w:rsidRPr="00E03431">
        <w:t>a focus</w:t>
      </w:r>
      <w:proofErr w:type="gramEnd"/>
      <w:r w:rsidRPr="00E03431">
        <w:t xml:space="preserve"> of their </w:t>
      </w:r>
      <w:r w:rsidR="00A549E6">
        <w:t>k</w:t>
      </w:r>
      <w:r w:rsidR="00036A74" w:rsidRPr="00E03431">
        <w:t xml:space="preserve">ey </w:t>
      </w:r>
      <w:r w:rsidR="00A549E6">
        <w:t>p</w:t>
      </w:r>
      <w:r w:rsidR="00036A74" w:rsidRPr="00E03431">
        <w:t xml:space="preserve">erformance </w:t>
      </w:r>
      <w:r w:rsidR="00A549E6">
        <w:t>i</w:t>
      </w:r>
      <w:r w:rsidR="00036A74" w:rsidRPr="00E03431">
        <w:t>ndicators</w:t>
      </w:r>
      <w:r w:rsidRPr="00E03431">
        <w:t xml:space="preserve"> on</w:t>
      </w:r>
      <w:r>
        <w:t xml:space="preserve"> meeting </w:t>
      </w:r>
      <w:r>
        <w:lastRenderedPageBreak/>
        <w:t>revenue targets, results in</w:t>
      </w:r>
      <w:r w:rsidRPr="00891926">
        <w:t xml:space="preserve"> </w:t>
      </w:r>
      <w:r>
        <w:t>a heavy</w:t>
      </w:r>
      <w:r w:rsidRPr="00891926">
        <w:t xml:space="preserve"> </w:t>
      </w:r>
      <w:r>
        <w:t xml:space="preserve">administrative </w:t>
      </w:r>
      <w:r w:rsidRPr="00891926">
        <w:t xml:space="preserve">emphasis on </w:t>
      </w:r>
      <w:r>
        <w:t xml:space="preserve">the largest potential </w:t>
      </w:r>
      <w:r w:rsidRPr="00891926">
        <w:t>sources of tax losses.</w:t>
      </w:r>
      <w:r>
        <w:t xml:space="preserve"> As a result, limited audit and compliance management effort is typically targeted at AFT-regime taxpayers and MSMEs more generally. Consequently, there </w:t>
      </w:r>
      <w:r w:rsidR="00036A74">
        <w:t>are</w:t>
      </w:r>
      <w:r>
        <w:t xml:space="preserve"> generally very limited data and insights available on either the formal or material compliance performance of these smaller firms. </w:t>
      </w:r>
    </w:p>
    <w:p w14:paraId="664E5693" w14:textId="47E23880" w:rsidR="00130BE0" w:rsidRDefault="00130BE0" w:rsidP="00130BE0">
      <w:pPr>
        <w:pStyle w:val="ListParagraph"/>
        <w:numPr>
          <w:ilvl w:val="0"/>
          <w:numId w:val="12"/>
        </w:numPr>
        <w:spacing w:before="120"/>
        <w:ind w:left="0" w:firstLine="0"/>
        <w:contextualSpacing w:val="0"/>
        <w:jc w:val="both"/>
      </w:pPr>
      <w:r>
        <w:rPr>
          <w:b/>
          <w:bCs/>
        </w:rPr>
        <w:t xml:space="preserve">Nonetheless, </w:t>
      </w:r>
      <w:r w:rsidR="00E01703">
        <w:rPr>
          <w:b/>
          <w:bCs/>
        </w:rPr>
        <w:t>participation</w:t>
      </w:r>
      <w:r w:rsidRPr="00315E8E">
        <w:rPr>
          <w:b/>
          <w:bCs/>
        </w:rPr>
        <w:t xml:space="preserve"> in the </w:t>
      </w:r>
      <w:r>
        <w:rPr>
          <w:b/>
          <w:bCs/>
        </w:rPr>
        <w:t xml:space="preserve">AFT </w:t>
      </w:r>
      <w:r w:rsidRPr="00315E8E">
        <w:rPr>
          <w:b/>
          <w:bCs/>
        </w:rPr>
        <w:t>regime is limited compared to the overall size of the MSME sector.</w:t>
      </w:r>
      <w:r>
        <w:t xml:space="preserve"> While there are no official statistics on the number of registrants or filers of AFT tax returns, the </w:t>
      </w:r>
      <w:r w:rsidR="009543FA">
        <w:t>DGT</w:t>
      </w:r>
      <w:r>
        <w:t xml:space="preserve"> reports that in 2021 there were a total of 1.65 million registered corporate taxpayers and 4.07 million registered </w:t>
      </w:r>
      <w:proofErr w:type="gramStart"/>
      <w:r>
        <w:t>nonemployee</w:t>
      </w:r>
      <w:proofErr w:type="gramEnd"/>
      <w:r>
        <w:t xml:space="preserve"> individual taxpayers in the tax system. These numbers include many who are paying CIT and PIT instead of the AFT. Separately, the OECD (2018) cites that there were 1.5 million businesses registered under the AFT regime in 2018. Nonetheless, the numbers pale in comparison to the more than </w:t>
      </w:r>
      <w:r w:rsidR="00945710">
        <w:t xml:space="preserve">26 </w:t>
      </w:r>
      <w:r>
        <w:t xml:space="preserve">million MSMEs </w:t>
      </w:r>
      <w:r w:rsidR="00F94193">
        <w:t>with</w:t>
      </w:r>
      <w:r w:rsidR="00E00B24">
        <w:t xml:space="preserve"> </w:t>
      </w:r>
      <w:r w:rsidR="00BB4020">
        <w:t>annual sales below R</w:t>
      </w:r>
      <w:r w:rsidR="0004266E">
        <w:t>p</w:t>
      </w:r>
      <w:r w:rsidR="00BB4020">
        <w:t xml:space="preserve"> 4.8 billion</w:t>
      </w:r>
      <w:r w:rsidR="00A4276A">
        <w:t xml:space="preserve"> in 2016</w:t>
      </w:r>
      <w:r w:rsidR="00036A74">
        <w:rPr>
          <w:rFonts w:cstheme="minorHAnsi"/>
        </w:rPr>
        <w:t>–</w:t>
      </w:r>
      <w:r w:rsidR="00F47A45">
        <w:t xml:space="preserve">an estimate based on data from the </w:t>
      </w:r>
      <w:r w:rsidR="002118D6">
        <w:t>2016 Economic Census</w:t>
      </w:r>
      <w:r>
        <w:t xml:space="preserve">. This </w:t>
      </w:r>
      <w:r w:rsidR="002750B4">
        <w:t xml:space="preserve">may </w:t>
      </w:r>
      <w:r w:rsidR="007E71B4">
        <w:t xml:space="preserve">suggest </w:t>
      </w:r>
      <w:r>
        <w:t>that despite the preferential treatment of the AFT, most businesses find it more advantageous to remain informal and completely outside of the tax net.</w:t>
      </w:r>
      <w:r w:rsidR="002750B4">
        <w:rPr>
          <w:rStyle w:val="FootnoteReference"/>
        </w:rPr>
        <w:footnoteReference w:id="83"/>
      </w:r>
      <w:r>
        <w:t xml:space="preserve"> </w:t>
      </w:r>
    </w:p>
    <w:p w14:paraId="665C41DB" w14:textId="1B093408" w:rsidR="00130BE0" w:rsidRDefault="00130BE0" w:rsidP="00130BE0">
      <w:pPr>
        <w:pStyle w:val="ListParagraph"/>
        <w:numPr>
          <w:ilvl w:val="0"/>
          <w:numId w:val="12"/>
        </w:numPr>
        <w:spacing w:before="120"/>
        <w:ind w:left="0" w:firstLine="0"/>
        <w:contextualSpacing w:val="0"/>
        <w:jc w:val="both"/>
      </w:pPr>
      <w:r w:rsidRPr="00671367">
        <w:rPr>
          <w:b/>
        </w:rPr>
        <w:t>Key reasons for noncompliance by AFT-eligible SMEs are knowledge gaps, low tax morale, tax burden, compliance complexity, and fear of monitoring.</w:t>
      </w:r>
      <w:r>
        <w:t xml:space="preserve"> A survey of 750 SMEs across the Indonesian cities of Jakarta, Surabaya, Medan, Makassar, Yogyakarta, and Solo was conducted in 2016 (Ipsos 2016). </w:t>
      </w:r>
      <w:r w:rsidR="00CB262B">
        <w:t>About</w:t>
      </w:r>
      <w:r>
        <w:t xml:space="preserve"> 55 percent of respondents did not know they needed to pay tax, and 60 percent pointed to unclear tax regulations and difficulties accessing compliance information. </w:t>
      </w:r>
      <w:proofErr w:type="gramStart"/>
      <w:r w:rsidR="00036A74">
        <w:t>One-h</w:t>
      </w:r>
      <w:r>
        <w:t>alf</w:t>
      </w:r>
      <w:proofErr w:type="gramEnd"/>
      <w:r>
        <w:t xml:space="preserve"> felt that existing tax payment procedures were cumbersome. Separately, 40 percent of SMEs did not think their taxes would be used for public benefit, and </w:t>
      </w:r>
      <w:r w:rsidR="00CB262B">
        <w:t>about</w:t>
      </w:r>
      <w:r>
        <w:t xml:space="preserve"> 46 percent held concerns that complying with taxes would lead to heavier future compliance monitoring by the tax authorities. Moreover, a large majority (73 percent) felt that the prevailing 1.0 percent AFT rate was unaffordable as their businesses were not yet sufficiently established. </w:t>
      </w:r>
    </w:p>
    <w:p w14:paraId="173656A1" w14:textId="02132EA5" w:rsidR="007C262E" w:rsidRPr="00EE5F08" w:rsidRDefault="00130BE0" w:rsidP="000B6FB4">
      <w:pPr>
        <w:pStyle w:val="ListParagraph"/>
        <w:numPr>
          <w:ilvl w:val="0"/>
          <w:numId w:val="12"/>
        </w:numPr>
        <w:spacing w:before="120"/>
        <w:ind w:left="0" w:firstLine="0"/>
        <w:contextualSpacing w:val="0"/>
        <w:jc w:val="both"/>
        <w:rPr>
          <w:rFonts w:asciiTheme="majorHAnsi" w:eastAsiaTheme="majorEastAsia" w:hAnsiTheme="majorHAnsi" w:cstheme="majorBidi"/>
          <w:color w:val="2F5496" w:themeColor="accent1" w:themeShade="BF"/>
          <w:sz w:val="32"/>
          <w:szCs w:val="32"/>
        </w:rPr>
      </w:pPr>
      <w:r w:rsidRPr="00EE5F08">
        <w:rPr>
          <w:b/>
        </w:rPr>
        <w:t xml:space="preserve">From 2018 to 2019, a collaborative study between the World Bank and the Indonesian tax authorities identified behavioral interventions for increasing MSME tax compliance (World Bank </w:t>
      </w:r>
      <w:r w:rsidRPr="00E03431">
        <w:rPr>
          <w:b/>
        </w:rPr>
        <w:t xml:space="preserve">2020). </w:t>
      </w:r>
      <w:r w:rsidRPr="00E03431">
        <w:t>Building on the findings of I</w:t>
      </w:r>
      <w:r w:rsidR="00036A74" w:rsidRPr="00E03431">
        <w:t>psos</w:t>
      </w:r>
      <w:r w:rsidRPr="00E03431">
        <w:t xml:space="preserve"> (2006), a randomized control trial (RCT) was conducted on a</w:t>
      </w:r>
      <w:r>
        <w:t xml:space="preserve"> sample of 24,000 SMEs in Java. The study provided firms with calendars containing reminders of tax due dates as well as other carefully designed messaging</w:t>
      </w:r>
      <w:r>
        <w:rPr>
          <w:rStyle w:val="FootnoteReference"/>
        </w:rPr>
        <w:footnoteReference w:id="84"/>
      </w:r>
      <w:r>
        <w:t xml:space="preserve"> on taxes. Different types of messages were bundled into three separate RCT treatments, targeted at 6,000 participants each. Overall, the messaging interventions were impactful</w:t>
      </w:r>
      <w:r w:rsidR="00036A74">
        <w:rPr>
          <w:rFonts w:cstheme="minorHAnsi"/>
        </w:rPr>
        <w:t>–</w:t>
      </w:r>
      <w:r>
        <w:t>increasing filing compliance by 4 percent and tax payments by filers by 7 percent. Messaging with deterrence features (noting consequences of noncompliance) were more effective at triggering firms to start complying. For those already complying, messaging about the payment process and social benefits of taxes were sufficient to motivate a 12 percent increase in tax payments. The messaging interventions were also cost effective</w:t>
      </w:r>
      <w:r w:rsidR="00E03431">
        <w:rPr>
          <w:rFonts w:cstheme="minorHAnsi"/>
        </w:rPr>
        <w:t>–</w:t>
      </w:r>
      <w:r>
        <w:t xml:space="preserve">tax collections increased significantly more than the cost of producing and distributing the calendars. </w:t>
      </w:r>
      <w:r w:rsidR="007C262E">
        <w:br w:type="page"/>
      </w:r>
    </w:p>
    <w:p w14:paraId="2E1F8535" w14:textId="1FF9C118" w:rsidR="00753D7F" w:rsidRPr="00B71B7B" w:rsidRDefault="00344D71" w:rsidP="00A765BB">
      <w:pPr>
        <w:pStyle w:val="Heading1"/>
        <w:spacing w:after="240"/>
        <w:ind w:left="0" w:firstLine="0"/>
      </w:pPr>
      <w:bookmarkStart w:id="36" w:name="_Toc177819045"/>
      <w:r>
        <w:lastRenderedPageBreak/>
        <w:t xml:space="preserve">Section </w:t>
      </w:r>
      <w:r w:rsidR="00C334EA">
        <w:t>4</w:t>
      </w:r>
      <w:r w:rsidR="00753D7F" w:rsidRPr="00B71B7B">
        <w:t xml:space="preserve">. </w:t>
      </w:r>
      <w:r w:rsidR="00C334EA">
        <w:t>Value-</w:t>
      </w:r>
      <w:r w:rsidR="005E7726">
        <w:t>a</w:t>
      </w:r>
      <w:r w:rsidR="00C334EA">
        <w:t xml:space="preserve">dded </w:t>
      </w:r>
      <w:r w:rsidR="00753D7F" w:rsidRPr="00B71B7B">
        <w:t>Tax</w:t>
      </w:r>
      <w:r w:rsidR="002E63A3">
        <w:t xml:space="preserve"> (VAT)</w:t>
      </w:r>
      <w:bookmarkEnd w:id="36"/>
    </w:p>
    <w:p w14:paraId="1A16B9CB" w14:textId="59CDC8D3" w:rsidR="00407CB2" w:rsidRPr="00E02EBB" w:rsidRDefault="00B10EEC" w:rsidP="00A84A08">
      <w:pPr>
        <w:pStyle w:val="ListParagraph"/>
        <w:numPr>
          <w:ilvl w:val="0"/>
          <w:numId w:val="12"/>
        </w:numPr>
        <w:spacing w:before="120"/>
        <w:ind w:left="0" w:firstLine="0"/>
        <w:contextualSpacing w:val="0"/>
        <w:jc w:val="both"/>
        <w:rPr>
          <w:b/>
          <w:bCs/>
        </w:rPr>
      </w:pPr>
      <w:r w:rsidRPr="00E02EBB">
        <w:rPr>
          <w:b/>
          <w:bCs/>
        </w:rPr>
        <w:t>VAT is a type of consumption tax that is levied</w:t>
      </w:r>
      <w:r w:rsidR="00960D39" w:rsidRPr="00E02EBB">
        <w:rPr>
          <w:b/>
          <w:bCs/>
        </w:rPr>
        <w:t xml:space="preserve"> </w:t>
      </w:r>
      <w:r w:rsidRPr="00E02EBB">
        <w:rPr>
          <w:b/>
          <w:bCs/>
        </w:rPr>
        <w:t xml:space="preserve">on a good or service </w:t>
      </w:r>
      <w:r w:rsidR="00C90A09" w:rsidRPr="00E02EBB">
        <w:rPr>
          <w:b/>
          <w:bCs/>
        </w:rPr>
        <w:t xml:space="preserve">by firms </w:t>
      </w:r>
      <w:r w:rsidRPr="00E02EBB">
        <w:rPr>
          <w:b/>
          <w:bCs/>
        </w:rPr>
        <w:t xml:space="preserve">at each stage of production. </w:t>
      </w:r>
      <w:r w:rsidR="0018533B" w:rsidRPr="00E02EBB">
        <w:t xml:space="preserve">Firms </w:t>
      </w:r>
      <w:r w:rsidR="00553D8F" w:rsidRPr="00E02EBB">
        <w:t xml:space="preserve">purchase inputs and convert them into a product </w:t>
      </w:r>
      <w:r w:rsidR="000C4913" w:rsidRPr="00E02EBB">
        <w:t>or service of greater value. It is this change in value</w:t>
      </w:r>
      <w:r w:rsidR="00AA0E25" w:rsidRPr="00E02EBB">
        <w:t xml:space="preserve">, at each stage of the production chain, </w:t>
      </w:r>
      <w:r w:rsidR="000C4913" w:rsidRPr="00E02EBB">
        <w:t xml:space="preserve">that is </w:t>
      </w:r>
      <w:r w:rsidR="002E63A3">
        <w:t>subject to</w:t>
      </w:r>
      <w:r w:rsidR="000C4913" w:rsidRPr="00E02EBB">
        <w:t xml:space="preserve"> VAT. </w:t>
      </w:r>
      <w:r w:rsidR="002D0806" w:rsidRPr="00E02EBB">
        <w:t xml:space="preserve">In principle, by the time the </w:t>
      </w:r>
      <w:r w:rsidR="00AA0E25" w:rsidRPr="00E02EBB">
        <w:t xml:space="preserve">product </w:t>
      </w:r>
      <w:r w:rsidR="002D0806" w:rsidRPr="00E02EBB">
        <w:t xml:space="preserve">reaches </w:t>
      </w:r>
      <w:r w:rsidR="00AA0E25" w:rsidRPr="00E02EBB">
        <w:t xml:space="preserve">its </w:t>
      </w:r>
      <w:r w:rsidR="002D0806" w:rsidRPr="00E02EBB">
        <w:t xml:space="preserve">final consumer, all </w:t>
      </w:r>
      <w:r w:rsidR="003C6996" w:rsidRPr="00E02EBB">
        <w:t xml:space="preserve">value added </w:t>
      </w:r>
      <w:r w:rsidR="00A54EFF" w:rsidRPr="00E02EBB">
        <w:t xml:space="preserve">throughout the </w:t>
      </w:r>
      <w:r w:rsidR="00C57CA7" w:rsidRPr="00E02EBB">
        <w:t xml:space="preserve">supply chain </w:t>
      </w:r>
      <w:r w:rsidR="00A54EFF" w:rsidRPr="00E02EBB">
        <w:t xml:space="preserve">has been </w:t>
      </w:r>
      <w:r w:rsidR="00407CB2" w:rsidRPr="00E02EBB">
        <w:t xml:space="preserve">sequentially </w:t>
      </w:r>
      <w:r w:rsidR="00A54EFF" w:rsidRPr="00E02EBB">
        <w:t xml:space="preserve">subject to </w:t>
      </w:r>
      <w:r w:rsidR="00C57CA7" w:rsidRPr="00E02EBB">
        <w:t>VAT</w:t>
      </w:r>
      <w:r w:rsidR="00A54EFF" w:rsidRPr="00E02EBB">
        <w:t>.</w:t>
      </w:r>
      <w:r w:rsidR="003C52A4" w:rsidRPr="00E02EBB">
        <w:t xml:space="preserve"> </w:t>
      </w:r>
    </w:p>
    <w:p w14:paraId="5384EA32" w14:textId="5B5BC454" w:rsidR="00B10EEC" w:rsidRPr="00B10EEC" w:rsidRDefault="009949B1" w:rsidP="00A84A08">
      <w:pPr>
        <w:pStyle w:val="ListParagraph"/>
        <w:numPr>
          <w:ilvl w:val="0"/>
          <w:numId w:val="12"/>
        </w:numPr>
        <w:spacing w:before="120"/>
        <w:ind w:left="0" w:firstLine="0"/>
        <w:contextualSpacing w:val="0"/>
        <w:jc w:val="both"/>
      </w:pPr>
      <w:r w:rsidRPr="00F10975">
        <w:rPr>
          <w:b/>
          <w:bCs/>
        </w:rPr>
        <w:t xml:space="preserve">Given </w:t>
      </w:r>
      <w:r w:rsidR="009A1C37">
        <w:rPr>
          <w:b/>
          <w:bCs/>
        </w:rPr>
        <w:t xml:space="preserve">this </w:t>
      </w:r>
      <w:r w:rsidR="00407CB2">
        <w:rPr>
          <w:b/>
          <w:bCs/>
        </w:rPr>
        <w:t xml:space="preserve">complex </w:t>
      </w:r>
      <w:r w:rsidR="00B10EEC" w:rsidRPr="00F10975">
        <w:rPr>
          <w:b/>
          <w:bCs/>
        </w:rPr>
        <w:t xml:space="preserve">multi-stage </w:t>
      </w:r>
      <w:r w:rsidR="00E02EBB">
        <w:rPr>
          <w:b/>
          <w:bCs/>
        </w:rPr>
        <w:t>process</w:t>
      </w:r>
      <w:r w:rsidR="0016031C" w:rsidRPr="00A765BB">
        <w:rPr>
          <w:b/>
          <w:bCs/>
        </w:rPr>
        <w:t>,</w:t>
      </w:r>
      <w:r w:rsidR="00B10EEC" w:rsidRPr="00A765BB">
        <w:rPr>
          <w:b/>
          <w:bCs/>
        </w:rPr>
        <w:t xml:space="preserve"> there are three </w:t>
      </w:r>
      <w:r w:rsidR="00BC0F6F" w:rsidRPr="00A765BB">
        <w:rPr>
          <w:b/>
          <w:bCs/>
        </w:rPr>
        <w:t xml:space="preserve">essential </w:t>
      </w:r>
      <w:r w:rsidR="00B10EEC" w:rsidRPr="00A765BB">
        <w:rPr>
          <w:b/>
          <w:bCs/>
        </w:rPr>
        <w:t xml:space="preserve">features </w:t>
      </w:r>
      <w:r w:rsidR="00112116" w:rsidRPr="00A765BB">
        <w:rPr>
          <w:b/>
          <w:bCs/>
        </w:rPr>
        <w:t xml:space="preserve">that </w:t>
      </w:r>
      <w:r w:rsidR="009A1C37">
        <w:rPr>
          <w:b/>
          <w:bCs/>
        </w:rPr>
        <w:t xml:space="preserve">can </w:t>
      </w:r>
      <w:r w:rsidR="00B10EEC" w:rsidRPr="00F10975">
        <w:rPr>
          <w:b/>
          <w:bCs/>
        </w:rPr>
        <w:t xml:space="preserve">ensure that </w:t>
      </w:r>
      <w:r w:rsidR="00A07350">
        <w:rPr>
          <w:b/>
          <w:bCs/>
        </w:rPr>
        <w:t xml:space="preserve">the VAT </w:t>
      </w:r>
      <w:r w:rsidR="00B10EEC" w:rsidRPr="00A765BB">
        <w:rPr>
          <w:b/>
          <w:bCs/>
        </w:rPr>
        <w:t xml:space="preserve">is a tax on </w:t>
      </w:r>
      <w:r w:rsidR="009A1C37">
        <w:rPr>
          <w:b/>
          <w:bCs/>
        </w:rPr>
        <w:t xml:space="preserve">final </w:t>
      </w:r>
      <w:r w:rsidR="00B10EEC" w:rsidRPr="00F10975">
        <w:rPr>
          <w:b/>
          <w:bCs/>
        </w:rPr>
        <w:t>consumption</w:t>
      </w:r>
      <w:r w:rsidR="003D2841">
        <w:rPr>
          <w:b/>
          <w:bCs/>
        </w:rPr>
        <w:t xml:space="preserve"> and not on business activities</w:t>
      </w:r>
      <w:r w:rsidR="00B10EEC" w:rsidRPr="00F10975">
        <w:rPr>
          <w:b/>
          <w:bCs/>
        </w:rPr>
        <w:t>.</w:t>
      </w:r>
      <w:r w:rsidR="00B10EEC" w:rsidRPr="00B10EEC">
        <w:t xml:space="preserve"> First, at each stage, net tax must be payable only on the difference between sales and </w:t>
      </w:r>
      <w:r w:rsidR="008E7E3C">
        <w:t xml:space="preserve">input </w:t>
      </w:r>
      <w:r w:rsidR="00B10EEC" w:rsidRPr="00B10EEC">
        <w:t>purchases. Second, there must be no breaks in the VAT chain: every business involved in the VAT chain should be able to recover taxes they incur on intermediate inputs or supplies. Third, the destination principle must be used in handling international trade</w:t>
      </w:r>
      <w:r w:rsidR="00011C4B">
        <w:t>:</w:t>
      </w:r>
      <w:r w:rsidR="00B10EEC" w:rsidRPr="00B10EEC">
        <w:t xml:space="preserve"> </w:t>
      </w:r>
      <w:r w:rsidR="00011C4B">
        <w:t>e</w:t>
      </w:r>
      <w:r w:rsidR="00B10EEC" w:rsidRPr="00B10EEC">
        <w:t xml:space="preserve">xports </w:t>
      </w:r>
      <w:r w:rsidR="00011C4B">
        <w:t xml:space="preserve">should be </w:t>
      </w:r>
      <w:r w:rsidR="00B10EEC" w:rsidRPr="00B10EEC">
        <w:t>taxed in the destination country, which is the place of consumption</w:t>
      </w:r>
      <w:r w:rsidR="009E1CEC">
        <w:t>,</w:t>
      </w:r>
      <w:r w:rsidR="00011C4B">
        <w:t xml:space="preserve"> while </w:t>
      </w:r>
      <w:r w:rsidR="00B10EEC" w:rsidRPr="00B10EEC">
        <w:t xml:space="preserve">imports </w:t>
      </w:r>
      <w:r w:rsidR="00011C4B">
        <w:t xml:space="preserve">should be </w:t>
      </w:r>
      <w:r w:rsidR="00B10EEC" w:rsidRPr="00B10EEC">
        <w:t xml:space="preserve">taxed </w:t>
      </w:r>
      <w:r w:rsidR="00B10EEC" w:rsidRPr="00B10EEC" w:rsidDel="009E1CEC">
        <w:t xml:space="preserve">at the </w:t>
      </w:r>
      <w:r w:rsidR="00B10EEC" w:rsidRPr="00B10EEC">
        <w:t xml:space="preserve">standard rate as domestic supplies. These three features ensure that VAT does not create </w:t>
      </w:r>
      <w:r w:rsidR="00E02EBB">
        <w:t xml:space="preserve">a </w:t>
      </w:r>
      <w:r w:rsidR="00B10EEC" w:rsidRPr="00B10EEC">
        <w:t>cascading</w:t>
      </w:r>
      <w:r w:rsidR="00594C0C">
        <w:t xml:space="preserve"> effect</w:t>
      </w:r>
      <w:r w:rsidR="002E63A3">
        <w:rPr>
          <w:rFonts w:cstheme="minorHAnsi"/>
        </w:rPr>
        <w:t>–</w:t>
      </w:r>
      <w:r w:rsidR="00B10EEC" w:rsidRPr="00B10EEC">
        <w:t xml:space="preserve">which refers to </w:t>
      </w:r>
      <w:r w:rsidR="009E1CEC">
        <w:t xml:space="preserve">a </w:t>
      </w:r>
      <w:r w:rsidR="00880D5A">
        <w:t>“</w:t>
      </w:r>
      <w:r w:rsidR="00B10EEC" w:rsidRPr="00B10EEC">
        <w:t>tax on ta</w:t>
      </w:r>
      <w:r w:rsidR="00880D5A">
        <w:t>x”</w:t>
      </w:r>
      <w:r w:rsidR="009E1CEC">
        <w:t>’</w:t>
      </w:r>
      <w:r w:rsidR="00B10EEC" w:rsidRPr="00B10EEC">
        <w:t xml:space="preserve"> that arises when tax is charged both on inputs and outputs. </w:t>
      </w:r>
      <w:r w:rsidR="0073198D">
        <w:t xml:space="preserve">These features </w:t>
      </w:r>
      <w:r w:rsidR="008D0270">
        <w:t xml:space="preserve">prevent the tax from </w:t>
      </w:r>
      <w:r w:rsidR="00B10EEC" w:rsidRPr="00B10EEC">
        <w:t>distort</w:t>
      </w:r>
      <w:r w:rsidR="0073198D">
        <w:t xml:space="preserve">ing </w:t>
      </w:r>
      <w:r w:rsidR="00B10EEC" w:rsidRPr="00B10EEC">
        <w:t>firms</w:t>
      </w:r>
      <w:r w:rsidR="0073198D">
        <w:t>’</w:t>
      </w:r>
      <w:r w:rsidR="00B10EEC" w:rsidRPr="00B10EEC">
        <w:t xml:space="preserve"> production decision</w:t>
      </w:r>
      <w:r w:rsidR="0073198D">
        <w:t>s</w:t>
      </w:r>
      <w:r w:rsidR="00191519">
        <w:t xml:space="preserve">–the </w:t>
      </w:r>
      <w:r w:rsidR="00B10EEC" w:rsidRPr="00B10EEC">
        <w:t>main allure of VAT.</w:t>
      </w:r>
      <w:r w:rsidR="00B10EEC" w:rsidRPr="00B10EEC">
        <w:rPr>
          <w:vertAlign w:val="superscript"/>
        </w:rPr>
        <w:footnoteReference w:id="85"/>
      </w:r>
    </w:p>
    <w:p w14:paraId="2D1966AB" w14:textId="6D8B0BDF" w:rsidR="00B10EEC" w:rsidRPr="00B10EEC" w:rsidRDefault="00B10EEC" w:rsidP="00A84A08">
      <w:pPr>
        <w:pStyle w:val="ListParagraph"/>
        <w:numPr>
          <w:ilvl w:val="0"/>
          <w:numId w:val="12"/>
        </w:numPr>
        <w:spacing w:before="120"/>
        <w:ind w:left="0" w:firstLine="0"/>
        <w:contextualSpacing w:val="0"/>
        <w:jc w:val="both"/>
        <w:rPr>
          <w:color w:val="000000" w:themeColor="text1"/>
        </w:rPr>
      </w:pPr>
      <w:r w:rsidRPr="00B10EEC">
        <w:rPr>
          <w:b/>
          <w:bCs/>
        </w:rPr>
        <w:t>In Indonesia, VAT liabilities are determined by the invoice-credit method, using an input-output mechanism.</w:t>
      </w:r>
      <w:r w:rsidRPr="00B10EEC">
        <w:t xml:space="preserve"> A firm </w:t>
      </w:r>
      <w:r w:rsidR="00722D07">
        <w:t xml:space="preserve">selling </w:t>
      </w:r>
      <w:r w:rsidRPr="00B10EEC">
        <w:t>taxable goods or services must typically charge VAT to the buyer. From the firm’s perspective, it is an output VAT. Then the buyer must pay the VAT to the firm. From the buyer’s perspective, it is an input VAT. To the extent that the goods or services are necessary for running the buyer’s business, the input VAT can then be credited against the buyer’s own output VAT. This mechanism ensures that only final consumption is taxed, not intermediate transaction</w:t>
      </w:r>
      <w:r w:rsidR="00E02EBB">
        <w:t>s</w:t>
      </w:r>
      <w:r w:rsidRPr="00B10EEC">
        <w:t xml:space="preserve"> between firms. </w:t>
      </w:r>
      <w:r w:rsidRPr="00B10EEC">
        <w:rPr>
          <w:color w:val="000000" w:themeColor="text1"/>
        </w:rPr>
        <w:t>Distortions may arise when there is a break in the VAT chain, which means that part of the tax paid on intermediate input</w:t>
      </w:r>
      <w:r w:rsidR="00FA3285">
        <w:rPr>
          <w:color w:val="000000" w:themeColor="text1"/>
        </w:rPr>
        <w:t>s</w:t>
      </w:r>
      <w:r w:rsidRPr="00B10EEC">
        <w:rPr>
          <w:color w:val="000000" w:themeColor="text1"/>
        </w:rPr>
        <w:t xml:space="preserve"> is not recovered, so that part of the value added in final consumption is taxed more than once.</w:t>
      </w:r>
    </w:p>
    <w:p w14:paraId="4284742E" w14:textId="77777777" w:rsidR="00B10EEC" w:rsidRPr="00687D2D" w:rsidRDefault="00B10EEC" w:rsidP="00690EAC">
      <w:pPr>
        <w:pStyle w:val="Heading2"/>
        <w:rPr>
          <w:rFonts w:asciiTheme="minorHAnsi" w:hAnsiTheme="minorHAnsi" w:cstheme="minorHAnsi"/>
          <w:color w:val="4472C4" w:themeColor="accent1"/>
          <w:sz w:val="24"/>
          <w:szCs w:val="24"/>
        </w:rPr>
      </w:pPr>
      <w:bookmarkStart w:id="37" w:name="_Toc177819046"/>
      <w:r w:rsidRPr="00687D2D">
        <w:rPr>
          <w:rFonts w:asciiTheme="minorHAnsi" w:hAnsiTheme="minorHAnsi" w:cstheme="minorHAnsi"/>
          <w:color w:val="4472C4" w:themeColor="accent1"/>
          <w:sz w:val="24"/>
          <w:szCs w:val="24"/>
        </w:rPr>
        <w:t>History of Indonesia’s VAT</w:t>
      </w:r>
      <w:bookmarkEnd w:id="37"/>
    </w:p>
    <w:p w14:paraId="51C2B17B" w14:textId="470A0557" w:rsidR="00A51A25" w:rsidRPr="00A84A08" w:rsidRDefault="00B10EEC" w:rsidP="00A84A08">
      <w:pPr>
        <w:pStyle w:val="ListParagraph"/>
        <w:numPr>
          <w:ilvl w:val="0"/>
          <w:numId w:val="12"/>
        </w:numPr>
        <w:spacing w:before="120"/>
        <w:ind w:left="0" w:firstLine="0"/>
        <w:contextualSpacing w:val="0"/>
        <w:jc w:val="both"/>
        <w:rPr>
          <w:color w:val="000000" w:themeColor="text1"/>
        </w:rPr>
      </w:pPr>
      <w:r w:rsidRPr="00A84A08">
        <w:rPr>
          <w:b/>
          <w:color w:val="000000" w:themeColor="text1"/>
        </w:rPr>
        <w:t xml:space="preserve">Indonesia </w:t>
      </w:r>
      <w:r w:rsidR="007C737F" w:rsidRPr="00A84A08">
        <w:rPr>
          <w:b/>
          <w:color w:val="000000" w:themeColor="text1"/>
        </w:rPr>
        <w:t xml:space="preserve">introduced </w:t>
      </w:r>
      <w:r w:rsidR="00BB6E62" w:rsidRPr="00A84A08">
        <w:rPr>
          <w:b/>
          <w:color w:val="000000" w:themeColor="text1"/>
        </w:rPr>
        <w:t>its</w:t>
      </w:r>
      <w:r w:rsidR="007C737F" w:rsidRPr="00A84A08">
        <w:rPr>
          <w:b/>
          <w:color w:val="000000" w:themeColor="text1"/>
        </w:rPr>
        <w:t xml:space="preserve"> </w:t>
      </w:r>
      <w:r w:rsidRPr="00A84A08">
        <w:rPr>
          <w:b/>
          <w:color w:val="000000" w:themeColor="text1"/>
        </w:rPr>
        <w:t xml:space="preserve">VAT in </w:t>
      </w:r>
      <w:r w:rsidR="00D621BA" w:rsidRPr="00A84A08">
        <w:rPr>
          <w:b/>
          <w:color w:val="000000" w:themeColor="text1"/>
        </w:rPr>
        <w:t xml:space="preserve">the </w:t>
      </w:r>
      <w:r w:rsidRPr="00A84A08">
        <w:rPr>
          <w:b/>
          <w:color w:val="000000" w:themeColor="text1"/>
        </w:rPr>
        <w:t xml:space="preserve">1980s, along with many other developing countries. </w:t>
      </w:r>
      <w:r w:rsidRPr="00A84A08">
        <w:rPr>
          <w:color w:val="000000" w:themeColor="text1"/>
        </w:rPr>
        <w:t xml:space="preserve">France was the first country </w:t>
      </w:r>
      <w:r w:rsidR="00F96084" w:rsidRPr="00A84A08">
        <w:rPr>
          <w:color w:val="000000" w:themeColor="text1"/>
        </w:rPr>
        <w:t xml:space="preserve">to </w:t>
      </w:r>
      <w:r w:rsidRPr="00A84A08">
        <w:rPr>
          <w:color w:val="000000" w:themeColor="text1"/>
        </w:rPr>
        <w:t>adopt VAT in the 19</w:t>
      </w:r>
      <w:r w:rsidR="0044000B">
        <w:rPr>
          <w:color w:val="000000" w:themeColor="text1"/>
        </w:rPr>
        <w:t>5</w:t>
      </w:r>
      <w:r w:rsidRPr="00A84A08">
        <w:rPr>
          <w:color w:val="000000" w:themeColor="text1"/>
        </w:rPr>
        <w:t xml:space="preserve">0s. </w:t>
      </w:r>
      <w:r w:rsidR="006267F6" w:rsidRPr="00A84A08">
        <w:rPr>
          <w:color w:val="000000" w:themeColor="text1"/>
        </w:rPr>
        <w:t xml:space="preserve">It was not until the late 1970s to mid-1980s that </w:t>
      </w:r>
      <w:r w:rsidRPr="00A84A08">
        <w:rPr>
          <w:color w:val="000000" w:themeColor="text1"/>
        </w:rPr>
        <w:t xml:space="preserve">VAT </w:t>
      </w:r>
      <w:r w:rsidR="006267F6" w:rsidRPr="00A84A08">
        <w:rPr>
          <w:color w:val="000000" w:themeColor="text1"/>
        </w:rPr>
        <w:t xml:space="preserve">started being rapidly implemented in </w:t>
      </w:r>
      <w:r w:rsidR="00D40CA4" w:rsidRPr="00A84A08">
        <w:rPr>
          <w:color w:val="000000" w:themeColor="text1"/>
        </w:rPr>
        <w:t>developing countries</w:t>
      </w:r>
      <w:r w:rsidRPr="00A84A08">
        <w:rPr>
          <w:color w:val="000000" w:themeColor="text1"/>
        </w:rPr>
        <w:t xml:space="preserve">. </w:t>
      </w:r>
      <w:r w:rsidR="00346CCA" w:rsidRPr="00A84A08">
        <w:rPr>
          <w:color w:val="000000" w:themeColor="text1"/>
        </w:rPr>
        <w:t xml:space="preserve">In 1977, </w:t>
      </w:r>
      <w:r w:rsidR="00E02EBB">
        <w:rPr>
          <w:color w:val="000000" w:themeColor="text1"/>
        </w:rPr>
        <w:t xml:space="preserve">the Republic of </w:t>
      </w:r>
      <w:r w:rsidRPr="00A84A08">
        <w:rPr>
          <w:color w:val="000000" w:themeColor="text1"/>
        </w:rPr>
        <w:t>Korea became the first Asian country to adopt a VAT</w:t>
      </w:r>
      <w:r w:rsidR="00346CCA" w:rsidRPr="00A84A08">
        <w:rPr>
          <w:color w:val="000000" w:themeColor="text1"/>
        </w:rPr>
        <w:t xml:space="preserve">. It was </w:t>
      </w:r>
      <w:r w:rsidRPr="00A84A08">
        <w:rPr>
          <w:color w:val="000000" w:themeColor="text1"/>
        </w:rPr>
        <w:t xml:space="preserve">followed by Indonesia in 1985 and the Philippines in 1988. VAT </w:t>
      </w:r>
      <w:r w:rsidR="00F13B95" w:rsidRPr="00A84A08">
        <w:rPr>
          <w:color w:val="000000" w:themeColor="text1"/>
        </w:rPr>
        <w:t xml:space="preserve">regimes are </w:t>
      </w:r>
      <w:r w:rsidR="002E63A3">
        <w:rPr>
          <w:color w:val="000000" w:themeColor="text1"/>
        </w:rPr>
        <w:t xml:space="preserve">now </w:t>
      </w:r>
      <w:r w:rsidRPr="00A84A08">
        <w:rPr>
          <w:color w:val="000000" w:themeColor="text1"/>
        </w:rPr>
        <w:t xml:space="preserve">implemented in </w:t>
      </w:r>
      <w:r w:rsidR="00E94CF9">
        <w:rPr>
          <w:color w:val="000000" w:themeColor="text1"/>
        </w:rPr>
        <w:t xml:space="preserve">more than 170 </w:t>
      </w:r>
      <w:r w:rsidRPr="00A84A08">
        <w:rPr>
          <w:color w:val="000000" w:themeColor="text1"/>
        </w:rPr>
        <w:t xml:space="preserve">countries around the world (OECD </w:t>
      </w:r>
      <w:r w:rsidR="00021AC9">
        <w:rPr>
          <w:color w:val="000000" w:themeColor="text1"/>
        </w:rPr>
        <w:t>2022</w:t>
      </w:r>
      <w:r w:rsidRPr="00A84A08">
        <w:rPr>
          <w:color w:val="000000" w:themeColor="text1"/>
        </w:rPr>
        <w:t xml:space="preserve">). </w:t>
      </w:r>
    </w:p>
    <w:p w14:paraId="6E30B7E2" w14:textId="07DFA764" w:rsidR="00B10EEC" w:rsidRPr="00A84A08" w:rsidRDefault="00B10EEC" w:rsidP="00A84A08">
      <w:pPr>
        <w:pStyle w:val="ListParagraph"/>
        <w:numPr>
          <w:ilvl w:val="0"/>
          <w:numId w:val="12"/>
        </w:numPr>
        <w:spacing w:before="120"/>
        <w:ind w:left="0" w:firstLine="0"/>
        <w:contextualSpacing w:val="0"/>
        <w:jc w:val="both"/>
        <w:rPr>
          <w:color w:val="000000" w:themeColor="text1"/>
        </w:rPr>
      </w:pPr>
      <w:r w:rsidRPr="00A84A08">
        <w:rPr>
          <w:b/>
          <w:color w:val="000000" w:themeColor="text1"/>
        </w:rPr>
        <w:t>Indonesia</w:t>
      </w:r>
      <w:r w:rsidR="00190A1D" w:rsidRPr="00A84A08">
        <w:rPr>
          <w:b/>
          <w:color w:val="000000" w:themeColor="text1"/>
        </w:rPr>
        <w:t xml:space="preserve">’s </w:t>
      </w:r>
      <w:r w:rsidR="00843AE8" w:rsidRPr="00A84A08">
        <w:rPr>
          <w:b/>
          <w:color w:val="000000" w:themeColor="text1"/>
        </w:rPr>
        <w:t xml:space="preserve">VAT was </w:t>
      </w:r>
      <w:r w:rsidR="00730E47" w:rsidRPr="00A84A08">
        <w:rPr>
          <w:b/>
          <w:color w:val="000000" w:themeColor="text1"/>
        </w:rPr>
        <w:t xml:space="preserve">adopted </w:t>
      </w:r>
      <w:r w:rsidR="00843AE8" w:rsidRPr="00A84A08">
        <w:rPr>
          <w:b/>
          <w:color w:val="000000" w:themeColor="text1"/>
        </w:rPr>
        <w:t xml:space="preserve">as part of </w:t>
      </w:r>
      <w:r w:rsidR="00730E47" w:rsidRPr="00A84A08">
        <w:rPr>
          <w:b/>
          <w:color w:val="000000" w:themeColor="text1"/>
        </w:rPr>
        <w:t xml:space="preserve">comprehensive </w:t>
      </w:r>
      <w:r w:rsidR="00875B5A" w:rsidRPr="00A84A08">
        <w:rPr>
          <w:b/>
          <w:color w:val="000000" w:themeColor="text1"/>
        </w:rPr>
        <w:t xml:space="preserve">tax </w:t>
      </w:r>
      <w:r w:rsidR="00730E47" w:rsidRPr="00A84A08">
        <w:rPr>
          <w:b/>
          <w:color w:val="000000" w:themeColor="text1"/>
        </w:rPr>
        <w:t xml:space="preserve">system </w:t>
      </w:r>
      <w:r w:rsidR="00843AE8" w:rsidRPr="00A84A08">
        <w:rPr>
          <w:b/>
          <w:color w:val="000000" w:themeColor="text1"/>
        </w:rPr>
        <w:t xml:space="preserve">reforms </w:t>
      </w:r>
      <w:r w:rsidRPr="00A84A08">
        <w:rPr>
          <w:b/>
          <w:color w:val="000000" w:themeColor="text1"/>
        </w:rPr>
        <w:t xml:space="preserve">in </w:t>
      </w:r>
      <w:r w:rsidR="00CC518C" w:rsidRPr="00A84A08">
        <w:rPr>
          <w:b/>
          <w:color w:val="000000" w:themeColor="text1"/>
        </w:rPr>
        <w:t>1983 and</w:t>
      </w:r>
      <w:r w:rsidR="00730E47" w:rsidRPr="00A84A08">
        <w:rPr>
          <w:b/>
          <w:color w:val="000000" w:themeColor="text1"/>
        </w:rPr>
        <w:t xml:space="preserve"> </w:t>
      </w:r>
      <w:r w:rsidRPr="00A84A08">
        <w:rPr>
          <w:b/>
          <w:color w:val="000000" w:themeColor="text1"/>
        </w:rPr>
        <w:t>became effective in April 1985.</w:t>
      </w:r>
      <w:r w:rsidR="00626053" w:rsidRPr="00A84A08">
        <w:rPr>
          <w:b/>
          <w:color w:val="000000" w:themeColor="text1"/>
        </w:rPr>
        <w:t xml:space="preserve"> </w:t>
      </w:r>
      <w:r w:rsidR="00626053" w:rsidRPr="00A84A08">
        <w:rPr>
          <w:color w:val="000000" w:themeColor="text1"/>
        </w:rPr>
        <w:t>As discussed in the CIT section, 1983 saw major changes to Indonesia’s tax regime</w:t>
      </w:r>
      <w:r w:rsidR="00E02EBB">
        <w:rPr>
          <w:rFonts w:cstheme="minorHAnsi"/>
          <w:color w:val="000000" w:themeColor="text1"/>
        </w:rPr>
        <w:t>–</w:t>
      </w:r>
      <w:r w:rsidR="004F1840" w:rsidRPr="00A84A08">
        <w:rPr>
          <w:color w:val="000000" w:themeColor="text1"/>
        </w:rPr>
        <w:t>to simplify the system, improve compliance, and reduce the heavy fiscal reliance on resource-sector revenues.</w:t>
      </w:r>
      <w:r w:rsidR="00626053" w:rsidRPr="00A84A08">
        <w:rPr>
          <w:color w:val="000000" w:themeColor="text1"/>
        </w:rPr>
        <w:t xml:space="preserve"> </w:t>
      </w:r>
      <w:r w:rsidR="00B40EE2" w:rsidRPr="00A84A08">
        <w:rPr>
          <w:color w:val="000000" w:themeColor="text1"/>
        </w:rPr>
        <w:t>One such change</w:t>
      </w:r>
      <w:r w:rsidR="00035ECC" w:rsidRPr="00A84A08">
        <w:rPr>
          <w:color w:val="000000" w:themeColor="text1"/>
        </w:rPr>
        <w:t xml:space="preserve"> was the introduction of </w:t>
      </w:r>
      <w:r w:rsidR="00B40EE2" w:rsidRPr="00A84A08">
        <w:rPr>
          <w:color w:val="000000" w:themeColor="text1"/>
        </w:rPr>
        <w:t xml:space="preserve">a </w:t>
      </w:r>
      <w:r w:rsidR="00E02EBB">
        <w:rPr>
          <w:color w:val="000000" w:themeColor="text1"/>
        </w:rPr>
        <w:t>VAT</w:t>
      </w:r>
      <w:r w:rsidR="004E0044" w:rsidRPr="00A84A08">
        <w:rPr>
          <w:color w:val="000000" w:themeColor="text1"/>
        </w:rPr>
        <w:t xml:space="preserve"> to replace a </w:t>
      </w:r>
      <w:r w:rsidR="00E02EBB">
        <w:rPr>
          <w:color w:val="000000" w:themeColor="text1"/>
        </w:rPr>
        <w:t>s</w:t>
      </w:r>
      <w:r w:rsidR="004E0044" w:rsidRPr="00A84A08">
        <w:rPr>
          <w:color w:val="000000" w:themeColor="text1"/>
        </w:rPr>
        <w:t xml:space="preserve">ales </w:t>
      </w:r>
      <w:r w:rsidR="00E02EBB">
        <w:rPr>
          <w:color w:val="000000" w:themeColor="text1"/>
        </w:rPr>
        <w:t>t</w:t>
      </w:r>
      <w:r w:rsidR="004E0044" w:rsidRPr="00A84A08">
        <w:rPr>
          <w:color w:val="000000" w:themeColor="text1"/>
        </w:rPr>
        <w:t xml:space="preserve">ax regime that had been in place since 1951. </w:t>
      </w:r>
      <w:r w:rsidR="00E02EBB">
        <w:rPr>
          <w:color w:val="000000" w:themeColor="text1"/>
        </w:rPr>
        <w:t>Given</w:t>
      </w:r>
      <w:r w:rsidRPr="00A84A08">
        <w:rPr>
          <w:color w:val="000000" w:themeColor="text1"/>
        </w:rPr>
        <w:t xml:space="preserve"> the limited capacity of tax administration, VAT was first designed to be simple and applied only to the manufacturing sector and imports. The advantages were fewer registered firms, clearly identifiable taxable commodities, and a less complex administration. On the other hand, the revenue base was much smaller. Over time, the administration gradually expanded the tax base, from only manufacturing to wholesale and retail firms, and later to services.</w:t>
      </w:r>
    </w:p>
    <w:tbl>
      <w:tblPr>
        <w:tblW w:w="6480" w:type="dxa"/>
        <w:jc w:val="center"/>
        <w:tblLook w:val="04A0" w:firstRow="1" w:lastRow="0" w:firstColumn="1" w:lastColumn="0" w:noHBand="0" w:noVBand="1"/>
      </w:tblPr>
      <w:tblGrid>
        <w:gridCol w:w="1464"/>
        <w:gridCol w:w="919"/>
        <w:gridCol w:w="880"/>
        <w:gridCol w:w="880"/>
        <w:gridCol w:w="880"/>
        <w:gridCol w:w="1457"/>
      </w:tblGrid>
      <w:tr w:rsidR="002747EC" w:rsidRPr="00B10EEC" w14:paraId="0A002ECB" w14:textId="77777777" w:rsidTr="0008418F">
        <w:trPr>
          <w:trHeight w:val="341"/>
          <w:jc w:val="center"/>
        </w:trPr>
        <w:tc>
          <w:tcPr>
            <w:tcW w:w="6480" w:type="dxa"/>
            <w:gridSpan w:val="6"/>
            <w:tcBorders>
              <w:left w:val="nil"/>
              <w:bottom w:val="single" w:sz="4" w:space="0" w:color="auto"/>
              <w:right w:val="nil"/>
            </w:tcBorders>
            <w:shd w:val="clear" w:color="auto" w:fill="auto"/>
            <w:vAlign w:val="center"/>
          </w:tcPr>
          <w:p w14:paraId="640AB64A" w14:textId="4C937B8A" w:rsidR="002747EC" w:rsidRPr="00B10EEC" w:rsidRDefault="00B0333C" w:rsidP="0008418F">
            <w:pPr>
              <w:pStyle w:val="Caption"/>
              <w:rPr>
                <w:rFonts w:cs="Calibri"/>
                <w:color w:val="000000"/>
                <w:sz w:val="18"/>
                <w:szCs w:val="18"/>
              </w:rPr>
            </w:pPr>
            <w:bookmarkStart w:id="38" w:name="_Toc177576304"/>
            <w:r>
              <w:lastRenderedPageBreak/>
              <w:t xml:space="preserve">Table </w:t>
            </w:r>
            <w:r>
              <w:fldChar w:fldCharType="begin"/>
            </w:r>
            <w:r>
              <w:instrText xml:space="preserve"> SEQ Table \* ARABIC </w:instrText>
            </w:r>
            <w:r>
              <w:fldChar w:fldCharType="separate"/>
            </w:r>
            <w:r w:rsidR="005B22D1">
              <w:rPr>
                <w:noProof/>
              </w:rPr>
              <w:t>4</w:t>
            </w:r>
            <w:r>
              <w:fldChar w:fldCharType="end"/>
            </w:r>
            <w:r>
              <w:t xml:space="preserve">.1: </w:t>
            </w:r>
            <w:r w:rsidR="002747EC" w:rsidRPr="00B10EEC">
              <w:rPr>
                <w:rFonts w:cstheme="minorHAnsi"/>
                <w:sz w:val="20"/>
              </w:rPr>
              <w:t>Changes in main VAT features through law revisions</w:t>
            </w:r>
            <w:bookmarkEnd w:id="38"/>
          </w:p>
        </w:tc>
      </w:tr>
      <w:tr w:rsidR="002747EC" w:rsidRPr="00B10EEC" w14:paraId="2C37546A" w14:textId="77777777" w:rsidTr="0008418F">
        <w:trPr>
          <w:trHeight w:val="530"/>
          <w:jc w:val="center"/>
        </w:trPr>
        <w:tc>
          <w:tcPr>
            <w:tcW w:w="1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E987" w14:textId="77777777" w:rsidR="002747EC" w:rsidRPr="00B10EEC" w:rsidRDefault="002747EC">
            <w:pPr>
              <w:spacing w:after="0"/>
              <w:ind w:left="0" w:firstLine="0"/>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Tax features</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EBA55" w14:textId="585012E8" w:rsidR="002747EC" w:rsidRPr="00B10EEC" w:rsidRDefault="002747EC">
            <w:pPr>
              <w:spacing w:after="0"/>
              <w:ind w:left="0" w:firstLine="0"/>
              <w:jc w:val="center"/>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 xml:space="preserve">Law </w:t>
            </w:r>
            <w:r w:rsidR="00E03431">
              <w:rPr>
                <w:rFonts w:ascii="Calibri" w:eastAsia="Times New Roman" w:hAnsi="Calibri" w:cs="Calibri"/>
                <w:b/>
                <w:color w:val="000000"/>
                <w:sz w:val="18"/>
                <w:szCs w:val="18"/>
              </w:rPr>
              <w:t xml:space="preserve">No. </w:t>
            </w:r>
            <w:r w:rsidRPr="00B10EEC">
              <w:rPr>
                <w:rFonts w:ascii="Calibri" w:eastAsia="Times New Roman" w:hAnsi="Calibri" w:cs="Calibri"/>
                <w:b/>
                <w:color w:val="000000"/>
                <w:sz w:val="18"/>
                <w:szCs w:val="18"/>
              </w:rPr>
              <w:t>8/1983</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23FF" w14:textId="1E1AABC0" w:rsidR="002747EC" w:rsidRPr="00B10EEC" w:rsidRDefault="002747EC">
            <w:pPr>
              <w:spacing w:after="0"/>
              <w:ind w:left="0" w:firstLine="0"/>
              <w:jc w:val="center"/>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 xml:space="preserve">Law </w:t>
            </w:r>
            <w:r w:rsidR="00E03431">
              <w:rPr>
                <w:rFonts w:ascii="Calibri" w:eastAsia="Times New Roman" w:hAnsi="Calibri" w:cs="Calibri"/>
                <w:b/>
                <w:color w:val="000000"/>
                <w:sz w:val="18"/>
                <w:szCs w:val="18"/>
              </w:rPr>
              <w:t xml:space="preserve">No. </w:t>
            </w:r>
            <w:r w:rsidRPr="00B10EEC">
              <w:rPr>
                <w:rFonts w:ascii="Calibri" w:eastAsia="Times New Roman" w:hAnsi="Calibri" w:cs="Calibri"/>
                <w:b/>
                <w:color w:val="000000"/>
                <w:sz w:val="18"/>
                <w:szCs w:val="18"/>
              </w:rPr>
              <w:t>11/1994</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4D4A9" w14:textId="463443D1" w:rsidR="002747EC" w:rsidRPr="00B10EEC" w:rsidRDefault="002747EC">
            <w:pPr>
              <w:spacing w:after="0"/>
              <w:ind w:left="0" w:firstLine="0"/>
              <w:jc w:val="center"/>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 xml:space="preserve">Law </w:t>
            </w:r>
            <w:r w:rsidR="00E03431">
              <w:rPr>
                <w:rFonts w:ascii="Calibri" w:eastAsia="Times New Roman" w:hAnsi="Calibri" w:cs="Calibri"/>
                <w:b/>
                <w:color w:val="000000"/>
                <w:sz w:val="18"/>
                <w:szCs w:val="18"/>
              </w:rPr>
              <w:t xml:space="preserve">No. </w:t>
            </w:r>
            <w:r w:rsidRPr="00B10EEC">
              <w:rPr>
                <w:rFonts w:ascii="Calibri" w:eastAsia="Times New Roman" w:hAnsi="Calibri" w:cs="Calibri"/>
                <w:b/>
                <w:color w:val="000000"/>
                <w:sz w:val="18"/>
                <w:szCs w:val="18"/>
              </w:rPr>
              <w:t>18/2000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F4E3B" w14:textId="21BBE236" w:rsidR="002747EC" w:rsidRPr="00B10EEC" w:rsidRDefault="002747EC">
            <w:pPr>
              <w:spacing w:after="0"/>
              <w:ind w:left="-41" w:firstLine="0"/>
              <w:jc w:val="center"/>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Law</w:t>
            </w:r>
            <w:r w:rsidR="00E03431">
              <w:rPr>
                <w:rFonts w:ascii="Calibri" w:eastAsia="Times New Roman" w:hAnsi="Calibri" w:cs="Calibri"/>
                <w:b/>
                <w:color w:val="000000"/>
                <w:sz w:val="18"/>
                <w:szCs w:val="18"/>
              </w:rPr>
              <w:t xml:space="preserve"> No.</w:t>
            </w:r>
            <w:r w:rsidRPr="00B10EEC">
              <w:rPr>
                <w:rFonts w:ascii="Calibri" w:eastAsia="Times New Roman" w:hAnsi="Calibri" w:cs="Calibri"/>
                <w:b/>
                <w:color w:val="000000"/>
                <w:sz w:val="18"/>
                <w:szCs w:val="18"/>
              </w:rPr>
              <w:t xml:space="preserve"> 42/2009</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90A93" w14:textId="22F55A0E" w:rsidR="002747EC" w:rsidRPr="00B10EEC" w:rsidRDefault="002747EC">
            <w:pPr>
              <w:spacing w:after="0"/>
              <w:ind w:left="0" w:firstLine="0"/>
              <w:jc w:val="center"/>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Law</w:t>
            </w:r>
            <w:r w:rsidR="00E03431">
              <w:rPr>
                <w:rFonts w:ascii="Calibri" w:eastAsia="Times New Roman" w:hAnsi="Calibri" w:cs="Calibri"/>
                <w:b/>
                <w:color w:val="000000"/>
                <w:sz w:val="18"/>
                <w:szCs w:val="18"/>
              </w:rPr>
              <w:t xml:space="preserve"> No.</w:t>
            </w:r>
            <w:r w:rsidRPr="00B10EEC">
              <w:rPr>
                <w:rFonts w:ascii="Calibri" w:eastAsia="Times New Roman" w:hAnsi="Calibri" w:cs="Calibri"/>
                <w:b/>
                <w:color w:val="000000"/>
                <w:sz w:val="18"/>
                <w:szCs w:val="18"/>
              </w:rPr>
              <w:br/>
              <w:t>7/2021</w:t>
            </w:r>
          </w:p>
        </w:tc>
      </w:tr>
      <w:tr w:rsidR="002747EC" w:rsidRPr="00B10EEC" w14:paraId="378698C5" w14:textId="77777777" w:rsidTr="0008418F">
        <w:trPr>
          <w:trHeight w:val="962"/>
          <w:jc w:val="center"/>
        </w:trPr>
        <w:tc>
          <w:tcPr>
            <w:tcW w:w="1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E2406" w14:textId="77777777" w:rsidR="002747EC" w:rsidRPr="00B10EEC" w:rsidRDefault="002747EC">
            <w:pPr>
              <w:spacing w:after="0"/>
              <w:ind w:left="0" w:firstLine="0"/>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Tax rate</w:t>
            </w:r>
          </w:p>
        </w:tc>
        <w:tc>
          <w:tcPr>
            <w:tcW w:w="35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A8D8E3" w14:textId="77777777" w:rsidR="002747EC" w:rsidRPr="00B10EEC" w:rsidRDefault="002747EC">
            <w:pPr>
              <w:spacing w:after="0"/>
              <w:ind w:left="0" w:firstLine="0"/>
              <w:jc w:val="center"/>
              <w:rPr>
                <w:rFonts w:ascii="Calibri" w:eastAsia="Times New Roman" w:hAnsi="Calibri" w:cs="Calibri"/>
                <w:color w:val="000000"/>
                <w:sz w:val="18"/>
                <w:szCs w:val="18"/>
              </w:rPr>
            </w:pPr>
            <w:r w:rsidRPr="00B10EEC">
              <w:rPr>
                <w:rFonts w:ascii="Calibri" w:eastAsia="Times New Roman" w:hAnsi="Calibri" w:cs="Calibri"/>
                <w:color w:val="000000"/>
                <w:sz w:val="18"/>
                <w:szCs w:val="18"/>
              </w:rPr>
              <w:t>Single standard = 10%</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56D16" w14:textId="3F4915E9" w:rsidR="002747EC" w:rsidRPr="00B10EEC" w:rsidRDefault="002747EC">
            <w:pPr>
              <w:spacing w:after="0"/>
              <w:ind w:left="0" w:firstLine="0"/>
              <w:jc w:val="center"/>
              <w:rPr>
                <w:rFonts w:ascii="Calibri" w:eastAsia="Times New Roman" w:hAnsi="Calibri" w:cs="Calibri"/>
                <w:color w:val="000000"/>
                <w:sz w:val="18"/>
                <w:szCs w:val="18"/>
              </w:rPr>
            </w:pPr>
            <w:r w:rsidRPr="00B10EEC">
              <w:rPr>
                <w:rFonts w:ascii="Calibri" w:eastAsia="Times New Roman" w:hAnsi="Calibri" w:cs="Calibri"/>
                <w:color w:val="000000"/>
                <w:sz w:val="18"/>
                <w:szCs w:val="18"/>
              </w:rPr>
              <w:t>Standard = 11%; Varyi</w:t>
            </w:r>
            <w:r w:rsidR="00817260">
              <w:rPr>
                <w:rFonts w:ascii="Calibri" w:eastAsia="Times New Roman" w:hAnsi="Calibri" w:cs="Calibri"/>
                <w:color w:val="000000"/>
                <w:sz w:val="18"/>
                <w:szCs w:val="18"/>
              </w:rPr>
              <w:t>n</w:t>
            </w:r>
            <w:r w:rsidRPr="00B10EEC">
              <w:rPr>
                <w:rFonts w:ascii="Calibri" w:eastAsia="Times New Roman" w:hAnsi="Calibri" w:cs="Calibri"/>
                <w:color w:val="000000"/>
                <w:sz w:val="18"/>
                <w:szCs w:val="18"/>
              </w:rPr>
              <w:t>g "fi</w:t>
            </w:r>
            <w:r w:rsidR="00817260">
              <w:rPr>
                <w:rFonts w:ascii="Calibri" w:eastAsia="Times New Roman" w:hAnsi="Calibri" w:cs="Calibri"/>
                <w:color w:val="000000"/>
                <w:sz w:val="18"/>
                <w:szCs w:val="18"/>
              </w:rPr>
              <w:t>n</w:t>
            </w:r>
            <w:r w:rsidRPr="00B10EEC">
              <w:rPr>
                <w:rFonts w:ascii="Calibri" w:eastAsia="Times New Roman" w:hAnsi="Calibri" w:cs="Calibri"/>
                <w:color w:val="000000"/>
                <w:sz w:val="18"/>
                <w:szCs w:val="18"/>
              </w:rPr>
              <w:t>al" rates for certain products</w:t>
            </w:r>
          </w:p>
        </w:tc>
      </w:tr>
      <w:tr w:rsidR="002747EC" w:rsidRPr="00B10EEC" w14:paraId="6B0536C1" w14:textId="77777777" w:rsidTr="0008418F">
        <w:trPr>
          <w:trHeight w:val="630"/>
          <w:jc w:val="center"/>
        </w:trPr>
        <w:tc>
          <w:tcPr>
            <w:tcW w:w="1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F84C0" w14:textId="77777777" w:rsidR="002747EC" w:rsidRPr="00B10EEC" w:rsidRDefault="002747EC">
            <w:pPr>
              <w:spacing w:after="0"/>
              <w:ind w:left="0" w:firstLine="0"/>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Floor &amp; ceiling tax rate</w:t>
            </w:r>
          </w:p>
        </w:tc>
        <w:tc>
          <w:tcPr>
            <w:tcW w:w="50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FB482A8" w14:textId="77777777" w:rsidR="002747EC" w:rsidRPr="00B10EEC" w:rsidRDefault="002747EC">
            <w:pPr>
              <w:spacing w:after="0"/>
              <w:ind w:left="0" w:firstLine="0"/>
              <w:jc w:val="center"/>
              <w:rPr>
                <w:rFonts w:ascii="Calibri" w:eastAsia="Times New Roman" w:hAnsi="Calibri" w:cs="Calibri"/>
                <w:color w:val="000000"/>
                <w:sz w:val="18"/>
                <w:szCs w:val="18"/>
              </w:rPr>
            </w:pPr>
            <w:r w:rsidRPr="00B10EEC">
              <w:rPr>
                <w:rFonts w:ascii="Calibri" w:eastAsia="Times New Roman" w:hAnsi="Calibri" w:cs="Calibri"/>
                <w:color w:val="000000"/>
                <w:sz w:val="18"/>
                <w:szCs w:val="18"/>
              </w:rPr>
              <w:t>Floor rate = 5%; Ceiling rate = 15%</w:t>
            </w:r>
          </w:p>
        </w:tc>
      </w:tr>
      <w:tr w:rsidR="002747EC" w:rsidRPr="00B10EEC" w14:paraId="58CDCF49" w14:textId="77777777" w:rsidTr="0008418F">
        <w:trPr>
          <w:trHeight w:val="630"/>
          <w:jc w:val="center"/>
        </w:trPr>
        <w:tc>
          <w:tcPr>
            <w:tcW w:w="1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26E25" w14:textId="2706F8AC" w:rsidR="002747EC" w:rsidRPr="00B10EEC" w:rsidRDefault="002747EC">
            <w:pPr>
              <w:spacing w:after="0"/>
              <w:ind w:left="0" w:firstLine="0"/>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VAT registration threshold</w:t>
            </w:r>
            <w:r w:rsidR="00670200">
              <w:rPr>
                <w:rFonts w:ascii="Calibri" w:eastAsia="Times New Roman" w:hAnsi="Calibri" w:cs="Calibri"/>
                <w:b/>
                <w:color w:val="000000"/>
                <w:sz w:val="18"/>
                <w:szCs w:val="18"/>
              </w:rPr>
              <w:t>*</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47CC" w14:textId="77777777" w:rsidR="002747EC" w:rsidRPr="00B10EEC" w:rsidRDefault="002747EC">
            <w:pPr>
              <w:spacing w:after="0"/>
              <w:ind w:left="0" w:firstLine="0"/>
              <w:jc w:val="center"/>
              <w:rPr>
                <w:rFonts w:ascii="Calibri" w:eastAsia="Times New Roman" w:hAnsi="Calibri" w:cs="Calibri"/>
                <w:color w:val="000000"/>
                <w:sz w:val="18"/>
                <w:szCs w:val="18"/>
              </w:rPr>
            </w:pPr>
            <w:r w:rsidRPr="00B10EEC">
              <w:rPr>
                <w:rFonts w:ascii="Calibri" w:eastAsia="Times New Roman" w:hAnsi="Calibri" w:cs="Calibri"/>
                <w:color w:val="000000"/>
                <w:sz w:val="18"/>
                <w:szCs w:val="18"/>
              </w:rPr>
              <w:t>Single threshold</w:t>
            </w:r>
          </w:p>
        </w:tc>
        <w:tc>
          <w:tcPr>
            <w:tcW w:w="17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874C74" w14:textId="77777777" w:rsidR="002747EC" w:rsidRPr="00B10EEC" w:rsidRDefault="002747EC">
            <w:pPr>
              <w:spacing w:after="0"/>
              <w:ind w:left="0" w:firstLine="0"/>
              <w:jc w:val="center"/>
              <w:rPr>
                <w:rFonts w:ascii="Calibri" w:eastAsia="Times New Roman" w:hAnsi="Calibri" w:cs="Calibri"/>
                <w:color w:val="000000"/>
                <w:sz w:val="18"/>
                <w:szCs w:val="18"/>
              </w:rPr>
            </w:pPr>
            <w:r w:rsidRPr="00B10EEC">
              <w:rPr>
                <w:rFonts w:ascii="Calibri" w:eastAsia="Times New Roman" w:hAnsi="Calibri" w:cs="Calibri"/>
                <w:color w:val="000000"/>
                <w:sz w:val="18"/>
                <w:szCs w:val="18"/>
              </w:rPr>
              <w:t>Differentiated: goods vs services</w:t>
            </w:r>
          </w:p>
        </w:tc>
        <w:tc>
          <w:tcPr>
            <w:tcW w:w="23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8CD4D4" w14:textId="77777777" w:rsidR="002747EC" w:rsidRPr="00B10EEC" w:rsidRDefault="002747EC">
            <w:pPr>
              <w:spacing w:after="0"/>
              <w:ind w:left="0" w:firstLine="0"/>
              <w:jc w:val="center"/>
              <w:rPr>
                <w:rFonts w:ascii="Calibri" w:eastAsia="Times New Roman" w:hAnsi="Calibri" w:cs="Calibri"/>
                <w:color w:val="000000"/>
                <w:sz w:val="18"/>
                <w:szCs w:val="18"/>
              </w:rPr>
            </w:pPr>
            <w:r w:rsidRPr="00B10EEC">
              <w:rPr>
                <w:rFonts w:ascii="Calibri" w:eastAsia="Times New Roman" w:hAnsi="Calibri" w:cs="Calibri"/>
                <w:color w:val="000000"/>
                <w:sz w:val="18"/>
                <w:szCs w:val="18"/>
              </w:rPr>
              <w:t>Single threshold</w:t>
            </w:r>
          </w:p>
        </w:tc>
      </w:tr>
      <w:tr w:rsidR="002747EC" w:rsidRPr="00B10EEC" w14:paraId="5BB34A1E" w14:textId="77777777" w:rsidTr="0008418F">
        <w:trPr>
          <w:trHeight w:val="370"/>
          <w:jc w:val="center"/>
        </w:trPr>
        <w:tc>
          <w:tcPr>
            <w:tcW w:w="1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6108A" w14:textId="77777777" w:rsidR="002747EC" w:rsidRPr="00B10EEC" w:rsidRDefault="002747EC">
            <w:pPr>
              <w:spacing w:after="0"/>
              <w:ind w:left="0" w:firstLine="0"/>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Method</w:t>
            </w:r>
          </w:p>
        </w:tc>
        <w:tc>
          <w:tcPr>
            <w:tcW w:w="50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0562FD" w14:textId="77777777" w:rsidR="002747EC" w:rsidRPr="00B10EEC" w:rsidRDefault="002747EC">
            <w:pPr>
              <w:spacing w:after="0"/>
              <w:ind w:left="0" w:firstLine="0"/>
              <w:jc w:val="center"/>
              <w:rPr>
                <w:rFonts w:ascii="Calibri" w:eastAsia="Times New Roman" w:hAnsi="Calibri" w:cs="Calibri"/>
                <w:color w:val="000000"/>
                <w:sz w:val="18"/>
                <w:szCs w:val="18"/>
              </w:rPr>
            </w:pPr>
            <w:r w:rsidRPr="00B10EEC">
              <w:rPr>
                <w:rFonts w:ascii="Calibri" w:eastAsia="Times New Roman" w:hAnsi="Calibri" w:cs="Calibri"/>
                <w:color w:val="000000"/>
                <w:sz w:val="18"/>
                <w:szCs w:val="18"/>
              </w:rPr>
              <w:t>Invoice credit</w:t>
            </w:r>
          </w:p>
        </w:tc>
      </w:tr>
      <w:tr w:rsidR="002747EC" w:rsidRPr="00B10EEC" w14:paraId="2711FB3A" w14:textId="77777777" w:rsidTr="0008418F">
        <w:trPr>
          <w:trHeight w:val="570"/>
          <w:jc w:val="center"/>
        </w:trPr>
        <w:tc>
          <w:tcPr>
            <w:tcW w:w="1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424F" w14:textId="77777777" w:rsidR="002747EC" w:rsidRPr="00B10EEC" w:rsidRDefault="002747EC">
            <w:pPr>
              <w:spacing w:after="0"/>
              <w:ind w:left="0" w:firstLine="0"/>
              <w:rPr>
                <w:rFonts w:ascii="Calibri" w:eastAsia="Times New Roman" w:hAnsi="Calibri" w:cs="Calibri"/>
                <w:b/>
                <w:color w:val="000000"/>
                <w:sz w:val="18"/>
                <w:szCs w:val="18"/>
              </w:rPr>
            </w:pPr>
            <w:r w:rsidRPr="00B10EEC">
              <w:rPr>
                <w:rFonts w:ascii="Calibri" w:eastAsia="Times New Roman" w:hAnsi="Calibri" w:cs="Calibri"/>
                <w:b/>
                <w:color w:val="000000"/>
                <w:sz w:val="18"/>
                <w:szCs w:val="18"/>
              </w:rPr>
              <w:t>Destination principle</w:t>
            </w:r>
          </w:p>
        </w:tc>
        <w:tc>
          <w:tcPr>
            <w:tcW w:w="50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F8946" w14:textId="77777777" w:rsidR="002747EC" w:rsidRPr="00B10EEC" w:rsidRDefault="002747EC">
            <w:pPr>
              <w:spacing w:after="0"/>
              <w:ind w:left="0" w:firstLine="0"/>
              <w:jc w:val="center"/>
              <w:rPr>
                <w:rFonts w:ascii="Calibri" w:eastAsia="Times New Roman" w:hAnsi="Calibri" w:cs="Calibri"/>
                <w:color w:val="000000"/>
                <w:sz w:val="18"/>
                <w:szCs w:val="18"/>
              </w:rPr>
            </w:pPr>
            <w:r w:rsidRPr="00B10EEC">
              <w:rPr>
                <w:rFonts w:ascii="Calibri" w:eastAsia="Times New Roman" w:hAnsi="Calibri" w:cs="Calibri"/>
                <w:color w:val="000000"/>
                <w:sz w:val="18"/>
                <w:szCs w:val="18"/>
              </w:rPr>
              <w:t>Destination principle applied</w:t>
            </w:r>
          </w:p>
        </w:tc>
      </w:tr>
      <w:tr w:rsidR="002747EC" w:rsidRPr="00B10EEC" w14:paraId="5B1A4644" w14:textId="77777777">
        <w:trPr>
          <w:trHeight w:val="287"/>
          <w:jc w:val="center"/>
        </w:trPr>
        <w:tc>
          <w:tcPr>
            <w:tcW w:w="6480" w:type="dxa"/>
            <w:gridSpan w:val="6"/>
            <w:tcBorders>
              <w:top w:val="single" w:sz="4" w:space="0" w:color="auto"/>
              <w:left w:val="nil"/>
              <w:right w:val="nil"/>
            </w:tcBorders>
            <w:shd w:val="clear" w:color="auto" w:fill="auto"/>
            <w:vAlign w:val="center"/>
          </w:tcPr>
          <w:p w14:paraId="6334DA9D" w14:textId="686F4CE2" w:rsidR="002747EC" w:rsidRDefault="002747EC">
            <w:pPr>
              <w:spacing w:after="0"/>
              <w:ind w:left="0" w:firstLine="0"/>
              <w:rPr>
                <w:rFonts w:ascii="Calibri" w:eastAsia="Times New Roman" w:hAnsi="Calibri" w:cs="Calibri"/>
                <w:color w:val="000000"/>
                <w:sz w:val="18"/>
                <w:szCs w:val="18"/>
              </w:rPr>
            </w:pPr>
            <w:r w:rsidRPr="0008418F">
              <w:rPr>
                <w:rFonts w:ascii="Calibri" w:eastAsia="Times New Roman" w:hAnsi="Calibri" w:cs="Calibri"/>
                <w:i/>
                <w:iCs/>
                <w:color w:val="000000"/>
                <w:sz w:val="18"/>
                <w:szCs w:val="18"/>
              </w:rPr>
              <w:t>Source</w:t>
            </w:r>
            <w:r w:rsidRPr="00B10EEC">
              <w:rPr>
                <w:rFonts w:ascii="Calibri" w:eastAsia="Times New Roman" w:hAnsi="Calibri" w:cs="Calibri"/>
                <w:color w:val="000000"/>
                <w:sz w:val="18"/>
                <w:szCs w:val="18"/>
              </w:rPr>
              <w:t xml:space="preserve">: World Bank staff analysis, based on previous and current </w:t>
            </w:r>
            <w:r w:rsidR="00E03431">
              <w:rPr>
                <w:rFonts w:ascii="Calibri" w:eastAsia="Times New Roman" w:hAnsi="Calibri" w:cs="Calibri"/>
                <w:color w:val="000000"/>
                <w:sz w:val="18"/>
                <w:szCs w:val="18"/>
              </w:rPr>
              <w:t>l</w:t>
            </w:r>
            <w:r w:rsidRPr="00B10EEC">
              <w:rPr>
                <w:rFonts w:ascii="Calibri" w:eastAsia="Times New Roman" w:hAnsi="Calibri" w:cs="Calibri"/>
                <w:color w:val="000000"/>
                <w:sz w:val="18"/>
                <w:szCs w:val="18"/>
              </w:rPr>
              <w:t>aws</w:t>
            </w:r>
            <w:r w:rsidR="00E03431">
              <w:rPr>
                <w:rFonts w:ascii="Calibri" w:eastAsia="Times New Roman" w:hAnsi="Calibri" w:cs="Calibri"/>
                <w:color w:val="000000"/>
                <w:sz w:val="18"/>
                <w:szCs w:val="18"/>
              </w:rPr>
              <w:t>.</w:t>
            </w:r>
          </w:p>
          <w:p w14:paraId="77DFADC5" w14:textId="2B8AD032" w:rsidR="00F944DA" w:rsidRPr="0065224E" w:rsidRDefault="00F944DA">
            <w:pPr>
              <w:spacing w:after="0"/>
              <w:ind w:left="0" w:firstLine="0"/>
              <w:rPr>
                <w:rFonts w:eastAsia="Times New Roman" w:cstheme="minorHAnsi"/>
                <w:color w:val="000000"/>
                <w:sz w:val="18"/>
                <w:szCs w:val="18"/>
              </w:rPr>
            </w:pPr>
            <w:r w:rsidRPr="0008418F">
              <w:rPr>
                <w:rStyle w:val="cf01"/>
                <w:rFonts w:asciiTheme="minorHAnsi" w:hAnsiTheme="minorHAnsi" w:cstheme="minorHAnsi"/>
                <w:i/>
                <w:iCs/>
              </w:rPr>
              <w:t>Note</w:t>
            </w:r>
            <w:r>
              <w:rPr>
                <w:rStyle w:val="cf01"/>
                <w:rFonts w:asciiTheme="minorHAnsi" w:hAnsiTheme="minorHAnsi" w:cstheme="minorHAnsi"/>
              </w:rPr>
              <w:t xml:space="preserve">: </w:t>
            </w:r>
            <w:r w:rsidR="00670200">
              <w:rPr>
                <w:rStyle w:val="cf01"/>
                <w:rFonts w:asciiTheme="minorHAnsi" w:hAnsiTheme="minorHAnsi" w:cstheme="minorHAnsi"/>
              </w:rPr>
              <w:t xml:space="preserve">*) </w:t>
            </w:r>
            <w:r>
              <w:rPr>
                <w:rStyle w:val="cf01"/>
                <w:rFonts w:asciiTheme="minorHAnsi" w:hAnsiTheme="minorHAnsi" w:cstheme="minorHAnsi"/>
              </w:rPr>
              <w:t xml:space="preserve">The </w:t>
            </w:r>
            <w:r w:rsidRPr="0065224E">
              <w:rPr>
                <w:rStyle w:val="cf01"/>
                <w:rFonts w:asciiTheme="minorHAnsi" w:hAnsiTheme="minorHAnsi" w:cstheme="minorHAnsi"/>
              </w:rPr>
              <w:t xml:space="preserve">evolution of </w:t>
            </w:r>
            <w:r w:rsidR="00670200">
              <w:rPr>
                <w:rStyle w:val="cf01"/>
                <w:rFonts w:asciiTheme="minorHAnsi" w:hAnsiTheme="minorHAnsi" w:cstheme="minorHAnsi"/>
              </w:rPr>
              <w:t xml:space="preserve">the registration </w:t>
            </w:r>
            <w:r w:rsidRPr="0065224E">
              <w:rPr>
                <w:rStyle w:val="cf01"/>
                <w:rFonts w:asciiTheme="minorHAnsi" w:hAnsiTheme="minorHAnsi" w:cstheme="minorHAnsi"/>
              </w:rPr>
              <w:t>threshold is included in Table 4.2</w:t>
            </w:r>
            <w:r w:rsidR="00E03431">
              <w:rPr>
                <w:rStyle w:val="cf01"/>
                <w:rFonts w:asciiTheme="minorHAnsi" w:hAnsiTheme="minorHAnsi" w:cstheme="minorHAnsi"/>
              </w:rPr>
              <w:t>.</w:t>
            </w:r>
          </w:p>
        </w:tc>
      </w:tr>
    </w:tbl>
    <w:p w14:paraId="178BA05B" w14:textId="76CE5F15" w:rsidR="00B10EEC" w:rsidRPr="00A765BB" w:rsidRDefault="00B10EEC" w:rsidP="00D2350B">
      <w:pPr>
        <w:pStyle w:val="ListParagraph"/>
        <w:numPr>
          <w:ilvl w:val="0"/>
          <w:numId w:val="12"/>
        </w:numPr>
        <w:spacing w:before="120"/>
        <w:ind w:left="0" w:firstLine="0"/>
        <w:contextualSpacing w:val="0"/>
        <w:jc w:val="both"/>
        <w:rPr>
          <w:color w:val="000000" w:themeColor="text1"/>
        </w:rPr>
      </w:pPr>
      <w:r w:rsidRPr="00B10EEC">
        <w:rPr>
          <w:b/>
          <w:bCs/>
        </w:rPr>
        <w:t xml:space="preserve">Since its introduction, </w:t>
      </w:r>
      <w:r w:rsidR="007205D3">
        <w:rPr>
          <w:b/>
          <w:bCs/>
        </w:rPr>
        <w:t xml:space="preserve">Indonesia’s </w:t>
      </w:r>
      <w:r w:rsidRPr="00B10EEC">
        <w:rPr>
          <w:b/>
          <w:bCs/>
        </w:rPr>
        <w:t xml:space="preserve">VAT </w:t>
      </w:r>
      <w:r w:rsidR="007205D3">
        <w:rPr>
          <w:b/>
          <w:bCs/>
        </w:rPr>
        <w:t>l</w:t>
      </w:r>
      <w:r w:rsidRPr="00B10EEC">
        <w:rPr>
          <w:b/>
          <w:bCs/>
        </w:rPr>
        <w:t xml:space="preserve">aws have been revised four times: 1994, 2000, 2009, and </w:t>
      </w:r>
      <w:r w:rsidRPr="00D2350B">
        <w:rPr>
          <w:b/>
          <w:color w:val="000000" w:themeColor="text1"/>
        </w:rPr>
        <w:t xml:space="preserve">2021 (Table </w:t>
      </w:r>
      <w:r w:rsidR="00292C60" w:rsidRPr="00D2350B">
        <w:rPr>
          <w:b/>
          <w:color w:val="000000" w:themeColor="text1"/>
        </w:rPr>
        <w:t>4.</w:t>
      </w:r>
      <w:r w:rsidR="00810A0F" w:rsidRPr="00D2350B">
        <w:rPr>
          <w:b/>
          <w:color w:val="000000" w:themeColor="text1"/>
        </w:rPr>
        <w:t>1</w:t>
      </w:r>
      <w:r w:rsidRPr="00D2350B">
        <w:rPr>
          <w:b/>
          <w:color w:val="000000" w:themeColor="text1"/>
        </w:rPr>
        <w:t xml:space="preserve">). </w:t>
      </w:r>
      <w:r w:rsidRPr="00B10EEC">
        <w:t>Three original features are still maintained until today</w:t>
      </w:r>
      <w:r w:rsidRPr="00B10EEC">
        <w:rPr>
          <w:b/>
          <w:bCs/>
        </w:rPr>
        <w:t xml:space="preserve">: </w:t>
      </w:r>
      <w:r w:rsidRPr="00B10EEC">
        <w:t>(</w:t>
      </w:r>
      <w:r w:rsidR="00FE6FE3">
        <w:t>i</w:t>
      </w:r>
      <w:r w:rsidRPr="00B10EEC">
        <w:t>) the floor and ceiling tax rates of 5 and 15 percent</w:t>
      </w:r>
      <w:r w:rsidR="00FE6FE3">
        <w:t>;</w:t>
      </w:r>
      <w:r w:rsidRPr="00B10EEC">
        <w:t xml:space="preserve"> (</w:t>
      </w:r>
      <w:r w:rsidR="00FE6FE3">
        <w:t>ii</w:t>
      </w:r>
      <w:r w:rsidRPr="00B10EEC">
        <w:t>) invoice-credit method</w:t>
      </w:r>
      <w:r w:rsidR="00FE6FE3">
        <w:t>;</w:t>
      </w:r>
      <w:r w:rsidRPr="00B10EEC">
        <w:t xml:space="preserve"> and (</w:t>
      </w:r>
      <w:r w:rsidR="00FE6FE3">
        <w:t>iii</w:t>
      </w:r>
      <w:r w:rsidRPr="00B10EEC">
        <w:t xml:space="preserve">) the destination principle. </w:t>
      </w:r>
      <w:r w:rsidRPr="00B10EEC">
        <w:rPr>
          <w:color w:val="000000" w:themeColor="text1"/>
        </w:rPr>
        <w:t xml:space="preserve">Whereas two other tax features have experienced some changes through </w:t>
      </w:r>
      <w:r w:rsidR="00EE06CB">
        <w:rPr>
          <w:color w:val="000000" w:themeColor="text1"/>
        </w:rPr>
        <w:t>l</w:t>
      </w:r>
      <w:r w:rsidRPr="00B10EEC">
        <w:rPr>
          <w:color w:val="000000" w:themeColor="text1"/>
        </w:rPr>
        <w:t xml:space="preserve">aw revisions: </w:t>
      </w:r>
      <w:r w:rsidR="00FE6FE3">
        <w:rPr>
          <w:color w:val="000000" w:themeColor="text1"/>
        </w:rPr>
        <w:t xml:space="preserve">(i) the </w:t>
      </w:r>
      <w:r w:rsidRPr="00B10EEC">
        <w:rPr>
          <w:color w:val="000000" w:themeColor="text1"/>
        </w:rPr>
        <w:t>tax rate</w:t>
      </w:r>
      <w:r w:rsidR="00FE6FE3">
        <w:rPr>
          <w:color w:val="000000" w:themeColor="text1"/>
        </w:rPr>
        <w:t>;</w:t>
      </w:r>
      <w:r w:rsidRPr="00B10EEC">
        <w:rPr>
          <w:color w:val="000000" w:themeColor="text1"/>
        </w:rPr>
        <w:t xml:space="preserve"> and</w:t>
      </w:r>
      <w:r w:rsidR="00FE6FE3">
        <w:rPr>
          <w:color w:val="000000" w:themeColor="text1"/>
        </w:rPr>
        <w:t xml:space="preserve"> (ii)</w:t>
      </w:r>
      <w:r w:rsidRPr="00B10EEC">
        <w:rPr>
          <w:color w:val="000000" w:themeColor="text1"/>
        </w:rPr>
        <w:t xml:space="preserve"> the registration threshold. The single standard tax rate at 10</w:t>
      </w:r>
      <w:r w:rsidR="006974F1">
        <w:rPr>
          <w:color w:val="000000" w:themeColor="text1"/>
        </w:rPr>
        <w:t xml:space="preserve"> percent</w:t>
      </w:r>
      <w:r w:rsidRPr="00B10EEC">
        <w:rPr>
          <w:color w:val="000000" w:themeColor="text1"/>
        </w:rPr>
        <w:t xml:space="preserve"> was maintained until the </w:t>
      </w:r>
      <w:r w:rsidR="00FE6FE3" w:rsidRPr="00165956">
        <w:rPr>
          <w:color w:val="000000" w:themeColor="text1"/>
        </w:rPr>
        <w:t>enactment</w:t>
      </w:r>
      <w:r w:rsidRPr="00165956">
        <w:rPr>
          <w:color w:val="000000" w:themeColor="text1"/>
        </w:rPr>
        <w:t xml:space="preserve"> of the 2021 Tax Harmonization Law (THL). Through this law, </w:t>
      </w:r>
      <w:r w:rsidR="00FE6FE3" w:rsidRPr="00165956">
        <w:rPr>
          <w:color w:val="000000" w:themeColor="text1"/>
        </w:rPr>
        <w:t xml:space="preserve">the </w:t>
      </w:r>
      <w:r w:rsidRPr="00165956">
        <w:rPr>
          <w:color w:val="000000" w:themeColor="text1"/>
        </w:rPr>
        <w:t xml:space="preserve">VAT </w:t>
      </w:r>
      <w:proofErr w:type="gramStart"/>
      <w:r w:rsidRPr="00165956">
        <w:rPr>
          <w:color w:val="000000" w:themeColor="text1"/>
        </w:rPr>
        <w:t>rate was</w:t>
      </w:r>
      <w:proofErr w:type="gramEnd"/>
      <w:r w:rsidRPr="00165956">
        <w:rPr>
          <w:color w:val="000000" w:themeColor="text1"/>
        </w:rPr>
        <w:t xml:space="preserve"> increased to</w:t>
      </w:r>
      <w:r w:rsidRPr="00B10EEC">
        <w:rPr>
          <w:color w:val="000000" w:themeColor="text1"/>
        </w:rPr>
        <w:t xml:space="preserve"> 11 percent, effective in April 2022. The</w:t>
      </w:r>
      <w:r w:rsidR="00FE6FE3">
        <w:rPr>
          <w:color w:val="000000" w:themeColor="text1"/>
        </w:rPr>
        <w:t xml:space="preserve">re have been </w:t>
      </w:r>
      <w:r w:rsidR="00BA49EA">
        <w:rPr>
          <w:color w:val="000000" w:themeColor="text1"/>
        </w:rPr>
        <w:t>a few</w:t>
      </w:r>
      <w:r w:rsidR="00FE6FE3">
        <w:rPr>
          <w:color w:val="000000" w:themeColor="text1"/>
        </w:rPr>
        <w:t xml:space="preserve"> changes to the</w:t>
      </w:r>
      <w:r w:rsidRPr="00B10EEC">
        <w:rPr>
          <w:color w:val="000000" w:themeColor="text1"/>
        </w:rPr>
        <w:t xml:space="preserve"> VAT registration threshold</w:t>
      </w:r>
      <w:r w:rsidR="00FE6FE3">
        <w:rPr>
          <w:color w:val="000000" w:themeColor="text1"/>
        </w:rPr>
        <w:t xml:space="preserve"> over time</w:t>
      </w:r>
      <w:r w:rsidR="005B1DDA">
        <w:rPr>
          <w:color w:val="000000" w:themeColor="text1"/>
        </w:rPr>
        <w:t>.</w:t>
      </w:r>
      <w:r w:rsidR="001715F6">
        <w:rPr>
          <w:color w:val="000000" w:themeColor="text1"/>
        </w:rPr>
        <w:t xml:space="preserve"> </w:t>
      </w:r>
      <w:r w:rsidR="002A44CE">
        <w:rPr>
          <w:color w:val="000000" w:themeColor="text1"/>
        </w:rPr>
        <w:t xml:space="preserve">VAT </w:t>
      </w:r>
      <w:r w:rsidR="003301AC">
        <w:rPr>
          <w:color w:val="000000" w:themeColor="text1"/>
        </w:rPr>
        <w:t>was</w:t>
      </w:r>
      <w:r w:rsidR="00A33B28">
        <w:rPr>
          <w:color w:val="000000" w:themeColor="text1"/>
        </w:rPr>
        <w:t xml:space="preserve"> first</w:t>
      </w:r>
      <w:r w:rsidR="003301AC">
        <w:rPr>
          <w:color w:val="000000" w:themeColor="text1"/>
        </w:rPr>
        <w:t xml:space="preserve"> implemented only on manufactured goods and imports</w:t>
      </w:r>
      <w:r w:rsidR="002C7E37">
        <w:rPr>
          <w:color w:val="000000" w:themeColor="text1"/>
        </w:rPr>
        <w:t xml:space="preserve"> in 1983</w:t>
      </w:r>
      <w:r w:rsidR="008E2F8B">
        <w:rPr>
          <w:color w:val="000000" w:themeColor="text1"/>
        </w:rPr>
        <w:t>, with a single registration threshold.</w:t>
      </w:r>
      <w:r w:rsidR="001715F6">
        <w:rPr>
          <w:color w:val="000000" w:themeColor="text1"/>
        </w:rPr>
        <w:t xml:space="preserve"> </w:t>
      </w:r>
      <w:r w:rsidR="00F81DDB">
        <w:rPr>
          <w:color w:val="000000" w:themeColor="text1"/>
        </w:rPr>
        <w:t xml:space="preserve">As the </w:t>
      </w:r>
      <w:r w:rsidR="00E43114">
        <w:rPr>
          <w:color w:val="000000" w:themeColor="text1"/>
        </w:rPr>
        <w:t xml:space="preserve">tax base was </w:t>
      </w:r>
      <w:r w:rsidR="000329AF" w:rsidRPr="002C7E37">
        <w:rPr>
          <w:color w:val="000000" w:themeColor="text1"/>
        </w:rPr>
        <w:t xml:space="preserve">then </w:t>
      </w:r>
      <w:r w:rsidR="004B6CA8">
        <w:rPr>
          <w:color w:val="000000" w:themeColor="text1"/>
        </w:rPr>
        <w:t xml:space="preserve">expanded </w:t>
      </w:r>
      <w:r w:rsidR="00544A7D">
        <w:rPr>
          <w:color w:val="000000" w:themeColor="text1"/>
        </w:rPr>
        <w:t xml:space="preserve">to </w:t>
      </w:r>
      <w:r w:rsidR="00527FB3">
        <w:rPr>
          <w:color w:val="000000" w:themeColor="text1"/>
        </w:rPr>
        <w:t xml:space="preserve">also cover </w:t>
      </w:r>
      <w:r w:rsidR="00D24B19" w:rsidRPr="002C7E37">
        <w:rPr>
          <w:color w:val="000000" w:themeColor="text1"/>
        </w:rPr>
        <w:t xml:space="preserve">wholesale, </w:t>
      </w:r>
      <w:r w:rsidR="00FE6FE3">
        <w:rPr>
          <w:color w:val="000000" w:themeColor="text1"/>
        </w:rPr>
        <w:t xml:space="preserve">and </w:t>
      </w:r>
      <w:r w:rsidR="00D24B19" w:rsidRPr="002C7E37">
        <w:rPr>
          <w:color w:val="000000" w:themeColor="text1"/>
        </w:rPr>
        <w:t xml:space="preserve">retail goods and </w:t>
      </w:r>
      <w:r w:rsidR="00544A7D">
        <w:rPr>
          <w:color w:val="000000" w:themeColor="text1"/>
        </w:rPr>
        <w:t>services</w:t>
      </w:r>
      <w:r w:rsidR="00527FB3">
        <w:rPr>
          <w:color w:val="000000" w:themeColor="text1"/>
        </w:rPr>
        <w:t>,</w:t>
      </w:r>
      <w:r w:rsidR="007D3D1E">
        <w:t xml:space="preserve"> the threshol</w:t>
      </w:r>
      <w:r w:rsidR="00890009">
        <w:t xml:space="preserve">d levels </w:t>
      </w:r>
      <w:r w:rsidR="00C46AE6">
        <w:t>were</w:t>
      </w:r>
      <w:r w:rsidR="00890009">
        <w:t xml:space="preserve"> </w:t>
      </w:r>
      <w:r w:rsidR="00C46AE6">
        <w:t xml:space="preserve">then </w:t>
      </w:r>
      <w:r w:rsidR="00890009">
        <w:t xml:space="preserve">differentiated </w:t>
      </w:r>
      <w:r w:rsidRPr="00B10EEC">
        <w:rPr>
          <w:color w:val="000000" w:themeColor="text1"/>
        </w:rPr>
        <w:t>between goods and services</w:t>
      </w:r>
      <w:r w:rsidR="000B1ADC">
        <w:rPr>
          <w:color w:val="000000" w:themeColor="text1"/>
        </w:rPr>
        <w:t xml:space="preserve"> in 1994</w:t>
      </w:r>
      <w:r w:rsidRPr="00B10EEC">
        <w:rPr>
          <w:color w:val="000000" w:themeColor="text1"/>
        </w:rPr>
        <w:t xml:space="preserve">. It subsequently </w:t>
      </w:r>
      <w:r w:rsidR="002F3B53">
        <w:rPr>
          <w:color w:val="000000" w:themeColor="text1"/>
        </w:rPr>
        <w:t>reverted</w:t>
      </w:r>
      <w:r w:rsidR="002F3B53" w:rsidRPr="00B10EEC">
        <w:rPr>
          <w:color w:val="000000" w:themeColor="text1"/>
        </w:rPr>
        <w:t xml:space="preserve"> </w:t>
      </w:r>
      <w:r w:rsidRPr="00B10EEC">
        <w:rPr>
          <w:color w:val="000000" w:themeColor="text1"/>
        </w:rPr>
        <w:t>to a single threshold in 2010.</w:t>
      </w:r>
    </w:p>
    <w:p w14:paraId="4ED83033" w14:textId="2C258074" w:rsidR="00B10EEC" w:rsidRPr="00B10EEC" w:rsidRDefault="00216987" w:rsidP="00216987">
      <w:pPr>
        <w:pStyle w:val="Heading2"/>
        <w:rPr>
          <w:rFonts w:asciiTheme="minorHAnsi" w:hAnsiTheme="minorHAnsi" w:cstheme="minorHAnsi"/>
          <w:color w:val="4472C4" w:themeColor="accent1"/>
          <w:sz w:val="24"/>
          <w:szCs w:val="24"/>
        </w:rPr>
      </w:pPr>
      <w:bookmarkStart w:id="39" w:name="_Toc177819047"/>
      <w:r>
        <w:rPr>
          <w:rFonts w:asciiTheme="minorHAnsi" w:hAnsiTheme="minorHAnsi" w:cstheme="minorHAnsi"/>
          <w:color w:val="4472C4" w:themeColor="accent1"/>
          <w:sz w:val="24"/>
          <w:szCs w:val="24"/>
        </w:rPr>
        <w:t xml:space="preserve">Tax </w:t>
      </w:r>
      <w:r w:rsidR="00445F33">
        <w:rPr>
          <w:rFonts w:asciiTheme="minorHAnsi" w:hAnsiTheme="minorHAnsi" w:cstheme="minorHAnsi"/>
          <w:color w:val="4472C4" w:themeColor="accent1"/>
          <w:sz w:val="24"/>
          <w:szCs w:val="24"/>
        </w:rPr>
        <w:t>design</w:t>
      </w:r>
      <w:bookmarkEnd w:id="39"/>
    </w:p>
    <w:tbl>
      <w:tblPr>
        <w:tblStyle w:val="TableGrid1"/>
        <w:tblW w:w="944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3"/>
        <w:gridCol w:w="5032"/>
      </w:tblGrid>
      <w:tr w:rsidR="00B059AE" w:rsidRPr="00B10EEC" w14:paraId="1B69F09A" w14:textId="77777777" w:rsidTr="00E94F8F">
        <w:trPr>
          <w:trHeight w:val="3618"/>
        </w:trPr>
        <w:tc>
          <w:tcPr>
            <w:tcW w:w="4413" w:type="dxa"/>
            <w:vMerge w:val="restart"/>
          </w:tcPr>
          <w:p w14:paraId="56BDED51" w14:textId="797494EF" w:rsidR="00B059AE" w:rsidRPr="00B10EEC" w:rsidRDefault="00B059AE" w:rsidP="00D2350B">
            <w:pPr>
              <w:pStyle w:val="ListParagraph"/>
              <w:numPr>
                <w:ilvl w:val="0"/>
                <w:numId w:val="12"/>
              </w:numPr>
              <w:spacing w:before="120"/>
              <w:ind w:left="0" w:firstLine="0"/>
              <w:contextualSpacing w:val="0"/>
              <w:jc w:val="both"/>
              <w:rPr>
                <w:rFonts w:asciiTheme="minorHAnsi" w:hAnsiTheme="minorHAnsi" w:cstheme="minorHAnsi"/>
                <w:color w:val="000000" w:themeColor="text1"/>
                <w:sz w:val="22"/>
                <w:szCs w:val="22"/>
              </w:rPr>
            </w:pPr>
            <w:r w:rsidRPr="00B10EEC">
              <w:rPr>
                <w:rFonts w:asciiTheme="minorHAnsi" w:hAnsiTheme="minorHAnsi" w:cstheme="minorHAnsi"/>
                <w:b/>
                <w:bCs/>
                <w:color w:val="000000" w:themeColor="text1"/>
                <w:sz w:val="22"/>
                <w:szCs w:val="22"/>
              </w:rPr>
              <w:t xml:space="preserve">At 11 percent, Indonesia’s statutory VAT rate is below the average of middle-income countries. </w:t>
            </w:r>
            <w:r w:rsidRPr="00B10EEC">
              <w:rPr>
                <w:rFonts w:asciiTheme="minorHAnsi" w:hAnsiTheme="minorHAnsi" w:cstheme="minorHAnsi"/>
                <w:color w:val="000000" w:themeColor="text1"/>
                <w:sz w:val="22"/>
                <w:szCs w:val="22"/>
              </w:rPr>
              <w:t xml:space="preserve">Its 11 percent standard rate is aligned with that of middle-income ASEAN countries (regional peers) but is relatively low in a broader international comparison. It falls 3 and 5 percentage points below the </w:t>
            </w:r>
            <w:r w:rsidR="00640624" w:rsidRPr="00B10EEC">
              <w:rPr>
                <w:rFonts w:asciiTheme="minorHAnsi" w:hAnsiTheme="minorHAnsi" w:cstheme="minorHAnsi"/>
                <w:color w:val="000000" w:themeColor="text1"/>
                <w:sz w:val="22"/>
                <w:szCs w:val="22"/>
              </w:rPr>
              <w:t>average</w:t>
            </w:r>
            <w:r w:rsidR="00FE6FE3">
              <w:rPr>
                <w:rFonts w:asciiTheme="minorHAnsi" w:hAnsiTheme="minorHAnsi" w:cstheme="minorHAnsi"/>
                <w:color w:val="000000" w:themeColor="text1"/>
                <w:sz w:val="22"/>
                <w:szCs w:val="22"/>
              </w:rPr>
              <w:t xml:space="preserve"> </w:t>
            </w:r>
            <w:r w:rsidRPr="00B10EEC">
              <w:rPr>
                <w:rFonts w:asciiTheme="minorHAnsi" w:hAnsiTheme="minorHAnsi" w:cstheme="minorHAnsi"/>
                <w:color w:val="000000" w:themeColor="text1"/>
                <w:sz w:val="22"/>
                <w:szCs w:val="22"/>
              </w:rPr>
              <w:t xml:space="preserve">VAT rate in lower- and upper-middle income </w:t>
            </w:r>
            <w:r w:rsidRPr="00BB46D2">
              <w:rPr>
                <w:rFonts w:asciiTheme="minorHAnsi" w:hAnsiTheme="minorHAnsi" w:cstheme="minorHAnsi"/>
                <w:color w:val="000000" w:themeColor="text1"/>
                <w:sz w:val="22"/>
                <w:szCs w:val="22"/>
              </w:rPr>
              <w:t>countries (</w:t>
            </w:r>
            <w:r w:rsidRPr="00D2350B">
              <w:rPr>
                <w:rFonts w:asciiTheme="minorHAnsi" w:hAnsiTheme="minorHAnsi" w:cstheme="minorHAnsi"/>
                <w:color w:val="000000" w:themeColor="text1"/>
                <w:sz w:val="22"/>
                <w:szCs w:val="22"/>
              </w:rPr>
              <w:t>Figure 4.1</w:t>
            </w:r>
            <w:r w:rsidRPr="00BB46D2">
              <w:rPr>
                <w:rFonts w:asciiTheme="minorHAnsi" w:hAnsiTheme="minorHAnsi" w:cstheme="minorHAnsi"/>
                <w:color w:val="000000" w:themeColor="text1"/>
                <w:sz w:val="22"/>
                <w:szCs w:val="22"/>
              </w:rPr>
              <w:t xml:space="preserve">). The </w:t>
            </w:r>
            <w:r w:rsidRPr="00B10EEC">
              <w:rPr>
                <w:rFonts w:asciiTheme="minorHAnsi" w:hAnsiTheme="minorHAnsi" w:cstheme="minorHAnsi"/>
                <w:color w:val="000000" w:themeColor="text1"/>
                <w:sz w:val="22"/>
                <w:szCs w:val="22"/>
              </w:rPr>
              <w:t xml:space="preserve">VAT rate will be increased to 12 percent by January 2025 at the latest, as mandated in the 2021 THL. </w:t>
            </w:r>
            <w:r w:rsidR="0033622E">
              <w:rPr>
                <w:rFonts w:asciiTheme="minorHAnsi" w:hAnsiTheme="minorHAnsi" w:cstheme="minorHAnsi"/>
                <w:color w:val="000000" w:themeColor="text1"/>
                <w:sz w:val="22"/>
                <w:szCs w:val="22"/>
              </w:rPr>
              <w:t>Even</w:t>
            </w:r>
            <w:r w:rsidRPr="00B10EEC">
              <w:rPr>
                <w:rFonts w:asciiTheme="minorHAnsi" w:hAnsiTheme="minorHAnsi" w:cstheme="minorHAnsi"/>
                <w:color w:val="000000" w:themeColor="text1"/>
                <w:sz w:val="22"/>
                <w:szCs w:val="22"/>
              </w:rPr>
              <w:t xml:space="preserve"> with this impending rate increase, Indonesia will still trail behind its middle-income peers, </w:t>
            </w:r>
            <w:r w:rsidR="00FE6FE3">
              <w:rPr>
                <w:rFonts w:asciiTheme="minorHAnsi" w:hAnsiTheme="minorHAnsi" w:cstheme="minorHAnsi"/>
                <w:color w:val="000000" w:themeColor="text1"/>
                <w:sz w:val="22"/>
                <w:szCs w:val="22"/>
              </w:rPr>
              <w:t xml:space="preserve">by </w:t>
            </w:r>
            <w:r w:rsidRPr="00B10EEC">
              <w:rPr>
                <w:rFonts w:asciiTheme="minorHAnsi" w:hAnsiTheme="minorHAnsi" w:cstheme="minorHAnsi"/>
                <w:color w:val="000000" w:themeColor="text1"/>
                <w:sz w:val="22"/>
                <w:szCs w:val="22"/>
              </w:rPr>
              <w:t xml:space="preserve">at least 2 percentage points. </w:t>
            </w:r>
          </w:p>
        </w:tc>
        <w:tc>
          <w:tcPr>
            <w:tcW w:w="5032" w:type="dxa"/>
          </w:tcPr>
          <w:p w14:paraId="4F461FA1" w14:textId="469B0743" w:rsidR="00B059AE" w:rsidRPr="00B10EEC" w:rsidRDefault="00B059AE" w:rsidP="0008418F">
            <w:pPr>
              <w:ind w:left="165"/>
              <w:rPr>
                <w:rFonts w:asciiTheme="minorHAnsi" w:eastAsia="Times New Roman" w:hAnsiTheme="minorHAnsi" w:cstheme="minorHAnsi"/>
                <w:b/>
                <w:color w:val="0C4DA2"/>
              </w:rPr>
            </w:pPr>
            <w:bookmarkStart w:id="40" w:name="_Toc177593060"/>
            <w:r w:rsidRPr="00B10EEC">
              <w:rPr>
                <w:rFonts w:asciiTheme="minorHAnsi" w:eastAsia="Times New Roman" w:hAnsiTheme="minorHAnsi" w:cstheme="minorHAnsi"/>
                <w:b/>
                <w:color w:val="0C4DA2"/>
              </w:rPr>
              <w:t xml:space="preserve">Figure </w:t>
            </w:r>
            <w:r>
              <w:rPr>
                <w:rFonts w:asciiTheme="minorHAnsi" w:eastAsia="Times New Roman" w:hAnsiTheme="minorHAnsi" w:cstheme="minorHAnsi"/>
                <w:b/>
                <w:color w:val="0C4DA2"/>
              </w:rPr>
              <w:t>4.</w:t>
            </w:r>
            <w:r w:rsidR="006127BC">
              <w:rPr>
                <w:rFonts w:cstheme="minorHAnsi"/>
                <w:b/>
              </w:rPr>
              <w:fldChar w:fldCharType="begin"/>
            </w:r>
            <w:r w:rsidR="006127BC">
              <w:rPr>
                <w:rFonts w:asciiTheme="minorHAnsi" w:hAnsiTheme="minorHAnsi" w:cstheme="minorHAnsi"/>
                <w:b/>
              </w:rPr>
              <w:instrText xml:space="preserve"> SEQ Figure \* ARABIC \s 1 </w:instrText>
            </w:r>
            <w:r w:rsidR="006127BC">
              <w:rPr>
                <w:rFonts w:cstheme="minorHAnsi"/>
                <w:b/>
              </w:rPr>
              <w:fldChar w:fldCharType="separate"/>
            </w:r>
            <w:r w:rsidR="006127BC">
              <w:rPr>
                <w:rFonts w:asciiTheme="minorHAnsi" w:hAnsiTheme="minorHAnsi" w:cstheme="minorHAnsi"/>
                <w:b/>
                <w:noProof/>
              </w:rPr>
              <w:t>1</w:t>
            </w:r>
            <w:r w:rsidR="006127BC">
              <w:rPr>
                <w:rFonts w:cstheme="minorHAnsi"/>
                <w:b/>
              </w:rPr>
              <w:fldChar w:fldCharType="end"/>
            </w:r>
            <w:r w:rsidRPr="00B10EEC">
              <w:rPr>
                <w:rFonts w:asciiTheme="minorHAnsi" w:eastAsia="Times New Roman" w:hAnsiTheme="minorHAnsi" w:cstheme="minorHAnsi"/>
                <w:b/>
                <w:color w:val="0C4DA2"/>
              </w:rPr>
              <w:t>:</w:t>
            </w:r>
            <w:r w:rsidRPr="00B10EEC">
              <w:rPr>
                <w:rFonts w:asciiTheme="minorHAnsi" w:eastAsia="Times New Roman" w:hAnsiTheme="minorHAnsi" w:cstheme="minorHAnsi"/>
                <w:color w:val="0C4DA2"/>
              </w:rPr>
              <w:t xml:space="preserve"> </w:t>
            </w:r>
            <w:r w:rsidRPr="00B10EEC">
              <w:rPr>
                <w:rFonts w:asciiTheme="minorHAnsi" w:eastAsia="Times New Roman" w:hAnsiTheme="minorHAnsi" w:cstheme="minorHAnsi"/>
                <w:b/>
                <w:color w:val="0C4DA2"/>
              </w:rPr>
              <w:t>Statutory standard VAT rates</w:t>
            </w:r>
            <w:bookmarkEnd w:id="40"/>
          </w:p>
          <w:p w14:paraId="0263E0BE" w14:textId="77777777" w:rsidR="00B059AE" w:rsidRPr="00B10EEC" w:rsidRDefault="00B059AE" w:rsidP="00BE78EC">
            <w:pPr>
              <w:ind w:left="165" w:hanging="5"/>
              <w:jc w:val="both"/>
              <w:rPr>
                <w:rFonts w:asciiTheme="minorHAnsi" w:hAnsiTheme="minorHAnsi" w:cstheme="minorHAnsi"/>
              </w:rPr>
            </w:pPr>
            <w:r w:rsidRPr="00B10EEC">
              <w:rPr>
                <w:rFonts w:asciiTheme="minorHAnsi" w:hAnsiTheme="minorHAnsi" w:cstheme="minorHAnsi"/>
                <w:i/>
                <w:sz w:val="18"/>
                <w:szCs w:val="18"/>
              </w:rPr>
              <w:t>(percent)</w:t>
            </w:r>
          </w:p>
          <w:p w14:paraId="50385035" w14:textId="24AC24DA" w:rsidR="00B059AE" w:rsidRPr="00B10EEC" w:rsidRDefault="005E4109" w:rsidP="00BE78EC">
            <w:pPr>
              <w:jc w:val="center"/>
              <w:rPr>
                <w:rFonts w:asciiTheme="minorHAnsi" w:hAnsiTheme="minorHAnsi" w:cstheme="minorHAnsi"/>
              </w:rPr>
            </w:pPr>
            <w:r w:rsidRPr="00B10EEC">
              <w:rPr>
                <w:noProof/>
              </w:rPr>
              <mc:AlternateContent>
                <mc:Choice Requires="wps">
                  <w:drawing>
                    <wp:anchor distT="0" distB="0" distL="114300" distR="114300" simplePos="0" relativeHeight="251658243" behindDoc="0" locked="0" layoutInCell="1" allowOverlap="1" wp14:anchorId="02E5CDEF" wp14:editId="734FBD4B">
                      <wp:simplePos x="0" y="0"/>
                      <wp:positionH relativeFrom="column">
                        <wp:posOffset>262255</wp:posOffset>
                      </wp:positionH>
                      <wp:positionV relativeFrom="paragraph">
                        <wp:posOffset>589915</wp:posOffset>
                      </wp:positionV>
                      <wp:extent cx="600075" cy="44767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600075" cy="447675"/>
                              </a:xfrm>
                              <a:prstGeom prst="rect">
                                <a:avLst/>
                              </a:prstGeom>
                              <a:noFill/>
                              <a:ln w="9525" cmpd="sng">
                                <a:noFill/>
                              </a:ln>
                              <a:effectLst/>
                            </wps:spPr>
                            <wps:txbx>
                              <w:txbxContent>
                                <w:p w14:paraId="7F88CD50" w14:textId="77777777" w:rsidR="002179CC" w:rsidRPr="009A4073" w:rsidRDefault="004C6160" w:rsidP="009A4073">
                                  <w:pPr>
                                    <w:spacing w:after="0"/>
                                    <w:ind w:left="0" w:firstLine="0"/>
                                    <w:jc w:val="center"/>
                                    <w:rPr>
                                      <w:rFonts w:hAnsi="Calibri"/>
                                      <w:color w:val="FF0000"/>
                                      <w:sz w:val="14"/>
                                      <w:szCs w:val="14"/>
                                    </w:rPr>
                                  </w:pPr>
                                  <w:r w:rsidRPr="009A4073">
                                    <w:rPr>
                                      <w:rFonts w:hAnsi="Calibri"/>
                                      <w:color w:val="FF0000"/>
                                      <w:sz w:val="14"/>
                                      <w:szCs w:val="14"/>
                                    </w:rPr>
                                    <w:t>Indonesia</w:t>
                                  </w:r>
                                  <w:r w:rsidR="002179CC" w:rsidRPr="009A4073">
                                    <w:rPr>
                                      <w:rFonts w:hAnsi="Calibri"/>
                                      <w:color w:val="FF0000"/>
                                      <w:sz w:val="14"/>
                                      <w:szCs w:val="14"/>
                                    </w:rPr>
                                    <w:t>,</w:t>
                                  </w:r>
                                </w:p>
                                <w:p w14:paraId="4CB19A83" w14:textId="44878FD0" w:rsidR="00B059AE" w:rsidRPr="009A4073" w:rsidRDefault="00ED38C7" w:rsidP="009A4073">
                                  <w:pPr>
                                    <w:ind w:left="0" w:firstLine="0"/>
                                    <w:jc w:val="center"/>
                                    <w:rPr>
                                      <w:rFonts w:hAnsi="Calibri"/>
                                      <w:color w:val="FF0000"/>
                                      <w:sz w:val="14"/>
                                      <w:szCs w:val="14"/>
                                    </w:rPr>
                                  </w:pPr>
                                  <w:r>
                                    <w:rPr>
                                      <w:rFonts w:hAnsi="Calibri"/>
                                      <w:color w:val="FF0000"/>
                                      <w:sz w:val="14"/>
                                      <w:szCs w:val="14"/>
                                    </w:rPr>
                                    <w:t xml:space="preserve">statutory </w:t>
                                  </w:r>
                                  <w:r w:rsidR="002179CC">
                                    <w:rPr>
                                      <w:rFonts w:hAnsi="Calibri"/>
                                      <w:color w:val="FF0000"/>
                                      <w:sz w:val="14"/>
                                      <w:szCs w:val="14"/>
                                    </w:rPr>
                                    <w:t>rate = 11%</w:t>
                                  </w:r>
                                  <w:r w:rsidR="004C6160" w:rsidRPr="009A4073">
                                    <w:rPr>
                                      <w:rFonts w:hAnsi="Calibri"/>
                                      <w:color w:val="FF0000"/>
                                      <w:sz w:val="14"/>
                                      <w:szCs w:val="14"/>
                                    </w:rPr>
                                    <w:br/>
                                    <w:t>11%</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2E5CDEF" id="Text Box 12" o:spid="_x0000_s1028" type="#_x0000_t202" style="position:absolute;left:0;text-align:left;margin-left:20.65pt;margin-top:46.45pt;width:47.25pt;height:3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" filled="f" stroked="f">
                      <v:textbox>
                        <w:txbxContent>
                          <w:p w14:paraId="7F88CD50" w14:textId="77777777" w:rsidR="002179CC" w:rsidRPr="009A4073" w:rsidRDefault="004C6160" w:rsidP="009A4073">
                            <w:pPr>
                              <w:spacing w:after="0"/>
                              <w:ind w:left="0" w:firstLine="0"/>
                              <w:jc w:val="center"/>
                              <w:rPr>
                                <w:rFonts w:hAnsi="Calibri"/>
                                <w:color w:val="FF0000"/>
                                <w:sz w:val="14"/>
                                <w:szCs w:val="14"/>
                              </w:rPr>
                            </w:pPr>
                            <w:r w:rsidRPr="009A4073">
                              <w:rPr>
                                <w:rFonts w:hAnsi="Calibri"/>
                                <w:color w:val="FF0000"/>
                                <w:sz w:val="14"/>
                                <w:szCs w:val="14"/>
                              </w:rPr>
                              <w:t>Indonesia</w:t>
                            </w:r>
                            <w:r w:rsidR="002179CC" w:rsidRPr="009A4073">
                              <w:rPr>
                                <w:rFonts w:hAnsi="Calibri"/>
                                <w:color w:val="FF0000"/>
                                <w:sz w:val="14"/>
                                <w:szCs w:val="14"/>
                              </w:rPr>
                              <w:t>,</w:t>
                            </w:r>
                          </w:p>
                          <w:p w14:paraId="4CB19A83" w14:textId="44878FD0" w:rsidR="00B059AE" w:rsidRPr="009A4073" w:rsidRDefault="00ED38C7" w:rsidP="009A4073">
                            <w:pPr>
                              <w:ind w:left="0" w:firstLine="0"/>
                              <w:jc w:val="center"/>
                              <w:rPr>
                                <w:rFonts w:hAnsi="Calibri"/>
                                <w:color w:val="FF0000"/>
                                <w:sz w:val="14"/>
                                <w:szCs w:val="14"/>
                              </w:rPr>
                            </w:pPr>
                            <w:r>
                              <w:rPr>
                                <w:rFonts w:hAnsi="Calibri"/>
                                <w:color w:val="FF0000"/>
                                <w:sz w:val="14"/>
                                <w:szCs w:val="14"/>
                              </w:rPr>
                              <w:t xml:space="preserve">statutory </w:t>
                            </w:r>
                            <w:r w:rsidR="002179CC">
                              <w:rPr>
                                <w:rFonts w:hAnsi="Calibri"/>
                                <w:color w:val="FF0000"/>
                                <w:sz w:val="14"/>
                                <w:szCs w:val="14"/>
                              </w:rPr>
                              <w:t>rate = 11%</w:t>
                            </w:r>
                            <w:r w:rsidR="004C6160" w:rsidRPr="009A4073">
                              <w:rPr>
                                <w:rFonts w:hAnsi="Calibri"/>
                                <w:color w:val="FF0000"/>
                                <w:sz w:val="14"/>
                                <w:szCs w:val="14"/>
                              </w:rPr>
                              <w:br/>
                              <w:t>11%</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2F2B1050" wp14:editId="34741F63">
                      <wp:simplePos x="0" y="0"/>
                      <wp:positionH relativeFrom="column">
                        <wp:posOffset>325755</wp:posOffset>
                      </wp:positionH>
                      <wp:positionV relativeFrom="paragraph">
                        <wp:posOffset>988695</wp:posOffset>
                      </wp:positionV>
                      <wp:extent cx="2596551" cy="25879"/>
                      <wp:effectExtent l="0" t="0" r="32385" b="31750"/>
                      <wp:wrapNone/>
                      <wp:docPr id="1" name="Straight Connector 1"/>
                      <wp:cNvGraphicFramePr/>
                      <a:graphic xmlns:a="http://schemas.openxmlformats.org/drawingml/2006/main">
                        <a:graphicData uri="http://schemas.microsoft.com/office/word/2010/wordprocessingShape">
                          <wps:wsp>
                            <wps:cNvCnPr/>
                            <wps:spPr>
                              <a:xfrm flipV="1">
                                <a:off x="0" y="0"/>
                                <a:ext cx="2596551" cy="25879"/>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532B5A" id="Straight Connector 1" o:spid="_x0000_s1026" style="position:absolute;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65pt,77.85pt" to="230.1pt,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" strokecolor="#c00000" strokeweight="1.5pt">
                      <v:stroke joinstyle="miter"/>
                    </v:line>
                  </w:pict>
                </mc:Fallback>
              </mc:AlternateContent>
            </w:r>
            <w:r w:rsidR="00C0029E">
              <w:rPr>
                <w:noProof/>
              </w:rPr>
              <mc:AlternateContent>
                <mc:Choice Requires="cx1">
                  <w:drawing>
                    <wp:inline distT="0" distB="0" distL="0" distR="0" wp14:anchorId="1AF5363B" wp14:editId="14614D96">
                      <wp:extent cx="3058160" cy="2120265"/>
                      <wp:effectExtent l="0" t="0" r="8890" b="13335"/>
                      <wp:docPr id="999969686" name="Chart 1">
                        <a:extLst xmlns:a="http://schemas.openxmlformats.org/drawingml/2006/main">
                          <a:ext uri="{FF2B5EF4-FFF2-40B4-BE49-F238E27FC236}">
                            <a16:creationId xmlns:a16="http://schemas.microsoft.com/office/drawing/2014/main" id="{2CBE105E-36C4-4409-B387-9E5F9D94C210}"/>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25"/>
                        </a:graphicData>
                      </a:graphic>
                    </wp:inline>
                  </w:drawing>
                </mc:Choice>
                <mc:Fallback>
                  <w:drawing>
                    <wp:inline distT="0" distB="0" distL="0" distR="0" wp14:anchorId="1AF5363B" wp14:editId="14614D96">
                      <wp:extent cx="3058160" cy="2120265"/>
                      <wp:effectExtent l="0" t="0" r="8890" b="13335"/>
                      <wp:docPr id="999969686" name="Chart 1">
                        <a:extLst xmlns:a="http://schemas.openxmlformats.org/drawingml/2006/main">
                          <a:ext uri="{FF2B5EF4-FFF2-40B4-BE49-F238E27FC236}">
                            <a16:creationId xmlns:a16="http://schemas.microsoft.com/office/drawing/2014/main" id="{2CBE105E-36C4-4409-B387-9E5F9D94C210}"/>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999969686" name="Chart 1">
                                <a:extLst>
                                  <a:ext uri="{FF2B5EF4-FFF2-40B4-BE49-F238E27FC236}">
                                    <a16:creationId xmlns:a16="http://schemas.microsoft.com/office/drawing/2014/main" id="{2CBE105E-36C4-4409-B387-9E5F9D94C210}"/>
                                  </a:ext>
                                </a:extLst>
                              </pic:cNvPr>
                              <pic:cNvPicPr>
                                <a:picLocks noGrp="1" noRot="1" noChangeAspect="1" noMove="1" noResize="1" noEditPoints="1" noAdjustHandles="1" noChangeArrowheads="1" noChangeShapeType="1"/>
                              </pic:cNvPicPr>
                            </pic:nvPicPr>
                            <pic:blipFill>
                              <a:blip r:embed="rId26"/>
                              <a:stretch>
                                <a:fillRect/>
                              </a:stretch>
                            </pic:blipFill>
                            <pic:spPr>
                              <a:xfrm>
                                <a:off x="0" y="0"/>
                                <a:ext cx="3058160" cy="2120265"/>
                              </a:xfrm>
                              <a:prstGeom prst="rect">
                                <a:avLst/>
                              </a:prstGeom>
                            </pic:spPr>
                          </pic:pic>
                        </a:graphicData>
                      </a:graphic>
                    </wp:inline>
                  </w:drawing>
                </mc:Fallback>
              </mc:AlternateContent>
            </w:r>
            <w:r w:rsidR="00C0029E">
              <w:rPr>
                <w:noProof/>
              </w:rPr>
              <w:t xml:space="preserve"> </w:t>
            </w:r>
          </w:p>
        </w:tc>
      </w:tr>
      <w:tr w:rsidR="00B059AE" w:rsidRPr="00B10EEC" w14:paraId="4B390ED2" w14:textId="77777777" w:rsidTr="00E94F8F">
        <w:trPr>
          <w:trHeight w:val="40"/>
        </w:trPr>
        <w:tc>
          <w:tcPr>
            <w:tcW w:w="4413" w:type="dxa"/>
            <w:vMerge/>
          </w:tcPr>
          <w:p w14:paraId="6B999033" w14:textId="77777777" w:rsidR="00B059AE" w:rsidRPr="00B10EEC" w:rsidRDefault="00B059AE" w:rsidP="00BE78EC">
            <w:pPr>
              <w:jc w:val="both"/>
              <w:rPr>
                <w:rFonts w:cstheme="minorHAnsi"/>
                <w:b/>
                <w:bCs/>
                <w:color w:val="000000" w:themeColor="text1"/>
              </w:rPr>
            </w:pPr>
          </w:p>
        </w:tc>
        <w:tc>
          <w:tcPr>
            <w:tcW w:w="5032" w:type="dxa"/>
          </w:tcPr>
          <w:p w14:paraId="39F0547E" w14:textId="77FE5383" w:rsidR="00B059AE" w:rsidRDefault="00B059AE" w:rsidP="00BE78EC">
            <w:pPr>
              <w:keepNext/>
              <w:keepLines/>
              <w:ind w:left="165"/>
              <w:rPr>
                <w:rFonts w:asciiTheme="minorHAnsi" w:eastAsia="Times New Roman" w:hAnsiTheme="minorHAnsi" w:cstheme="minorHAnsi"/>
                <w:bCs/>
                <w:sz w:val="18"/>
                <w:szCs w:val="18"/>
              </w:rPr>
            </w:pPr>
            <w:r w:rsidRPr="0008418F">
              <w:rPr>
                <w:rFonts w:eastAsia="Times New Roman" w:cstheme="minorHAnsi"/>
                <w:bCs/>
                <w:i/>
                <w:iCs/>
                <w:sz w:val="18"/>
                <w:szCs w:val="18"/>
              </w:rPr>
              <w:t>Source</w:t>
            </w:r>
            <w:r w:rsidRPr="002E63A3">
              <w:rPr>
                <w:rFonts w:asciiTheme="minorHAnsi" w:eastAsia="Times New Roman" w:hAnsiTheme="minorHAnsi" w:cstheme="minorHAnsi"/>
                <w:bCs/>
                <w:sz w:val="18"/>
                <w:szCs w:val="18"/>
              </w:rPr>
              <w:t>:</w:t>
            </w:r>
            <w:r w:rsidRPr="00A765BB">
              <w:rPr>
                <w:rFonts w:asciiTheme="minorHAnsi" w:eastAsia="Times New Roman" w:hAnsiTheme="minorHAnsi" w:cstheme="minorHAnsi"/>
                <w:bCs/>
                <w:sz w:val="18"/>
                <w:szCs w:val="18"/>
              </w:rPr>
              <w:t xml:space="preserve"> World Bank staff calculation</w:t>
            </w:r>
            <w:r w:rsidR="005E4109">
              <w:rPr>
                <w:rFonts w:asciiTheme="minorHAnsi" w:eastAsia="Times New Roman" w:hAnsiTheme="minorHAnsi" w:cstheme="minorHAnsi"/>
                <w:bCs/>
                <w:sz w:val="18"/>
                <w:szCs w:val="18"/>
              </w:rPr>
              <w:t>s using IMF-TPAF data, 2020 (except Indonesia refers to year 2022)</w:t>
            </w:r>
            <w:r w:rsidR="00E94F8F">
              <w:rPr>
                <w:rFonts w:asciiTheme="minorHAnsi" w:eastAsia="Times New Roman" w:hAnsiTheme="minorHAnsi" w:cstheme="minorHAnsi"/>
                <w:bCs/>
                <w:sz w:val="18"/>
                <w:szCs w:val="18"/>
              </w:rPr>
              <w:t>.</w:t>
            </w:r>
          </w:p>
          <w:p w14:paraId="7D3DE9A3" w14:textId="34A74C9D" w:rsidR="00B059AE" w:rsidRPr="00A765BB" w:rsidRDefault="000C1280" w:rsidP="002041C7">
            <w:pPr>
              <w:keepNext/>
              <w:keepLines/>
              <w:ind w:left="165"/>
              <w:rPr>
                <w:rFonts w:asciiTheme="minorHAnsi" w:eastAsia="Times New Roman" w:hAnsiTheme="minorHAnsi" w:cstheme="minorHAnsi"/>
                <w:bCs/>
                <w:color w:val="0C4DA2"/>
              </w:rPr>
            </w:pPr>
            <w:r w:rsidRPr="0008418F">
              <w:rPr>
                <w:rFonts w:eastAsia="Times New Roman" w:cstheme="minorHAnsi"/>
                <w:bCs/>
                <w:i/>
                <w:iCs/>
                <w:sz w:val="18"/>
                <w:szCs w:val="18"/>
              </w:rPr>
              <w:t>Note</w:t>
            </w:r>
            <w:r w:rsidRPr="002E63A3">
              <w:rPr>
                <w:rFonts w:asciiTheme="minorHAnsi" w:eastAsia="Times New Roman" w:hAnsiTheme="minorHAnsi" w:cstheme="minorHAnsi"/>
                <w:bCs/>
                <w:sz w:val="18"/>
                <w:szCs w:val="18"/>
              </w:rPr>
              <w:t>:</w:t>
            </w:r>
            <w:r>
              <w:rPr>
                <w:rFonts w:asciiTheme="minorHAnsi" w:eastAsia="Times New Roman" w:hAnsiTheme="minorHAnsi" w:cstheme="minorHAnsi"/>
                <w:bCs/>
                <w:sz w:val="18"/>
                <w:szCs w:val="18"/>
              </w:rPr>
              <w:t xml:space="preserve"> </w:t>
            </w:r>
            <w:r w:rsidR="00580974">
              <w:rPr>
                <w:rFonts w:asciiTheme="minorHAnsi" w:eastAsia="Times New Roman" w:hAnsiTheme="minorHAnsi" w:cstheme="minorHAnsi"/>
                <w:bCs/>
                <w:sz w:val="18"/>
                <w:szCs w:val="18"/>
              </w:rPr>
              <w:t xml:space="preserve">The </w:t>
            </w:r>
            <w:r w:rsidR="00FB4D81">
              <w:rPr>
                <w:rFonts w:asciiTheme="minorHAnsi" w:eastAsia="Times New Roman" w:hAnsiTheme="minorHAnsi" w:cstheme="minorHAnsi"/>
                <w:bCs/>
                <w:sz w:val="18"/>
                <w:szCs w:val="18"/>
              </w:rPr>
              <w:t xml:space="preserve">lower </w:t>
            </w:r>
            <w:r w:rsidR="00580974">
              <w:rPr>
                <w:rFonts w:asciiTheme="minorHAnsi" w:eastAsia="Times New Roman" w:hAnsiTheme="minorHAnsi" w:cstheme="minorHAnsi"/>
                <w:bCs/>
                <w:sz w:val="18"/>
                <w:szCs w:val="18"/>
              </w:rPr>
              <w:t xml:space="preserve">range </w:t>
            </w:r>
            <w:r w:rsidR="00781CDB">
              <w:rPr>
                <w:rFonts w:asciiTheme="minorHAnsi" w:eastAsia="Times New Roman" w:hAnsiTheme="minorHAnsi" w:cstheme="minorHAnsi"/>
                <w:bCs/>
                <w:sz w:val="18"/>
                <w:szCs w:val="18"/>
              </w:rPr>
              <w:t>of VAT rate</w:t>
            </w:r>
            <w:r w:rsidR="002C7DA9">
              <w:rPr>
                <w:rFonts w:asciiTheme="minorHAnsi" w:eastAsia="Times New Roman" w:hAnsiTheme="minorHAnsi" w:cstheme="minorHAnsi"/>
                <w:bCs/>
                <w:sz w:val="18"/>
                <w:szCs w:val="18"/>
              </w:rPr>
              <w:t xml:space="preserve"> in Indonesia denotes </w:t>
            </w:r>
            <w:r w:rsidR="009552D2">
              <w:rPr>
                <w:rFonts w:asciiTheme="minorHAnsi" w:eastAsia="Times New Roman" w:hAnsiTheme="minorHAnsi" w:cstheme="minorHAnsi"/>
                <w:bCs/>
                <w:sz w:val="18"/>
                <w:szCs w:val="18"/>
              </w:rPr>
              <w:t xml:space="preserve">the </w:t>
            </w:r>
            <w:r w:rsidR="008915F9">
              <w:rPr>
                <w:rFonts w:asciiTheme="minorHAnsi" w:eastAsia="Times New Roman" w:hAnsiTheme="minorHAnsi" w:cstheme="minorHAnsi"/>
                <w:bCs/>
                <w:sz w:val="18"/>
                <w:szCs w:val="18"/>
              </w:rPr>
              <w:t>‘</w:t>
            </w:r>
            <w:r w:rsidR="009552D2">
              <w:rPr>
                <w:rFonts w:asciiTheme="minorHAnsi" w:eastAsia="Times New Roman" w:hAnsiTheme="minorHAnsi" w:cstheme="minorHAnsi"/>
                <w:bCs/>
                <w:sz w:val="18"/>
                <w:szCs w:val="18"/>
              </w:rPr>
              <w:t>final</w:t>
            </w:r>
            <w:r w:rsidR="00E94EFE">
              <w:rPr>
                <w:rFonts w:asciiTheme="minorHAnsi" w:eastAsia="Times New Roman" w:hAnsiTheme="minorHAnsi" w:cstheme="minorHAnsi"/>
                <w:bCs/>
                <w:sz w:val="18"/>
                <w:szCs w:val="18"/>
              </w:rPr>
              <w:t xml:space="preserve"> VAT</w:t>
            </w:r>
            <w:r w:rsidR="008915F9">
              <w:rPr>
                <w:rFonts w:asciiTheme="minorHAnsi" w:eastAsia="Times New Roman" w:hAnsiTheme="minorHAnsi" w:cstheme="minorHAnsi"/>
                <w:bCs/>
                <w:sz w:val="18"/>
                <w:szCs w:val="18"/>
              </w:rPr>
              <w:t>’</w:t>
            </w:r>
            <w:r w:rsidR="00E94EFE">
              <w:rPr>
                <w:rFonts w:asciiTheme="minorHAnsi" w:eastAsia="Times New Roman" w:hAnsiTheme="minorHAnsi" w:cstheme="minorHAnsi"/>
                <w:bCs/>
                <w:sz w:val="18"/>
                <w:szCs w:val="18"/>
              </w:rPr>
              <w:t xml:space="preserve"> rates for certain products.</w:t>
            </w:r>
          </w:p>
        </w:tc>
      </w:tr>
    </w:tbl>
    <w:p w14:paraId="571892F5" w14:textId="5CE6FE90" w:rsidR="000618A9" w:rsidRDefault="00B10EEC" w:rsidP="000618A9">
      <w:pPr>
        <w:pStyle w:val="ListParagraph"/>
        <w:numPr>
          <w:ilvl w:val="0"/>
          <w:numId w:val="12"/>
        </w:numPr>
        <w:spacing w:before="120"/>
        <w:ind w:left="0" w:firstLine="0"/>
        <w:contextualSpacing w:val="0"/>
        <w:jc w:val="both"/>
      </w:pPr>
      <w:r w:rsidRPr="00165956">
        <w:rPr>
          <w:b/>
          <w:bCs/>
        </w:rPr>
        <w:t>The 2021 THL introduce</w:t>
      </w:r>
      <w:r w:rsidR="00326382" w:rsidRPr="00165956">
        <w:rPr>
          <w:b/>
          <w:bCs/>
        </w:rPr>
        <w:t>d</w:t>
      </w:r>
      <w:r w:rsidRPr="00165956">
        <w:rPr>
          <w:b/>
          <w:bCs/>
        </w:rPr>
        <w:t xml:space="preserve"> </w:t>
      </w:r>
      <w:r w:rsidR="005E4665" w:rsidRPr="00165956">
        <w:rPr>
          <w:b/>
          <w:bCs/>
        </w:rPr>
        <w:t xml:space="preserve">a </w:t>
      </w:r>
      <w:r w:rsidR="008915F9" w:rsidRPr="00165956">
        <w:rPr>
          <w:b/>
          <w:bCs/>
        </w:rPr>
        <w:t>‘</w:t>
      </w:r>
      <w:r w:rsidRPr="00165956">
        <w:rPr>
          <w:b/>
          <w:bCs/>
        </w:rPr>
        <w:t>final VAT</w:t>
      </w:r>
      <w:r w:rsidR="008915F9" w:rsidRPr="00165956">
        <w:rPr>
          <w:b/>
          <w:bCs/>
        </w:rPr>
        <w:t>’</w:t>
      </w:r>
      <w:r w:rsidRPr="00165956">
        <w:rPr>
          <w:b/>
          <w:bCs/>
        </w:rPr>
        <w:t xml:space="preserve"> regime (</w:t>
      </w:r>
      <w:r w:rsidR="005E4665" w:rsidRPr="00165956">
        <w:rPr>
          <w:b/>
          <w:bCs/>
        </w:rPr>
        <w:t xml:space="preserve">a </w:t>
      </w:r>
      <w:r w:rsidRPr="00165956">
        <w:rPr>
          <w:b/>
          <w:bCs/>
        </w:rPr>
        <w:t>flat</w:t>
      </w:r>
      <w:r w:rsidR="00067516" w:rsidRPr="00165956">
        <w:rPr>
          <w:b/>
          <w:bCs/>
        </w:rPr>
        <w:t>-</w:t>
      </w:r>
      <w:r w:rsidRPr="00165956">
        <w:rPr>
          <w:b/>
          <w:bCs/>
        </w:rPr>
        <w:t>rate scheme</w:t>
      </w:r>
      <w:r w:rsidR="00FE6FE3" w:rsidRPr="0008418F">
        <w:rPr>
          <w:b/>
          <w:bCs/>
        </w:rPr>
        <w:t xml:space="preserve"> or</w:t>
      </w:r>
      <w:r w:rsidR="005E4665" w:rsidRPr="00165956">
        <w:rPr>
          <w:b/>
          <w:bCs/>
        </w:rPr>
        <w:t xml:space="preserve"> </w:t>
      </w:r>
      <w:r w:rsidR="00CF7451" w:rsidRPr="00165956">
        <w:rPr>
          <w:b/>
          <w:bCs/>
        </w:rPr>
        <w:t>FRS</w:t>
      </w:r>
      <w:r w:rsidRPr="00165956">
        <w:rPr>
          <w:b/>
          <w:bCs/>
        </w:rPr>
        <w:t>)</w:t>
      </w:r>
      <w:r w:rsidR="000B363B" w:rsidRPr="00165956">
        <w:rPr>
          <w:b/>
          <w:bCs/>
        </w:rPr>
        <w:t xml:space="preserve"> to </w:t>
      </w:r>
      <w:r w:rsidR="00E047DC" w:rsidRPr="00165956">
        <w:rPr>
          <w:b/>
          <w:bCs/>
        </w:rPr>
        <w:t xml:space="preserve">several </w:t>
      </w:r>
      <w:r w:rsidR="00E047DC" w:rsidRPr="00165956" w:rsidDel="009F0961">
        <w:rPr>
          <w:b/>
        </w:rPr>
        <w:t>hard</w:t>
      </w:r>
      <w:r w:rsidR="00E047DC" w:rsidRPr="00165956">
        <w:rPr>
          <w:b/>
        </w:rPr>
        <w:t>-to-</w:t>
      </w:r>
      <w:r w:rsidR="00E047DC">
        <w:rPr>
          <w:b/>
        </w:rPr>
        <w:t>tax</w:t>
      </w:r>
      <w:r w:rsidR="008E71F0">
        <w:rPr>
          <w:b/>
          <w:bCs/>
        </w:rPr>
        <w:t xml:space="preserve"> </w:t>
      </w:r>
      <w:r w:rsidR="009F0961" w:rsidRPr="000618A9">
        <w:rPr>
          <w:b/>
          <w:bCs/>
        </w:rPr>
        <w:t>sectors</w:t>
      </w:r>
      <w:r w:rsidR="00FE6FE3">
        <w:rPr>
          <w:b/>
          <w:bCs/>
        </w:rPr>
        <w:t xml:space="preserve"> (</w:t>
      </w:r>
      <w:r w:rsidR="00FE6FE3" w:rsidRPr="00FE6FE3">
        <w:rPr>
          <w:b/>
          <w:bCs/>
        </w:rPr>
        <w:t>such as agriculture, construction, and tourism</w:t>
      </w:r>
      <w:r w:rsidR="00FE6FE3">
        <w:rPr>
          <w:b/>
          <w:bCs/>
        </w:rPr>
        <w:t>)</w:t>
      </w:r>
      <w:r w:rsidR="00FE6FE3">
        <w:rPr>
          <w:rFonts w:cstheme="minorHAnsi"/>
          <w:b/>
          <w:bCs/>
        </w:rPr>
        <w:t>–</w:t>
      </w:r>
      <w:r w:rsidR="00A65397" w:rsidRPr="001045BA">
        <w:rPr>
          <w:b/>
          <w:bCs/>
        </w:rPr>
        <w:t xml:space="preserve">effective since </w:t>
      </w:r>
      <w:r w:rsidR="00282DB2" w:rsidRPr="001045BA">
        <w:rPr>
          <w:b/>
          <w:bCs/>
        </w:rPr>
        <w:t>April 2022</w:t>
      </w:r>
      <w:r w:rsidRPr="001045BA">
        <w:rPr>
          <w:b/>
          <w:bCs/>
        </w:rPr>
        <w:t>.</w:t>
      </w:r>
      <w:r w:rsidRPr="001045BA">
        <w:t xml:space="preserve"> </w:t>
      </w:r>
      <w:r w:rsidR="00CE0546">
        <w:t xml:space="preserve">Unlike the </w:t>
      </w:r>
      <w:r w:rsidR="00CE0546">
        <w:lastRenderedPageBreak/>
        <w:t xml:space="preserve">standard VAT which is </w:t>
      </w:r>
      <w:r w:rsidR="00244A26">
        <w:t xml:space="preserve">a tax </w:t>
      </w:r>
      <w:r w:rsidR="00CE0546">
        <w:t xml:space="preserve">applied to the </w:t>
      </w:r>
      <w:r w:rsidR="00244A26">
        <w:t xml:space="preserve">value-added of a good or service, the final </w:t>
      </w:r>
      <w:r w:rsidR="00587FF9">
        <w:t xml:space="preserve">VAT </w:t>
      </w:r>
      <w:r w:rsidR="005614F3">
        <w:t xml:space="preserve">FRS </w:t>
      </w:r>
      <w:r w:rsidR="00587FF9">
        <w:t xml:space="preserve">is </w:t>
      </w:r>
      <w:r w:rsidR="007B2BC0">
        <w:t xml:space="preserve">a sales tax </w:t>
      </w:r>
      <w:r w:rsidR="00244A26">
        <w:t xml:space="preserve">applied to the </w:t>
      </w:r>
      <w:r w:rsidR="00E61709">
        <w:t>final sale price</w:t>
      </w:r>
      <w:r w:rsidR="002B3AAA">
        <w:t xml:space="preserve">. This </w:t>
      </w:r>
      <w:r w:rsidR="00EE68D1">
        <w:t xml:space="preserve">is intended to relieve </w:t>
      </w:r>
      <w:r w:rsidR="002B3AAA">
        <w:t xml:space="preserve">the burden </w:t>
      </w:r>
      <w:r w:rsidR="001F03E8">
        <w:t xml:space="preserve">that </w:t>
      </w:r>
      <w:r w:rsidR="00063F83">
        <w:t xml:space="preserve">firms and the tax authorities </w:t>
      </w:r>
      <w:r w:rsidR="001F03E8">
        <w:t xml:space="preserve">face in </w:t>
      </w:r>
      <w:r w:rsidR="00063F83">
        <w:t xml:space="preserve">having to determine value added </w:t>
      </w:r>
      <w:r w:rsidR="001F03E8">
        <w:t xml:space="preserve">in </w:t>
      </w:r>
      <w:r w:rsidR="0080148B">
        <w:t xml:space="preserve">sectors that are relatively complex or where </w:t>
      </w:r>
      <w:r w:rsidR="005614F3">
        <w:t xml:space="preserve">taxpayer compliance capacity is limited. </w:t>
      </w:r>
      <w:r w:rsidR="0080148B" w:rsidRPr="007E52C6">
        <w:t>The FRS is applicable to certain agricultural products</w:t>
      </w:r>
      <w:r w:rsidR="00407889">
        <w:rPr>
          <w:rStyle w:val="FootnoteReference"/>
        </w:rPr>
        <w:footnoteReference w:id="86"/>
      </w:r>
      <w:r w:rsidR="0080148B" w:rsidRPr="007E52C6">
        <w:t xml:space="preserve"> (palm oil, tobacco, rubber, </w:t>
      </w:r>
      <w:r w:rsidR="00E52626">
        <w:t xml:space="preserve">and </w:t>
      </w:r>
      <w:r w:rsidR="0080148B" w:rsidRPr="007E52C6">
        <w:t>coconut</w:t>
      </w:r>
      <w:r w:rsidR="00E52626">
        <w:rPr>
          <w:rFonts w:cstheme="minorHAnsi"/>
        </w:rPr>
        <w:t>–</w:t>
      </w:r>
      <w:r w:rsidR="0080148B" w:rsidRPr="007E52C6">
        <w:t>among others)</w:t>
      </w:r>
      <w:r w:rsidR="009441B5">
        <w:t>,</w:t>
      </w:r>
      <w:r w:rsidR="0080148B" w:rsidRPr="007E52C6">
        <w:t xml:space="preserve"> self-</w:t>
      </w:r>
      <w:r w:rsidR="0080148B" w:rsidRPr="00783383">
        <w:t>construction activities</w:t>
      </w:r>
      <w:r w:rsidR="009441B5">
        <w:t>,</w:t>
      </w:r>
      <w:r w:rsidR="0080148B" w:rsidRPr="00783383">
        <w:t xml:space="preserve"> </w:t>
      </w:r>
      <w:r w:rsidR="0080148B" w:rsidRPr="007E52C6">
        <w:t>tour packages</w:t>
      </w:r>
      <w:r w:rsidR="00D97D95">
        <w:t>,</w:t>
      </w:r>
      <w:r w:rsidR="00640A6C">
        <w:rPr>
          <w:rStyle w:val="FootnoteReference"/>
        </w:rPr>
        <w:footnoteReference w:id="87"/>
      </w:r>
      <w:r w:rsidR="0080148B" w:rsidRPr="007E52C6">
        <w:t xml:space="preserve"> consignment delivery services</w:t>
      </w:r>
      <w:r w:rsidR="009441B5">
        <w:t>,</w:t>
      </w:r>
      <w:r w:rsidR="0080148B" w:rsidRPr="007E52C6">
        <w:t xml:space="preserve"> and</w:t>
      </w:r>
      <w:r w:rsidR="0080148B" w:rsidRPr="00783383">
        <w:t xml:space="preserve"> </w:t>
      </w:r>
      <w:r w:rsidR="0080148B" w:rsidRPr="007E52C6">
        <w:t xml:space="preserve">fee-based financial services. </w:t>
      </w:r>
      <w:r w:rsidR="00AA54D1">
        <w:t>T</w:t>
      </w:r>
      <w:r w:rsidR="009F0961">
        <w:t>hree different rates</w:t>
      </w:r>
      <w:r w:rsidR="00AA54D1">
        <w:t xml:space="preserve"> </w:t>
      </w:r>
      <w:r w:rsidR="006C4A93">
        <w:t>are applicable</w:t>
      </w:r>
      <w:r w:rsidR="004310A1">
        <w:t xml:space="preserve"> under the final VAT regime</w:t>
      </w:r>
      <w:r w:rsidR="009F0961">
        <w:t xml:space="preserve">, depending on the specific good or service </w:t>
      </w:r>
      <w:r w:rsidR="00AA54D1">
        <w:t xml:space="preserve">in question: </w:t>
      </w:r>
      <w:r w:rsidR="00A052E8" w:rsidRPr="001045BA">
        <w:t>0.</w:t>
      </w:r>
      <w:r w:rsidR="00E5577F" w:rsidRPr="001045BA">
        <w:t>55</w:t>
      </w:r>
      <w:r w:rsidR="00AA54D1">
        <w:t xml:space="preserve"> percent</w:t>
      </w:r>
      <w:r w:rsidR="00CF68B0">
        <w:t>,</w:t>
      </w:r>
      <w:r w:rsidR="00E5577F" w:rsidRPr="001045BA">
        <w:t xml:space="preserve"> 1.1</w:t>
      </w:r>
      <w:r w:rsidR="00AA54D1">
        <w:t xml:space="preserve"> percent</w:t>
      </w:r>
      <w:r w:rsidR="00CF68B0">
        <w:t>,</w:t>
      </w:r>
      <w:r w:rsidR="00E5577F" w:rsidRPr="001045BA">
        <w:t xml:space="preserve"> and 2.2 percent </w:t>
      </w:r>
      <w:r w:rsidR="009706CD" w:rsidRPr="001045BA">
        <w:t>(</w:t>
      </w:r>
      <w:r w:rsidR="00957846">
        <w:t xml:space="preserve">a deemed value-added-to-sales ratio of </w:t>
      </w:r>
      <w:r w:rsidR="001D5029" w:rsidRPr="001045BA">
        <w:t xml:space="preserve">5, 10, and 20 </w:t>
      </w:r>
      <w:r w:rsidR="004A2158" w:rsidRPr="001045BA">
        <w:t xml:space="preserve">percent of </w:t>
      </w:r>
      <w:r w:rsidR="00163902" w:rsidRPr="001045BA">
        <w:t>the standard tax ra</w:t>
      </w:r>
      <w:r w:rsidR="009706CD" w:rsidRPr="001045BA">
        <w:t xml:space="preserve">te but imposed on </w:t>
      </w:r>
      <w:r w:rsidR="00B02974">
        <w:t xml:space="preserve">the </w:t>
      </w:r>
      <w:r w:rsidR="00433AD2" w:rsidRPr="001045BA">
        <w:t>selling price).</w:t>
      </w:r>
      <w:r w:rsidR="00DD58D4">
        <w:rPr>
          <w:rStyle w:val="FootnoteReference"/>
        </w:rPr>
        <w:footnoteReference w:id="88"/>
      </w:r>
      <w:r w:rsidR="00433AD2" w:rsidRPr="00783383">
        <w:t xml:space="preserve"> </w:t>
      </w:r>
      <w:r w:rsidR="00382884">
        <w:t xml:space="preserve">While there are several sectors, </w:t>
      </w:r>
      <w:r w:rsidR="00325DAD">
        <w:t>and</w:t>
      </w:r>
      <w:r w:rsidR="00382884">
        <w:t xml:space="preserve"> specific goods and services, which may</w:t>
      </w:r>
      <w:r w:rsidR="00433AD2" w:rsidRPr="00783383" w:rsidDel="00382884">
        <w:t xml:space="preserve"> </w:t>
      </w:r>
      <w:r w:rsidR="0034422E">
        <w:t xml:space="preserve">benefit </w:t>
      </w:r>
      <w:r w:rsidR="00054FB6">
        <w:t xml:space="preserve">from the simplicity of a final VAT, </w:t>
      </w:r>
      <w:r w:rsidR="005F1EE1">
        <w:t>such alternative scheme</w:t>
      </w:r>
      <w:r w:rsidR="007A7FBF">
        <w:t>s</w:t>
      </w:r>
      <w:r w:rsidR="005F1EE1">
        <w:t xml:space="preserve"> </w:t>
      </w:r>
      <w:r w:rsidR="006D36AB">
        <w:t xml:space="preserve">(with varying rates) </w:t>
      </w:r>
      <w:r w:rsidR="005F1EE1">
        <w:t xml:space="preserve">introduce </w:t>
      </w:r>
      <w:r w:rsidR="00003604">
        <w:t xml:space="preserve">economic distortions </w:t>
      </w:r>
      <w:r w:rsidR="006C6EBB">
        <w:t xml:space="preserve">across sectors as well as inefficiencies in the </w:t>
      </w:r>
      <w:r w:rsidR="00804DB6">
        <w:t xml:space="preserve">overall </w:t>
      </w:r>
      <w:r w:rsidR="006C6EBB">
        <w:t xml:space="preserve">operation of the VAT. </w:t>
      </w:r>
      <w:r w:rsidR="00C04A26">
        <w:t xml:space="preserve">Given that </w:t>
      </w:r>
      <w:r w:rsidR="000210AB">
        <w:t>all</w:t>
      </w:r>
      <w:r w:rsidR="00C04A26">
        <w:t xml:space="preserve"> small firms are anyway excluded </w:t>
      </w:r>
      <w:r w:rsidR="00A93546">
        <w:t xml:space="preserve">from the VAT </w:t>
      </w:r>
      <w:r w:rsidR="000210AB">
        <w:t>(see later discussion)</w:t>
      </w:r>
      <w:r w:rsidR="00A93546">
        <w:t xml:space="preserve">, </w:t>
      </w:r>
      <w:r w:rsidR="00AE032A">
        <w:t xml:space="preserve">compliance </w:t>
      </w:r>
      <w:r w:rsidR="00560C58">
        <w:t>capacity</w:t>
      </w:r>
      <w:r w:rsidR="00AE032A">
        <w:t xml:space="preserve"> should not be a </w:t>
      </w:r>
      <w:r w:rsidR="000210AB">
        <w:t>core</w:t>
      </w:r>
      <w:r w:rsidR="00AE032A">
        <w:t xml:space="preserve"> justification for </w:t>
      </w:r>
      <w:r w:rsidR="00D806B9">
        <w:t>the use</w:t>
      </w:r>
      <w:r w:rsidR="00FB0404">
        <w:t xml:space="preserve"> of </w:t>
      </w:r>
      <w:r w:rsidR="00AE032A">
        <w:t xml:space="preserve">a final VAT. </w:t>
      </w:r>
      <w:r w:rsidR="00560C58">
        <w:t xml:space="preserve">Moreover, application of </w:t>
      </w:r>
      <w:r w:rsidR="00D806B9">
        <w:t>VAT</w:t>
      </w:r>
      <w:r w:rsidR="00FB0404">
        <w:t xml:space="preserve"> in more complex sectors can </w:t>
      </w:r>
      <w:r w:rsidR="00F44767">
        <w:t xml:space="preserve">be tackled with </w:t>
      </w:r>
      <w:r w:rsidR="00822B2B">
        <w:t xml:space="preserve">clearer </w:t>
      </w:r>
      <w:r w:rsidR="00D806B9">
        <w:t>guidance and</w:t>
      </w:r>
      <w:r w:rsidR="002544DF">
        <w:t xml:space="preserve"> again will only apply to </w:t>
      </w:r>
      <w:r w:rsidR="000210AB">
        <w:t xml:space="preserve">relatively larger </w:t>
      </w:r>
      <w:r w:rsidR="002544DF">
        <w:t xml:space="preserve">firms </w:t>
      </w:r>
      <w:r w:rsidR="000210AB">
        <w:t>within</w:t>
      </w:r>
      <w:r w:rsidR="002544DF">
        <w:t xml:space="preserve"> the </w:t>
      </w:r>
      <w:r w:rsidR="000210AB">
        <w:t>standard VAT regime</w:t>
      </w:r>
      <w:r w:rsidR="002544DF">
        <w:t xml:space="preserve">. </w:t>
      </w:r>
    </w:p>
    <w:p w14:paraId="66900EE6" w14:textId="46CA2D4C" w:rsidR="00B10EEC" w:rsidRDefault="00B10EEC" w:rsidP="008746FC">
      <w:pPr>
        <w:pStyle w:val="ListParagraph"/>
        <w:numPr>
          <w:ilvl w:val="0"/>
          <w:numId w:val="12"/>
        </w:numPr>
        <w:spacing w:before="120"/>
        <w:ind w:left="0" w:firstLine="0"/>
        <w:contextualSpacing w:val="0"/>
        <w:jc w:val="both"/>
        <w:rPr>
          <w:color w:val="000000" w:themeColor="text1"/>
        </w:rPr>
      </w:pPr>
      <w:r w:rsidRPr="002A42C3">
        <w:rPr>
          <w:b/>
          <w:color w:val="000000" w:themeColor="text1"/>
        </w:rPr>
        <w:t xml:space="preserve">Indonesia’s VAT revenue hovered </w:t>
      </w:r>
      <w:r w:rsidR="00CB262B">
        <w:rPr>
          <w:b/>
          <w:color w:val="000000" w:themeColor="text1"/>
        </w:rPr>
        <w:t>about</w:t>
      </w:r>
      <w:r w:rsidRPr="002A42C3">
        <w:rPr>
          <w:b/>
          <w:color w:val="000000" w:themeColor="text1"/>
        </w:rPr>
        <w:t xml:space="preserve"> 3 percent of GDP in the past two decades</w:t>
      </w:r>
      <w:r w:rsidR="00E52626">
        <w:rPr>
          <w:rFonts w:cstheme="minorHAnsi"/>
          <w:b/>
          <w:color w:val="000000" w:themeColor="text1"/>
        </w:rPr>
        <w:t>–</w:t>
      </w:r>
      <w:r w:rsidRPr="002A42C3">
        <w:rPr>
          <w:b/>
          <w:color w:val="000000" w:themeColor="text1"/>
        </w:rPr>
        <w:t xml:space="preserve"> consistently</w:t>
      </w:r>
      <w:r w:rsidR="004649BB" w:rsidRPr="002A42C3">
        <w:rPr>
          <w:b/>
          <w:color w:val="000000" w:themeColor="text1"/>
        </w:rPr>
        <w:t xml:space="preserve"> </w:t>
      </w:r>
      <w:r w:rsidR="00D95223" w:rsidRPr="002A42C3">
        <w:rPr>
          <w:b/>
          <w:color w:val="000000" w:themeColor="text1"/>
        </w:rPr>
        <w:t xml:space="preserve">below the range for </w:t>
      </w:r>
      <w:r w:rsidR="004649BB" w:rsidRPr="002A42C3">
        <w:rPr>
          <w:b/>
          <w:color w:val="000000" w:themeColor="text1"/>
        </w:rPr>
        <w:t>U</w:t>
      </w:r>
      <w:r w:rsidRPr="002A42C3">
        <w:rPr>
          <w:b/>
          <w:color w:val="000000" w:themeColor="text1"/>
        </w:rPr>
        <w:t>MICs</w:t>
      </w:r>
      <w:r w:rsidRPr="002A42C3">
        <w:rPr>
          <w:color w:val="000000" w:themeColor="text1"/>
        </w:rPr>
        <w:t xml:space="preserve"> </w:t>
      </w:r>
      <w:r w:rsidRPr="002A42C3">
        <w:rPr>
          <w:b/>
          <w:color w:val="000000" w:themeColor="text1"/>
        </w:rPr>
        <w:t xml:space="preserve">(Figure </w:t>
      </w:r>
      <w:r w:rsidR="005E2DB4" w:rsidRPr="002A42C3">
        <w:rPr>
          <w:b/>
          <w:color w:val="000000" w:themeColor="text1"/>
        </w:rPr>
        <w:t>4.</w:t>
      </w:r>
      <w:r w:rsidR="00862FC2" w:rsidRPr="002A42C3">
        <w:rPr>
          <w:b/>
          <w:color w:val="000000" w:themeColor="text1"/>
        </w:rPr>
        <w:t>2</w:t>
      </w:r>
      <w:r w:rsidRPr="002A42C3">
        <w:rPr>
          <w:b/>
          <w:color w:val="000000" w:themeColor="text1"/>
        </w:rPr>
        <w:t>)</w:t>
      </w:r>
      <w:r w:rsidRPr="002A42C3">
        <w:rPr>
          <w:color w:val="000000" w:themeColor="text1"/>
        </w:rPr>
        <w:t xml:space="preserve">. A common measure in reviewing the effectiveness of VAT in raising revenue is collection efficiency. </w:t>
      </w:r>
      <w:r w:rsidR="00E52626">
        <w:rPr>
          <w:color w:val="000000" w:themeColor="text1"/>
        </w:rPr>
        <w:t xml:space="preserve">The </w:t>
      </w:r>
      <w:r w:rsidRPr="002A42C3">
        <w:rPr>
          <w:color w:val="000000" w:themeColor="text1"/>
        </w:rPr>
        <w:t>C-efficiency ratio compares the actual tax collection to what could have been obtained if the standard VAT rate is applied to all domestic final consumption.</w:t>
      </w:r>
      <w:r w:rsidRPr="002A42C3">
        <w:rPr>
          <w:color w:val="000000" w:themeColor="text1"/>
          <w:vertAlign w:val="superscript"/>
        </w:rPr>
        <w:footnoteReference w:id="89"/>
      </w:r>
      <w:r w:rsidRPr="002A42C3">
        <w:rPr>
          <w:color w:val="000000" w:themeColor="text1"/>
        </w:rPr>
        <w:t xml:space="preserve"> Indonesia’s VAT C-efficiency ratio is approximately 0.53</w:t>
      </w:r>
      <w:r w:rsidR="00264DE4">
        <w:rPr>
          <w:color w:val="000000" w:themeColor="text1"/>
        </w:rPr>
        <w:t xml:space="preserve"> </w:t>
      </w:r>
      <w:r w:rsidR="00264DE4" w:rsidRPr="002A42C3">
        <w:rPr>
          <w:color w:val="000000" w:themeColor="text1"/>
        </w:rPr>
        <w:t>(Figure 4.3)</w:t>
      </w:r>
      <w:r w:rsidRPr="002A42C3">
        <w:rPr>
          <w:color w:val="000000" w:themeColor="text1"/>
        </w:rPr>
        <w:t>, or about 0.17 below the average value of its regional peers. It means that the forgone revenue from noncompliance and policy decision</w:t>
      </w:r>
      <w:r w:rsidR="00E52626">
        <w:rPr>
          <w:color w:val="000000" w:themeColor="text1"/>
        </w:rPr>
        <w:t>s</w:t>
      </w:r>
      <w:r w:rsidRPr="002A42C3">
        <w:rPr>
          <w:color w:val="000000" w:themeColor="text1"/>
        </w:rPr>
        <w:t xml:space="preserve"> is nearly as large as the actual collections. As a result of this low efficiency, VAT revenue accounts </w:t>
      </w:r>
      <w:r w:rsidR="00E52626">
        <w:rPr>
          <w:color w:val="000000" w:themeColor="text1"/>
        </w:rPr>
        <w:t xml:space="preserve">for </w:t>
      </w:r>
      <w:r w:rsidRPr="002A42C3">
        <w:rPr>
          <w:color w:val="000000" w:themeColor="text1"/>
        </w:rPr>
        <w:t>only 3.4 percent of GDP (1.4 percentage points below the median of regional peers). Case studies from other countries suggest that a rise in</w:t>
      </w:r>
      <w:r w:rsidR="00E52626">
        <w:rPr>
          <w:color w:val="000000" w:themeColor="text1"/>
        </w:rPr>
        <w:t xml:space="preserve"> the</w:t>
      </w:r>
      <w:r w:rsidRPr="002A42C3">
        <w:rPr>
          <w:color w:val="000000" w:themeColor="text1"/>
        </w:rPr>
        <w:t xml:space="preserve"> statutory VAT rate may not yield extra revenue gains if the administration does not undertake reforms in addressing noncompliance (</w:t>
      </w:r>
      <w:r w:rsidR="00A6534F">
        <w:rPr>
          <w:color w:val="000000" w:themeColor="text1"/>
        </w:rPr>
        <w:t>A</w:t>
      </w:r>
      <w:r w:rsidR="00E52626">
        <w:rPr>
          <w:color w:val="000000" w:themeColor="text1"/>
        </w:rPr>
        <w:t>ppendix</w:t>
      </w:r>
      <w:r w:rsidR="00A6534F">
        <w:rPr>
          <w:color w:val="000000" w:themeColor="text1"/>
        </w:rPr>
        <w:t xml:space="preserve"> 5</w:t>
      </w:r>
      <w:r w:rsidRPr="002A42C3">
        <w:rPr>
          <w:color w:val="000000" w:themeColor="text1"/>
        </w:rPr>
        <w:t>).</w:t>
      </w:r>
    </w:p>
    <w:tbl>
      <w:tblPr>
        <w:tblStyle w:val="TableGrid1"/>
        <w:tblW w:w="9715" w:type="dxa"/>
        <w:tblLayout w:type="fixed"/>
        <w:tblLook w:val="04A0" w:firstRow="1" w:lastRow="0" w:firstColumn="1" w:lastColumn="0" w:noHBand="0" w:noVBand="1"/>
      </w:tblPr>
      <w:tblGrid>
        <w:gridCol w:w="4860"/>
        <w:gridCol w:w="4855"/>
      </w:tblGrid>
      <w:tr w:rsidR="00B10EEC" w:rsidRPr="00B10EEC" w14:paraId="7B4AC18E" w14:textId="77777777" w:rsidTr="0008418F">
        <w:tc>
          <w:tcPr>
            <w:tcW w:w="4860" w:type="dxa"/>
          </w:tcPr>
          <w:p w14:paraId="57A33E41" w14:textId="5EE862A7" w:rsidR="00B10EEC" w:rsidRPr="00B10EEC" w:rsidRDefault="00B10EEC" w:rsidP="0008418F">
            <w:pPr>
              <w:rPr>
                <w:rFonts w:asciiTheme="minorHAnsi" w:eastAsia="Times New Roman" w:hAnsiTheme="minorHAnsi" w:cstheme="minorHAnsi"/>
                <w:b/>
                <w:color w:val="0C4DA2"/>
              </w:rPr>
            </w:pPr>
            <w:bookmarkStart w:id="41" w:name="_Toc177593061"/>
            <w:r w:rsidRPr="00B10EEC">
              <w:rPr>
                <w:rFonts w:eastAsia="Times New Roman" w:cstheme="minorHAnsi"/>
                <w:b/>
                <w:noProof/>
                <w:color w:val="0C4DA2"/>
              </w:rPr>
              <mc:AlternateContent>
                <mc:Choice Requires="wps">
                  <w:drawing>
                    <wp:anchor distT="0" distB="0" distL="114300" distR="114300" simplePos="0" relativeHeight="251658241" behindDoc="0" locked="0" layoutInCell="1" allowOverlap="1" wp14:anchorId="537C19CA" wp14:editId="5AF62EE7">
                      <wp:simplePos x="0" y="0"/>
                      <wp:positionH relativeFrom="column">
                        <wp:posOffset>1837690</wp:posOffset>
                      </wp:positionH>
                      <wp:positionV relativeFrom="paragraph">
                        <wp:posOffset>-19365264</wp:posOffset>
                      </wp:positionV>
                      <wp:extent cx="584200" cy="247650"/>
                      <wp:effectExtent l="0" t="0" r="0" b="0"/>
                      <wp:wrapNone/>
                      <wp:docPr id="5" name="Text Box 5"/>
                      <wp:cNvGraphicFramePr/>
                      <a:graphic xmlns:a="http://schemas.openxmlformats.org/drawingml/2006/main">
                        <a:graphicData uri="http://schemas.microsoft.com/office/word/2010/wordprocessingShape">
                          <wps:wsp>
                            <wps:cNvSpPr txBox="1"/>
                            <wps:spPr>
                              <a:xfrm>
                                <a:off x="0" y="0"/>
                                <a:ext cx="584200" cy="247650"/>
                              </a:xfrm>
                              <a:prstGeom prst="rect">
                                <a:avLst/>
                              </a:prstGeom>
                              <a:noFill/>
                              <a:ln w="6350">
                                <a:noFill/>
                              </a:ln>
                            </wps:spPr>
                            <wps:txbx>
                              <w:txbxContent>
                                <w:p w14:paraId="75CF61B1" w14:textId="77777777" w:rsidR="00B10EEC" w:rsidRPr="009333B6" w:rsidRDefault="00B10EEC" w:rsidP="00B10EEC">
                                  <w:pPr>
                                    <w:rPr>
                                      <w:rFonts w:ascii="Arial" w:hAnsi="Arial" w:cs="Arial"/>
                                      <w:sz w:val="16"/>
                                      <w:szCs w:val="16"/>
                                    </w:rPr>
                                  </w:pPr>
                                  <w:r>
                                    <w:rPr>
                                      <w:rFonts w:ascii="Arial" w:hAnsi="Arial" w:cs="Arial"/>
                                      <w:sz w:val="16"/>
                                      <w:szCs w:val="16"/>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C19CA" id="Text Box 5" o:spid="_x0000_s1029" type="#_x0000_t202" style="position:absolute;margin-left:144.7pt;margin-top:-1524.8pt;width:46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" filled="f" stroked="f" strokeweight=".5pt">
                      <v:textbox>
                        <w:txbxContent>
                          <w:p w14:paraId="75CF61B1" w14:textId="77777777" w:rsidR="00B10EEC" w:rsidRPr="009333B6" w:rsidRDefault="00B10EEC" w:rsidP="00B10EEC">
                            <w:pPr>
                              <w:rPr>
                                <w:rFonts w:ascii="Arial" w:hAnsi="Arial" w:cs="Arial"/>
                                <w:sz w:val="16"/>
                                <w:szCs w:val="16"/>
                              </w:rPr>
                            </w:pPr>
                            <w:r>
                              <w:rPr>
                                <w:rFonts w:ascii="Arial" w:hAnsi="Arial" w:cs="Arial"/>
                                <w:sz w:val="16"/>
                                <w:szCs w:val="16"/>
                              </w:rPr>
                              <w:t>Baseline</w:t>
                            </w:r>
                          </w:p>
                        </w:txbxContent>
                      </v:textbox>
                    </v:shape>
                  </w:pict>
                </mc:Fallback>
              </mc:AlternateContent>
            </w:r>
            <w:r w:rsidRPr="00B10EEC">
              <w:rPr>
                <w:rFonts w:asciiTheme="minorHAnsi" w:eastAsia="Times New Roman" w:hAnsiTheme="minorHAnsi" w:cstheme="minorHAnsi"/>
                <w:b/>
                <w:color w:val="0C4DA2"/>
              </w:rPr>
              <w:t xml:space="preserve">Figure </w:t>
            </w:r>
            <w:r w:rsidR="005E2DB4">
              <w:rPr>
                <w:rFonts w:asciiTheme="minorHAnsi" w:eastAsia="Times New Roman" w:hAnsiTheme="minorHAnsi" w:cstheme="minorHAnsi"/>
                <w:b/>
                <w:color w:val="0C4DA2"/>
              </w:rPr>
              <w:t>4.</w:t>
            </w:r>
            <w:r w:rsidR="00862FC2">
              <w:rPr>
                <w:rFonts w:asciiTheme="minorHAnsi" w:eastAsia="Times New Roman" w:hAnsiTheme="minorHAnsi" w:cstheme="minorHAnsi"/>
                <w:b/>
                <w:color w:val="0C4DA2"/>
              </w:rPr>
              <w:t>2</w:t>
            </w:r>
            <w:r w:rsidRPr="00B10EEC">
              <w:rPr>
                <w:rFonts w:asciiTheme="minorHAnsi" w:eastAsia="Times New Roman" w:hAnsiTheme="minorHAnsi" w:cstheme="minorHAnsi"/>
                <w:b/>
                <w:color w:val="0C4DA2"/>
              </w:rPr>
              <w:t xml:space="preserve">: VAT revenue of </w:t>
            </w:r>
            <w:r w:rsidR="004649BB">
              <w:rPr>
                <w:rFonts w:asciiTheme="minorHAnsi" w:eastAsia="Times New Roman" w:hAnsiTheme="minorHAnsi" w:cstheme="minorHAnsi"/>
                <w:b/>
                <w:color w:val="0C4DA2"/>
              </w:rPr>
              <w:t>U</w:t>
            </w:r>
            <w:r w:rsidRPr="00B10EEC">
              <w:rPr>
                <w:rFonts w:asciiTheme="minorHAnsi" w:eastAsia="Times New Roman" w:hAnsiTheme="minorHAnsi" w:cstheme="minorHAnsi"/>
                <w:b/>
                <w:color w:val="0C4DA2"/>
              </w:rPr>
              <w:t>MICs</w:t>
            </w:r>
            <w:bookmarkEnd w:id="41"/>
          </w:p>
          <w:p w14:paraId="2C983030" w14:textId="1A2A6733" w:rsidR="00B10EEC" w:rsidRPr="00B10EEC" w:rsidRDefault="00B10EEC" w:rsidP="00B10EEC">
            <w:pPr>
              <w:keepLines/>
              <w:rPr>
                <w:rFonts w:asciiTheme="minorHAnsi" w:hAnsiTheme="minorHAnsi" w:cstheme="minorHAnsi"/>
                <w:i/>
                <w:color w:val="FF0000"/>
                <w:sz w:val="18"/>
                <w:szCs w:val="18"/>
              </w:rPr>
            </w:pPr>
            <w:r w:rsidRPr="00B10EEC">
              <w:rPr>
                <w:rFonts w:asciiTheme="minorHAnsi" w:hAnsiTheme="minorHAnsi" w:cstheme="minorHAnsi"/>
                <w:i/>
                <w:sz w:val="18"/>
                <w:szCs w:val="18"/>
              </w:rPr>
              <w:t xml:space="preserve">(VAT revenue in % </w:t>
            </w:r>
            <w:r w:rsidR="00E52626">
              <w:rPr>
                <w:rFonts w:asciiTheme="minorHAnsi" w:hAnsiTheme="minorHAnsi" w:cstheme="minorHAnsi"/>
                <w:i/>
                <w:sz w:val="18"/>
                <w:szCs w:val="18"/>
              </w:rPr>
              <w:t xml:space="preserve">of </w:t>
            </w:r>
            <w:r w:rsidRPr="00B10EEC">
              <w:rPr>
                <w:rFonts w:asciiTheme="minorHAnsi" w:hAnsiTheme="minorHAnsi" w:cstheme="minorHAnsi"/>
                <w:i/>
                <w:sz w:val="18"/>
                <w:szCs w:val="18"/>
              </w:rPr>
              <w:t>GDP)</w:t>
            </w:r>
          </w:p>
        </w:tc>
        <w:tc>
          <w:tcPr>
            <w:tcW w:w="4855" w:type="dxa"/>
          </w:tcPr>
          <w:p w14:paraId="657D5C7B" w14:textId="26BA43C8" w:rsidR="00B10EEC" w:rsidRPr="00B10EEC" w:rsidRDefault="00B10EEC" w:rsidP="0008418F">
            <w:pPr>
              <w:pStyle w:val="Caption"/>
              <w:jc w:val="left"/>
              <w:rPr>
                <w:rFonts w:asciiTheme="minorHAnsi" w:hAnsiTheme="minorHAnsi" w:cstheme="minorHAnsi"/>
              </w:rPr>
            </w:pPr>
            <w:r w:rsidRPr="00B10EEC">
              <w:rPr>
                <w:rFonts w:asciiTheme="minorHAnsi" w:hAnsiTheme="minorHAnsi" w:cstheme="minorHAnsi"/>
              </w:rPr>
              <w:t xml:space="preserve">Figure </w:t>
            </w:r>
            <w:r w:rsidR="005E2DB4">
              <w:rPr>
                <w:rFonts w:asciiTheme="minorHAnsi" w:hAnsiTheme="minorHAnsi" w:cstheme="minorHAnsi"/>
              </w:rPr>
              <w:t>4.</w:t>
            </w:r>
            <w:r w:rsidR="00862FC2">
              <w:rPr>
                <w:rFonts w:asciiTheme="minorHAnsi" w:hAnsiTheme="minorHAnsi" w:cstheme="minorHAnsi"/>
              </w:rPr>
              <w:t>3</w:t>
            </w:r>
            <w:r w:rsidRPr="00B10EEC">
              <w:rPr>
                <w:rFonts w:asciiTheme="minorHAnsi" w:hAnsiTheme="minorHAnsi" w:cstheme="minorHAnsi"/>
              </w:rPr>
              <w:t>: C-efficiency and VAT revenue to GDP ratio</w:t>
            </w:r>
          </w:p>
          <w:p w14:paraId="1551B99F" w14:textId="77777777" w:rsidR="00B10EEC" w:rsidRPr="00B10EEC" w:rsidRDefault="00B10EEC" w:rsidP="00B10EEC">
            <w:pPr>
              <w:keepNext/>
              <w:ind w:right="144"/>
              <w:rPr>
                <w:rFonts w:asciiTheme="minorHAnsi" w:hAnsiTheme="minorHAnsi" w:cstheme="minorHAnsi"/>
                <w:i/>
                <w:sz w:val="18"/>
                <w:szCs w:val="18"/>
              </w:rPr>
            </w:pPr>
            <w:r w:rsidRPr="00B10EEC">
              <w:rPr>
                <w:rFonts w:asciiTheme="minorHAnsi" w:hAnsiTheme="minorHAnsi" w:cstheme="minorHAnsi"/>
                <w:i/>
                <w:sz w:val="18"/>
                <w:szCs w:val="18"/>
              </w:rPr>
              <w:t>(ratio)</w:t>
            </w:r>
          </w:p>
        </w:tc>
      </w:tr>
      <w:tr w:rsidR="00B10EEC" w:rsidRPr="00B10EEC" w14:paraId="0E26AF23" w14:textId="77777777" w:rsidTr="0008418F">
        <w:trPr>
          <w:trHeight w:val="3113"/>
        </w:trPr>
        <w:tc>
          <w:tcPr>
            <w:tcW w:w="4860" w:type="dxa"/>
          </w:tcPr>
          <w:p w14:paraId="7DF058A5" w14:textId="4913073C" w:rsidR="00B10EEC" w:rsidRPr="00B10EEC" w:rsidRDefault="00694F6F" w:rsidP="004649BB">
            <w:pPr>
              <w:keepLines/>
              <w:jc w:val="both"/>
              <w:rPr>
                <w:rFonts w:cstheme="minorHAnsi"/>
                <w:b/>
                <w:color w:val="800000"/>
                <w:sz w:val="16"/>
                <w:szCs w:val="16"/>
              </w:rPr>
            </w:pPr>
            <w:r>
              <w:rPr>
                <w:noProof/>
              </w:rPr>
              <w:drawing>
                <wp:inline distT="0" distB="0" distL="0" distR="0" wp14:anchorId="7A09700B" wp14:editId="2F576D97">
                  <wp:extent cx="2948940" cy="1896110"/>
                  <wp:effectExtent l="0" t="0" r="3810" b="0"/>
                  <wp:docPr id="16" name="Chart 16">
                    <a:extLst xmlns:a="http://schemas.openxmlformats.org/drawingml/2006/main">
                      <a:ext uri="{FF2B5EF4-FFF2-40B4-BE49-F238E27FC236}">
                        <a16:creationId xmlns:a16="http://schemas.microsoft.com/office/drawing/2014/main" id="{657B112D-2908-4EAA-A8A1-B227704E87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c>
          <w:tcPr>
            <w:tcW w:w="4855" w:type="dxa"/>
          </w:tcPr>
          <w:p w14:paraId="0885C016" w14:textId="09613DC7" w:rsidR="00B10EEC" w:rsidRPr="00B10EEC" w:rsidRDefault="00736932" w:rsidP="00B10EEC">
            <w:pPr>
              <w:keepLines/>
              <w:jc w:val="both"/>
              <w:rPr>
                <w:rFonts w:cstheme="minorHAnsi"/>
                <w:b/>
                <w:color w:val="808080" w:themeColor="background1" w:themeShade="80"/>
                <w:sz w:val="16"/>
                <w:szCs w:val="16"/>
              </w:rPr>
            </w:pPr>
            <w:r>
              <w:rPr>
                <w:noProof/>
              </w:rPr>
              <w:drawing>
                <wp:inline distT="0" distB="0" distL="0" distR="0" wp14:anchorId="0A11B8F4" wp14:editId="1CD0DEF3">
                  <wp:extent cx="2847975" cy="1962150"/>
                  <wp:effectExtent l="0" t="0" r="0" b="0"/>
                  <wp:docPr id="1957333427" name="Chart 1">
                    <a:extLst xmlns:a="http://schemas.openxmlformats.org/drawingml/2006/main">
                      <a:ext uri="{FF2B5EF4-FFF2-40B4-BE49-F238E27FC236}">
                        <a16:creationId xmlns:a16="http://schemas.microsoft.com/office/drawing/2014/main" id="{3DBE63CA-5D67-EC0F-06BB-A92798BBFE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B10EEC" w:rsidRPr="00B10EEC" w14:paraId="03706CD2" w14:textId="77777777" w:rsidTr="0008418F">
        <w:trPr>
          <w:trHeight w:val="233"/>
        </w:trPr>
        <w:tc>
          <w:tcPr>
            <w:tcW w:w="4860" w:type="dxa"/>
          </w:tcPr>
          <w:p w14:paraId="7D198C75" w14:textId="71A30209" w:rsidR="00B10EEC" w:rsidRPr="0008418F" w:rsidRDefault="00B10EEC" w:rsidP="00B10EEC">
            <w:pPr>
              <w:keepNext/>
              <w:ind w:right="144"/>
              <w:rPr>
                <w:rFonts w:asciiTheme="minorHAnsi" w:hAnsiTheme="minorHAnsi" w:cstheme="minorHAnsi"/>
                <w:bCs/>
                <w:color w:val="000000" w:themeColor="text1"/>
                <w:sz w:val="18"/>
                <w:szCs w:val="18"/>
              </w:rPr>
            </w:pPr>
            <w:r w:rsidRPr="0008418F">
              <w:rPr>
                <w:rFonts w:cstheme="minorHAnsi"/>
                <w:bCs/>
                <w:i/>
                <w:iCs/>
                <w:color w:val="000000" w:themeColor="text1"/>
                <w:sz w:val="18"/>
                <w:szCs w:val="18"/>
              </w:rPr>
              <w:lastRenderedPageBreak/>
              <w:t>Source</w:t>
            </w:r>
            <w:r w:rsidRPr="0008418F">
              <w:rPr>
                <w:rFonts w:cstheme="minorHAnsi"/>
                <w:bCs/>
                <w:color w:val="000000" w:themeColor="text1"/>
                <w:sz w:val="18"/>
                <w:szCs w:val="18"/>
              </w:rPr>
              <w:t xml:space="preserve">: World Bank staff calculations using IMF </w:t>
            </w:r>
            <w:proofErr w:type="spellStart"/>
            <w:r w:rsidRPr="0008418F">
              <w:rPr>
                <w:rFonts w:cstheme="minorHAnsi"/>
                <w:bCs/>
                <w:color w:val="000000" w:themeColor="text1"/>
                <w:sz w:val="18"/>
                <w:szCs w:val="18"/>
              </w:rPr>
              <w:t>WoRLD</w:t>
            </w:r>
            <w:proofErr w:type="spellEnd"/>
            <w:r w:rsidRPr="0008418F">
              <w:rPr>
                <w:rFonts w:cstheme="minorHAnsi"/>
                <w:bCs/>
                <w:color w:val="000000" w:themeColor="text1"/>
                <w:sz w:val="18"/>
                <w:szCs w:val="18"/>
              </w:rPr>
              <w:t xml:space="preserve"> dataset</w:t>
            </w:r>
            <w:r w:rsidR="00E03431" w:rsidRPr="0008418F">
              <w:rPr>
                <w:rFonts w:cstheme="minorHAnsi"/>
                <w:bCs/>
                <w:color w:val="000000" w:themeColor="text1"/>
                <w:sz w:val="18"/>
                <w:szCs w:val="18"/>
              </w:rPr>
              <w:t>.</w:t>
            </w:r>
          </w:p>
        </w:tc>
        <w:tc>
          <w:tcPr>
            <w:tcW w:w="4855" w:type="dxa"/>
          </w:tcPr>
          <w:p w14:paraId="582E4DED" w14:textId="79B40661" w:rsidR="00B10EEC" w:rsidRPr="0008418F" w:rsidRDefault="00B10EEC" w:rsidP="006127BC">
            <w:pPr>
              <w:keepNext/>
              <w:ind w:right="144"/>
              <w:jc w:val="both"/>
              <w:rPr>
                <w:rFonts w:asciiTheme="minorHAnsi" w:hAnsiTheme="minorHAnsi" w:cstheme="minorHAnsi"/>
                <w:bCs/>
                <w:color w:val="000000" w:themeColor="text1"/>
                <w:sz w:val="18"/>
                <w:szCs w:val="18"/>
              </w:rPr>
            </w:pPr>
            <w:r w:rsidRPr="0008418F">
              <w:rPr>
                <w:rFonts w:cstheme="minorHAnsi"/>
                <w:bCs/>
                <w:i/>
                <w:iCs/>
                <w:color w:val="000000" w:themeColor="text1"/>
                <w:sz w:val="18"/>
                <w:szCs w:val="18"/>
              </w:rPr>
              <w:t>Source</w:t>
            </w:r>
            <w:r w:rsidRPr="0008418F">
              <w:rPr>
                <w:rFonts w:cstheme="minorHAnsi"/>
                <w:bCs/>
                <w:color w:val="000000" w:themeColor="text1"/>
                <w:sz w:val="18"/>
                <w:szCs w:val="18"/>
              </w:rPr>
              <w:t>: World Bank staff calculation</w:t>
            </w:r>
            <w:r w:rsidR="00E03431" w:rsidRPr="0008418F">
              <w:rPr>
                <w:rFonts w:cstheme="minorHAnsi"/>
                <w:bCs/>
                <w:color w:val="000000" w:themeColor="text1"/>
                <w:sz w:val="18"/>
                <w:szCs w:val="18"/>
              </w:rPr>
              <w:t>.</w:t>
            </w:r>
          </w:p>
        </w:tc>
      </w:tr>
    </w:tbl>
    <w:p w14:paraId="6032F017" w14:textId="70A8D9A4" w:rsidR="007F702D" w:rsidRPr="00B10EEC" w:rsidRDefault="007F702D" w:rsidP="007F702D">
      <w:pPr>
        <w:pStyle w:val="Heading2"/>
        <w:rPr>
          <w:rFonts w:asciiTheme="minorHAnsi" w:hAnsiTheme="minorHAnsi" w:cstheme="minorHAnsi"/>
          <w:color w:val="4472C4" w:themeColor="accent1"/>
          <w:sz w:val="24"/>
          <w:szCs w:val="24"/>
        </w:rPr>
      </w:pPr>
      <w:bookmarkStart w:id="42" w:name="_Toc177819048"/>
      <w:r>
        <w:rPr>
          <w:rFonts w:asciiTheme="minorHAnsi" w:hAnsiTheme="minorHAnsi" w:cstheme="minorHAnsi"/>
          <w:color w:val="4472C4" w:themeColor="accent1"/>
          <w:sz w:val="24"/>
          <w:szCs w:val="24"/>
        </w:rPr>
        <w:t>Who pays and who does not</w:t>
      </w:r>
      <w:bookmarkEnd w:id="42"/>
    </w:p>
    <w:p w14:paraId="70D0D9FE" w14:textId="7130B473" w:rsidR="00794691" w:rsidRPr="00794691" w:rsidRDefault="00AD3F46" w:rsidP="008746FC">
      <w:pPr>
        <w:pStyle w:val="ListParagraph"/>
        <w:numPr>
          <w:ilvl w:val="0"/>
          <w:numId w:val="12"/>
        </w:numPr>
        <w:spacing w:before="120"/>
        <w:ind w:left="0" w:firstLine="0"/>
        <w:contextualSpacing w:val="0"/>
        <w:jc w:val="both"/>
        <w:rPr>
          <w:color w:val="000000" w:themeColor="text1"/>
        </w:rPr>
      </w:pPr>
      <w:r w:rsidRPr="008F36D0">
        <w:rPr>
          <w:b/>
          <w:bCs/>
          <w:color w:val="000000" w:themeColor="text1"/>
        </w:rPr>
        <w:t>It is common practice to exclude small businesses from the VAT regime through the application of a registration threshold</w:t>
      </w:r>
      <w:r w:rsidR="00E52626" w:rsidRPr="00E52626">
        <w:rPr>
          <w:rFonts w:cstheme="minorHAnsi"/>
          <w:b/>
          <w:bCs/>
          <w:color w:val="000000" w:themeColor="text1"/>
        </w:rPr>
        <w:t>–</w:t>
      </w:r>
      <w:r w:rsidRPr="0008418F">
        <w:rPr>
          <w:b/>
          <w:bCs/>
          <w:color w:val="000000" w:themeColor="text1"/>
        </w:rPr>
        <w:t>especially in countries with large informality and low tax administration capacity.</w:t>
      </w:r>
      <w:r>
        <w:rPr>
          <w:color w:val="000000" w:themeColor="text1"/>
        </w:rPr>
        <w:t xml:space="preserve"> </w:t>
      </w:r>
      <w:r w:rsidRPr="00E772ED">
        <w:rPr>
          <w:color w:val="000000" w:themeColor="text1"/>
        </w:rPr>
        <w:t xml:space="preserve">The use of </w:t>
      </w:r>
      <w:r w:rsidR="00D2045D">
        <w:rPr>
          <w:color w:val="000000" w:themeColor="text1"/>
        </w:rPr>
        <w:t xml:space="preserve">a </w:t>
      </w:r>
      <w:r w:rsidRPr="00E772ED">
        <w:rPr>
          <w:color w:val="000000" w:themeColor="text1"/>
        </w:rPr>
        <w:t xml:space="preserve">VAT registration threshold </w:t>
      </w:r>
      <w:r w:rsidR="00D2045D">
        <w:rPr>
          <w:color w:val="000000" w:themeColor="text1"/>
        </w:rPr>
        <w:t xml:space="preserve">involves </w:t>
      </w:r>
      <w:r w:rsidRPr="00E772ED">
        <w:rPr>
          <w:color w:val="000000" w:themeColor="text1"/>
        </w:rPr>
        <w:t xml:space="preserve">a trade-off between revenue </w:t>
      </w:r>
      <w:r w:rsidR="0046497A">
        <w:rPr>
          <w:color w:val="000000" w:themeColor="text1"/>
        </w:rPr>
        <w:t xml:space="preserve">generation </w:t>
      </w:r>
      <w:r w:rsidRPr="00E772ED">
        <w:rPr>
          <w:color w:val="000000" w:themeColor="text1"/>
        </w:rPr>
        <w:t>and collection burden.</w:t>
      </w:r>
      <w:r>
        <w:rPr>
          <w:color w:val="000000" w:themeColor="text1"/>
        </w:rPr>
        <w:t xml:space="preserve"> </w:t>
      </w:r>
      <w:r w:rsidR="00072B92">
        <w:rPr>
          <w:color w:val="000000" w:themeColor="text1"/>
        </w:rPr>
        <w:t>If</w:t>
      </w:r>
      <w:r w:rsidR="000C461F">
        <w:rPr>
          <w:color w:val="000000" w:themeColor="text1"/>
        </w:rPr>
        <w:t xml:space="preserve"> the threshold is too low, tax administration is stretched and </w:t>
      </w:r>
      <w:r w:rsidR="008F3126">
        <w:rPr>
          <w:color w:val="000000" w:themeColor="text1"/>
        </w:rPr>
        <w:t>unable to monitor registered firms</w:t>
      </w:r>
      <w:r w:rsidR="00C520FB">
        <w:rPr>
          <w:color w:val="000000" w:themeColor="text1"/>
        </w:rPr>
        <w:t xml:space="preserve">. </w:t>
      </w:r>
      <w:r w:rsidR="009A68E3">
        <w:rPr>
          <w:color w:val="000000" w:themeColor="text1"/>
        </w:rPr>
        <w:t>For example, t</w:t>
      </w:r>
      <w:r w:rsidR="00C520FB">
        <w:rPr>
          <w:color w:val="000000" w:themeColor="text1"/>
        </w:rPr>
        <w:t xml:space="preserve">his will </w:t>
      </w:r>
      <w:r w:rsidR="00DC4C48">
        <w:rPr>
          <w:color w:val="000000" w:themeColor="text1"/>
        </w:rPr>
        <w:t xml:space="preserve">adversely </w:t>
      </w:r>
      <w:r w:rsidR="00C520FB">
        <w:rPr>
          <w:color w:val="000000" w:themeColor="text1"/>
        </w:rPr>
        <w:t xml:space="preserve">affect the </w:t>
      </w:r>
      <w:r w:rsidR="0078734B">
        <w:rPr>
          <w:color w:val="000000" w:themeColor="text1"/>
        </w:rPr>
        <w:t>performance of</w:t>
      </w:r>
      <w:r w:rsidR="00C520FB">
        <w:rPr>
          <w:color w:val="000000" w:themeColor="text1"/>
        </w:rPr>
        <w:t xml:space="preserve"> </w:t>
      </w:r>
      <w:r w:rsidR="006B1B69">
        <w:rPr>
          <w:color w:val="000000" w:themeColor="text1"/>
        </w:rPr>
        <w:t xml:space="preserve">VAT </w:t>
      </w:r>
      <w:r w:rsidR="009A68E3">
        <w:rPr>
          <w:color w:val="000000" w:themeColor="text1"/>
        </w:rPr>
        <w:t xml:space="preserve">refund </w:t>
      </w:r>
      <w:r w:rsidR="00044017">
        <w:rPr>
          <w:color w:val="000000" w:themeColor="text1"/>
        </w:rPr>
        <w:t>audit</w:t>
      </w:r>
      <w:r w:rsidR="00920E96">
        <w:rPr>
          <w:color w:val="000000" w:themeColor="text1"/>
        </w:rPr>
        <w:t xml:space="preserve">. </w:t>
      </w:r>
      <w:r w:rsidR="001074E3">
        <w:rPr>
          <w:color w:val="000000" w:themeColor="text1"/>
        </w:rPr>
        <w:t xml:space="preserve">On the other </w:t>
      </w:r>
      <w:r w:rsidR="003270D5">
        <w:rPr>
          <w:color w:val="000000" w:themeColor="text1"/>
        </w:rPr>
        <w:t>hand, if the registration threshold is very hig</w:t>
      </w:r>
      <w:r w:rsidR="006A54A2">
        <w:rPr>
          <w:color w:val="000000" w:themeColor="text1"/>
        </w:rPr>
        <w:t xml:space="preserve">h, </w:t>
      </w:r>
      <w:r w:rsidR="00FA63D1">
        <w:rPr>
          <w:color w:val="000000" w:themeColor="text1"/>
        </w:rPr>
        <w:t xml:space="preserve">the </w:t>
      </w:r>
      <w:r w:rsidR="0073126C">
        <w:rPr>
          <w:color w:val="000000" w:themeColor="text1"/>
        </w:rPr>
        <w:t>VAT base becomes narrower</w:t>
      </w:r>
      <w:r>
        <w:rPr>
          <w:color w:val="000000" w:themeColor="text1"/>
        </w:rPr>
        <w:t xml:space="preserve">. Another reason for excluding small businesses from the tax base is due to bookkeeping obligations. Every VAT-registered firm is required to have comprehensive </w:t>
      </w:r>
      <w:r w:rsidR="00FA63D1">
        <w:rPr>
          <w:color w:val="000000" w:themeColor="text1"/>
        </w:rPr>
        <w:t xml:space="preserve">financial </w:t>
      </w:r>
      <w:r>
        <w:rPr>
          <w:color w:val="000000" w:themeColor="text1"/>
        </w:rPr>
        <w:t>record</w:t>
      </w:r>
      <w:r w:rsidR="00FA63D1">
        <w:rPr>
          <w:color w:val="000000" w:themeColor="text1"/>
        </w:rPr>
        <w:t xml:space="preserve">s </w:t>
      </w:r>
      <w:r>
        <w:rPr>
          <w:color w:val="000000" w:themeColor="text1"/>
        </w:rPr>
        <w:t xml:space="preserve">as part of the invoice-credit method. The costs of keeping records can </w:t>
      </w:r>
      <w:r w:rsidR="00FA63D1">
        <w:rPr>
          <w:color w:val="000000" w:themeColor="text1"/>
        </w:rPr>
        <w:t xml:space="preserve">impose </w:t>
      </w:r>
      <w:r>
        <w:rPr>
          <w:color w:val="000000" w:themeColor="text1"/>
        </w:rPr>
        <w:t xml:space="preserve">a significant burden </w:t>
      </w:r>
      <w:r w:rsidR="00857F32">
        <w:rPr>
          <w:color w:val="000000" w:themeColor="text1"/>
        </w:rPr>
        <w:t>on</w:t>
      </w:r>
      <w:r>
        <w:rPr>
          <w:color w:val="000000" w:themeColor="text1"/>
        </w:rPr>
        <w:t xml:space="preserve"> small businesses. </w:t>
      </w:r>
    </w:p>
    <w:p w14:paraId="6232A7FE" w14:textId="240ADCED" w:rsidR="005401F4" w:rsidRPr="00BE74E2" w:rsidRDefault="00AD3F46" w:rsidP="0001635A">
      <w:pPr>
        <w:pStyle w:val="ListParagraph"/>
        <w:numPr>
          <w:ilvl w:val="0"/>
          <w:numId w:val="12"/>
        </w:numPr>
        <w:spacing w:before="120" w:after="240"/>
        <w:ind w:left="0" w:firstLine="0"/>
        <w:contextualSpacing w:val="0"/>
        <w:jc w:val="both"/>
        <w:rPr>
          <w:color w:val="000000" w:themeColor="text1"/>
        </w:rPr>
      </w:pPr>
      <w:r w:rsidRPr="00CA60A0">
        <w:rPr>
          <w:rFonts w:cstheme="minorHAnsi"/>
          <w:b/>
          <w:color w:val="000000" w:themeColor="text1"/>
        </w:rPr>
        <w:t>Indonesia applies a VAT registration threshold</w:t>
      </w:r>
      <w:r w:rsidR="00102DA7" w:rsidRPr="00CA60A0">
        <w:rPr>
          <w:rFonts w:cstheme="minorHAnsi"/>
          <w:b/>
          <w:color w:val="000000" w:themeColor="text1"/>
        </w:rPr>
        <w:t xml:space="preserve"> that</w:t>
      </w:r>
      <w:r w:rsidR="00A9520F" w:rsidRPr="00CA60A0">
        <w:rPr>
          <w:rFonts w:cstheme="minorHAnsi"/>
          <w:b/>
          <w:color w:val="000000" w:themeColor="text1"/>
        </w:rPr>
        <w:t xml:space="preserve"> has gone through several changes.</w:t>
      </w:r>
      <w:r w:rsidRPr="00CA60A0">
        <w:rPr>
          <w:rFonts w:cstheme="minorHAnsi"/>
          <w:b/>
          <w:color w:val="000000" w:themeColor="text1"/>
        </w:rPr>
        <w:t xml:space="preserve"> </w:t>
      </w:r>
      <w:r w:rsidR="00857F32">
        <w:rPr>
          <w:rFonts w:cstheme="minorHAnsi"/>
          <w:color w:val="000000" w:themeColor="text1"/>
        </w:rPr>
        <w:t>It is mandatory for f</w:t>
      </w:r>
      <w:r w:rsidRPr="00CA60A0">
        <w:rPr>
          <w:rFonts w:cstheme="minorHAnsi"/>
          <w:color w:val="000000" w:themeColor="text1"/>
        </w:rPr>
        <w:t>irms or vendors in Indonesia to register into the VAT system if their gross turnover in one year exceed</w:t>
      </w:r>
      <w:r w:rsidR="00102DA7" w:rsidRPr="00CA60A0">
        <w:rPr>
          <w:rFonts w:cstheme="minorHAnsi"/>
          <w:color w:val="000000" w:themeColor="text1"/>
        </w:rPr>
        <w:t>s</w:t>
      </w:r>
      <w:r w:rsidRPr="00CA60A0">
        <w:rPr>
          <w:rFonts w:cstheme="minorHAnsi"/>
          <w:color w:val="000000" w:themeColor="text1"/>
        </w:rPr>
        <w:t xml:space="preserve"> the threshold. </w:t>
      </w:r>
      <w:r w:rsidR="00A9520F" w:rsidRPr="00CA60A0">
        <w:rPr>
          <w:rFonts w:cstheme="minorHAnsi"/>
          <w:color w:val="000000" w:themeColor="text1"/>
        </w:rPr>
        <w:t>R</w:t>
      </w:r>
      <w:r w:rsidRPr="00CA60A0">
        <w:rPr>
          <w:rFonts w:cstheme="minorHAnsi"/>
          <w:color w:val="000000" w:themeColor="text1"/>
        </w:rPr>
        <w:t>egistration for small firms with gross turnover below the threshold is voluntary. There is no widely accepted formula for determining an optimal VAT registration threshold. Most countries, including Indonesia,</w:t>
      </w:r>
      <w:r w:rsidR="00857F32">
        <w:rPr>
          <w:rFonts w:cstheme="minorHAnsi"/>
          <w:color w:val="000000" w:themeColor="text1"/>
        </w:rPr>
        <w:t xml:space="preserve"> such</w:t>
      </w:r>
      <w:r w:rsidR="00957218" w:rsidRPr="00CA60A0">
        <w:rPr>
          <w:rFonts w:cstheme="minorHAnsi"/>
          <w:color w:val="000000" w:themeColor="text1"/>
        </w:rPr>
        <w:t xml:space="preserve"> factors</w:t>
      </w:r>
      <w:r w:rsidR="00CA60A0" w:rsidRPr="00CA60A0">
        <w:rPr>
          <w:rFonts w:cstheme="minorHAnsi"/>
          <w:color w:val="000000" w:themeColor="text1"/>
        </w:rPr>
        <w:t xml:space="preserve"> as </w:t>
      </w:r>
      <w:r w:rsidR="00A912B3">
        <w:rPr>
          <w:rFonts w:cstheme="minorHAnsi"/>
          <w:color w:val="000000" w:themeColor="text1"/>
        </w:rPr>
        <w:t xml:space="preserve">the informality level, </w:t>
      </w:r>
      <w:r w:rsidR="00957218" w:rsidRPr="00CA60A0">
        <w:rPr>
          <w:rStyle w:val="cf01"/>
          <w:rFonts w:asciiTheme="minorHAnsi" w:hAnsiTheme="minorHAnsi" w:cstheme="minorHAnsi"/>
          <w:sz w:val="22"/>
          <w:szCs w:val="22"/>
        </w:rPr>
        <w:t xml:space="preserve">the capacity of the revenue administration, </w:t>
      </w:r>
      <w:r w:rsidR="00CA60A0" w:rsidRPr="00CA60A0">
        <w:rPr>
          <w:rStyle w:val="cf01"/>
          <w:rFonts w:asciiTheme="minorHAnsi" w:hAnsiTheme="minorHAnsi" w:cstheme="minorHAnsi"/>
          <w:sz w:val="22"/>
          <w:szCs w:val="22"/>
        </w:rPr>
        <w:t xml:space="preserve">and </w:t>
      </w:r>
      <w:r w:rsidR="00957218" w:rsidRPr="00CA60A0">
        <w:rPr>
          <w:rStyle w:val="cf01"/>
          <w:rFonts w:asciiTheme="minorHAnsi" w:hAnsiTheme="minorHAnsi" w:cstheme="minorHAnsi"/>
          <w:sz w:val="22"/>
          <w:szCs w:val="22"/>
        </w:rPr>
        <w:t xml:space="preserve">the extent to which they assess </w:t>
      </w:r>
      <w:r w:rsidR="00957218" w:rsidRPr="00A912B3">
        <w:rPr>
          <w:rStyle w:val="cf01"/>
          <w:rFonts w:asciiTheme="minorHAnsi" w:hAnsiTheme="minorHAnsi" w:cstheme="minorHAnsi"/>
          <w:sz w:val="22"/>
          <w:szCs w:val="22"/>
        </w:rPr>
        <w:t>bookkeeping practices to be too-high-a-burden for their existing businesses.</w:t>
      </w:r>
      <w:r w:rsidR="00A912B3">
        <w:rPr>
          <w:rStyle w:val="cf01"/>
        </w:rPr>
        <w:t xml:space="preserve"> </w:t>
      </w:r>
      <w:r w:rsidRPr="00A912B3">
        <w:rPr>
          <w:color w:val="000000" w:themeColor="text1"/>
        </w:rPr>
        <w:t>In the beginning, Indonesia set a very low threshold at R</w:t>
      </w:r>
      <w:r w:rsidR="0004266E">
        <w:rPr>
          <w:color w:val="000000" w:themeColor="text1"/>
        </w:rPr>
        <w:t>p</w:t>
      </w:r>
      <w:r w:rsidRPr="00A912B3">
        <w:rPr>
          <w:color w:val="000000" w:themeColor="text1"/>
        </w:rPr>
        <w:t xml:space="preserve"> 60 million for goods and services</w:t>
      </w:r>
      <w:r w:rsidR="00857F32">
        <w:rPr>
          <w:color w:val="000000" w:themeColor="text1"/>
        </w:rPr>
        <w:t xml:space="preserve"> (Table 4.2)</w:t>
      </w:r>
      <w:r w:rsidRPr="00A912B3">
        <w:rPr>
          <w:color w:val="000000" w:themeColor="text1"/>
        </w:rPr>
        <w:t xml:space="preserve">. </w:t>
      </w:r>
      <w:r w:rsidR="00857F32">
        <w:rPr>
          <w:color w:val="000000" w:themeColor="text1"/>
        </w:rPr>
        <w:t>The</w:t>
      </w:r>
      <w:r w:rsidRPr="00A912B3">
        <w:rPr>
          <w:color w:val="000000" w:themeColor="text1"/>
        </w:rPr>
        <w:t xml:space="preserve"> </w:t>
      </w:r>
      <w:proofErr w:type="gramStart"/>
      <w:r w:rsidRPr="00A912B3">
        <w:rPr>
          <w:color w:val="000000" w:themeColor="text1"/>
        </w:rPr>
        <w:t>threshold was</w:t>
      </w:r>
      <w:proofErr w:type="gramEnd"/>
      <w:r w:rsidRPr="00A912B3">
        <w:rPr>
          <w:color w:val="000000" w:themeColor="text1"/>
        </w:rPr>
        <w:t xml:space="preserve"> </w:t>
      </w:r>
      <w:r w:rsidR="00857F32">
        <w:rPr>
          <w:color w:val="000000" w:themeColor="text1"/>
        </w:rPr>
        <w:t>doubled in 1992</w:t>
      </w:r>
      <w:r w:rsidRPr="00A912B3">
        <w:rPr>
          <w:color w:val="000000" w:themeColor="text1"/>
        </w:rPr>
        <w:t xml:space="preserve"> and differentiated between goods and services. The single threshold was re-applied in 2010 at R</w:t>
      </w:r>
      <w:r w:rsidR="0004266E">
        <w:rPr>
          <w:color w:val="000000" w:themeColor="text1"/>
        </w:rPr>
        <w:t>p</w:t>
      </w:r>
      <w:r w:rsidRPr="00A912B3">
        <w:rPr>
          <w:color w:val="000000" w:themeColor="text1"/>
        </w:rPr>
        <w:t xml:space="preserve"> 600 </w:t>
      </w:r>
      <w:proofErr w:type="gramStart"/>
      <w:r w:rsidRPr="00A912B3">
        <w:rPr>
          <w:color w:val="000000" w:themeColor="text1"/>
        </w:rPr>
        <w:t>million</w:t>
      </w:r>
      <w:proofErr w:type="gramEnd"/>
      <w:r w:rsidRPr="00A912B3">
        <w:rPr>
          <w:color w:val="000000" w:themeColor="text1"/>
        </w:rPr>
        <w:t xml:space="preserve"> and</w:t>
      </w:r>
      <w:r w:rsidR="00857F32">
        <w:rPr>
          <w:color w:val="000000" w:themeColor="text1"/>
        </w:rPr>
        <w:t>,</w:t>
      </w:r>
      <w:r w:rsidRPr="00A912B3">
        <w:rPr>
          <w:color w:val="000000" w:themeColor="text1"/>
        </w:rPr>
        <w:t xml:space="preserve"> in 2014, </w:t>
      </w:r>
      <w:proofErr w:type="gramStart"/>
      <w:r w:rsidRPr="00A912B3">
        <w:rPr>
          <w:color w:val="000000" w:themeColor="text1"/>
        </w:rPr>
        <w:t>it was</w:t>
      </w:r>
      <w:proofErr w:type="gramEnd"/>
      <w:r w:rsidRPr="00A912B3">
        <w:rPr>
          <w:color w:val="000000" w:themeColor="text1"/>
        </w:rPr>
        <w:t xml:space="preserve"> increased eight-fold to the current level at R</w:t>
      </w:r>
      <w:r w:rsidR="0004266E">
        <w:rPr>
          <w:color w:val="000000" w:themeColor="text1"/>
        </w:rPr>
        <w:t>p</w:t>
      </w:r>
      <w:r w:rsidRPr="00A912B3">
        <w:rPr>
          <w:color w:val="000000" w:themeColor="text1"/>
        </w:rPr>
        <w:t xml:space="preserve"> 4.8 billion. </w:t>
      </w:r>
    </w:p>
    <w:tbl>
      <w:tblPr>
        <w:tblW w:w="5960" w:type="dxa"/>
        <w:jc w:val="center"/>
        <w:tblLook w:val="04A0" w:firstRow="1" w:lastRow="0" w:firstColumn="1" w:lastColumn="0" w:noHBand="0" w:noVBand="1"/>
      </w:tblPr>
      <w:tblGrid>
        <w:gridCol w:w="4160"/>
        <w:gridCol w:w="1800"/>
      </w:tblGrid>
      <w:tr w:rsidR="005401F4" w:rsidRPr="00A765BB" w14:paraId="18523B20" w14:textId="77777777" w:rsidTr="0008418F">
        <w:trPr>
          <w:trHeight w:val="290"/>
          <w:jc w:val="center"/>
        </w:trPr>
        <w:tc>
          <w:tcPr>
            <w:tcW w:w="5960" w:type="dxa"/>
            <w:gridSpan w:val="2"/>
            <w:tcBorders>
              <w:top w:val="nil"/>
              <w:left w:val="nil"/>
              <w:bottom w:val="single" w:sz="4" w:space="0" w:color="auto"/>
              <w:right w:val="nil"/>
            </w:tcBorders>
            <w:shd w:val="clear" w:color="auto" w:fill="auto"/>
            <w:noWrap/>
            <w:vAlign w:val="bottom"/>
            <w:hideMark/>
          </w:tcPr>
          <w:p w14:paraId="6812123A" w14:textId="064CB0F0" w:rsidR="005401F4" w:rsidRPr="00A765BB" w:rsidRDefault="005401F4" w:rsidP="0008418F">
            <w:pPr>
              <w:pStyle w:val="Caption"/>
              <w:rPr>
                <w:rFonts w:cstheme="minorHAnsi"/>
                <w:sz w:val="20"/>
              </w:rPr>
            </w:pPr>
            <w:bookmarkStart w:id="43" w:name="_Toc177576305"/>
            <w:r w:rsidRPr="00A765BB">
              <w:rPr>
                <w:rFonts w:cstheme="minorHAnsi"/>
                <w:sz w:val="20"/>
              </w:rPr>
              <w:t xml:space="preserve">Table </w:t>
            </w:r>
            <w:r w:rsidR="002747EC" w:rsidRPr="00A765BB">
              <w:rPr>
                <w:rFonts w:cstheme="minorHAnsi"/>
                <w:sz w:val="20"/>
              </w:rPr>
              <w:t>4.</w:t>
            </w:r>
            <w:r w:rsidR="009D5855" w:rsidRPr="00A765BB">
              <w:rPr>
                <w:rFonts w:cstheme="minorHAnsi"/>
                <w:sz w:val="20"/>
              </w:rPr>
              <w:t>2</w:t>
            </w:r>
            <w:r w:rsidR="002747EC" w:rsidRPr="00A765BB">
              <w:rPr>
                <w:rFonts w:cstheme="minorHAnsi"/>
                <w:sz w:val="20"/>
              </w:rPr>
              <w:t>:</w:t>
            </w:r>
            <w:r w:rsidRPr="00A765BB">
              <w:rPr>
                <w:rFonts w:cstheme="minorHAnsi"/>
                <w:sz w:val="20"/>
              </w:rPr>
              <w:t xml:space="preserve"> Policy changes in </w:t>
            </w:r>
            <w:r w:rsidR="009D5855" w:rsidRPr="00A765BB">
              <w:rPr>
                <w:rFonts w:cstheme="minorHAnsi"/>
                <w:sz w:val="20"/>
              </w:rPr>
              <w:t xml:space="preserve">the </w:t>
            </w:r>
            <w:r w:rsidRPr="00A765BB">
              <w:rPr>
                <w:rFonts w:cstheme="minorHAnsi"/>
                <w:sz w:val="20"/>
              </w:rPr>
              <w:t>VAT registration threshold</w:t>
            </w:r>
            <w:bookmarkEnd w:id="43"/>
          </w:p>
        </w:tc>
      </w:tr>
      <w:tr w:rsidR="005401F4" w:rsidRPr="005401F4" w14:paraId="2A307390" w14:textId="77777777" w:rsidTr="0008418F">
        <w:trPr>
          <w:trHeight w:val="520"/>
          <w:jc w:val="center"/>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2FE5D" w14:textId="77777777" w:rsidR="005401F4" w:rsidRPr="005401F4" w:rsidRDefault="005401F4" w:rsidP="005401F4">
            <w:pPr>
              <w:spacing w:after="0"/>
              <w:ind w:left="0" w:firstLine="0"/>
              <w:jc w:val="center"/>
              <w:rPr>
                <w:rFonts w:ascii="Calibri" w:eastAsia="Times New Roman" w:hAnsi="Calibri" w:cs="Calibri"/>
                <w:b/>
                <w:color w:val="000000"/>
                <w:sz w:val="20"/>
                <w:szCs w:val="20"/>
              </w:rPr>
            </w:pPr>
            <w:r w:rsidRPr="005401F4">
              <w:rPr>
                <w:rFonts w:ascii="Calibri" w:eastAsia="Times New Roman" w:hAnsi="Calibri" w:cs="Calibri"/>
                <w:b/>
                <w:color w:val="000000"/>
                <w:sz w:val="20"/>
                <w:szCs w:val="20"/>
              </w:rPr>
              <w:t>Annual gross turnover</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F10D" w14:textId="77777777" w:rsidR="005401F4" w:rsidRPr="005401F4" w:rsidRDefault="005401F4" w:rsidP="005401F4">
            <w:pPr>
              <w:spacing w:after="0"/>
              <w:ind w:left="0" w:firstLine="0"/>
              <w:jc w:val="center"/>
              <w:rPr>
                <w:rFonts w:ascii="Calibri" w:eastAsia="Times New Roman" w:hAnsi="Calibri" w:cs="Calibri"/>
                <w:b/>
                <w:color w:val="000000"/>
                <w:sz w:val="20"/>
                <w:szCs w:val="20"/>
              </w:rPr>
            </w:pPr>
            <w:r w:rsidRPr="005401F4">
              <w:rPr>
                <w:rFonts w:ascii="Calibri" w:eastAsia="Times New Roman" w:hAnsi="Calibri" w:cs="Calibri"/>
                <w:b/>
                <w:color w:val="000000"/>
                <w:sz w:val="20"/>
                <w:szCs w:val="20"/>
              </w:rPr>
              <w:t>Year of implementation</w:t>
            </w:r>
          </w:p>
        </w:tc>
      </w:tr>
      <w:tr w:rsidR="005401F4" w:rsidRPr="005401F4" w14:paraId="793831C5" w14:textId="77777777" w:rsidTr="0008418F">
        <w:trPr>
          <w:trHeight w:val="290"/>
          <w:jc w:val="center"/>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E2E1C" w14:textId="4FCA4690" w:rsidR="005401F4" w:rsidRPr="005401F4" w:rsidRDefault="005401F4" w:rsidP="005401F4">
            <w:pPr>
              <w:spacing w:after="0"/>
              <w:ind w:left="0" w:firstLine="0"/>
              <w:rPr>
                <w:rFonts w:ascii="Calibri" w:eastAsia="Times New Roman" w:hAnsi="Calibri" w:cs="Calibri"/>
                <w:color w:val="000000"/>
                <w:sz w:val="20"/>
                <w:szCs w:val="20"/>
              </w:rPr>
            </w:pPr>
            <w:r w:rsidRPr="005401F4">
              <w:rPr>
                <w:rFonts w:ascii="Calibri" w:eastAsia="Times New Roman" w:hAnsi="Calibri" w:cs="Calibri"/>
                <w:color w:val="000000"/>
                <w:sz w:val="20"/>
                <w:szCs w:val="20"/>
              </w:rP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60 million for </w:t>
            </w:r>
            <w:r w:rsidR="00320CA5">
              <w:rPr>
                <w:rFonts w:ascii="Calibri" w:eastAsia="Times New Roman" w:hAnsi="Calibri" w:cs="Calibri"/>
                <w:color w:val="000000"/>
                <w:sz w:val="20"/>
                <w:szCs w:val="20"/>
              </w:rPr>
              <w:t xml:space="preserve">manufactured </w:t>
            </w:r>
            <w:r w:rsidRPr="005401F4">
              <w:rPr>
                <w:rFonts w:ascii="Calibri" w:eastAsia="Times New Roman" w:hAnsi="Calibri" w:cs="Calibri"/>
                <w:color w:val="000000"/>
                <w:sz w:val="20"/>
                <w:szCs w:val="20"/>
              </w:rPr>
              <w:t>goods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BB6FF" w14:textId="77777777" w:rsidR="005401F4" w:rsidRPr="005401F4" w:rsidRDefault="005401F4" w:rsidP="0008418F">
            <w:pPr>
              <w:spacing w:after="0"/>
              <w:ind w:left="0" w:firstLine="0"/>
              <w:jc w:val="right"/>
              <w:rPr>
                <w:rFonts w:ascii="Calibri" w:eastAsia="Times New Roman" w:hAnsi="Calibri" w:cs="Calibri"/>
                <w:color w:val="000000"/>
                <w:sz w:val="20"/>
                <w:szCs w:val="20"/>
              </w:rPr>
            </w:pPr>
            <w:r w:rsidRPr="005401F4">
              <w:rPr>
                <w:rFonts w:ascii="Calibri" w:eastAsia="Times New Roman" w:hAnsi="Calibri" w:cs="Calibri"/>
                <w:color w:val="000000"/>
                <w:sz w:val="20"/>
                <w:szCs w:val="20"/>
              </w:rPr>
              <w:t>1984</w:t>
            </w:r>
          </w:p>
        </w:tc>
      </w:tr>
      <w:tr w:rsidR="005401F4" w:rsidRPr="005401F4" w14:paraId="3046FCB9" w14:textId="77777777" w:rsidTr="0008418F">
        <w:trPr>
          <w:trHeight w:val="530"/>
          <w:jc w:val="center"/>
        </w:trPr>
        <w:tc>
          <w:tcPr>
            <w:tcW w:w="4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DA4A4C" w14:textId="4BEE2D3B" w:rsidR="005401F4" w:rsidRPr="005401F4" w:rsidRDefault="005401F4" w:rsidP="005401F4">
            <w:pPr>
              <w:spacing w:after="0"/>
              <w:ind w:left="0" w:firstLine="0"/>
              <w:rPr>
                <w:rFonts w:ascii="Calibri" w:eastAsia="Times New Roman" w:hAnsi="Calibri" w:cs="Calibri"/>
                <w:color w:val="000000"/>
                <w:sz w:val="20"/>
                <w:szCs w:val="20"/>
              </w:rPr>
            </w:pPr>
            <w:r w:rsidRPr="005401F4">
              <w:rPr>
                <w:rFonts w:ascii="Calibri" w:eastAsia="Times New Roman" w:hAnsi="Calibri" w:cs="Calibri"/>
                <w:color w:val="000000"/>
                <w:sz w:val="20"/>
                <w:szCs w:val="20"/>
              </w:rP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60 million for goods,</w:t>
            </w:r>
            <w:r w:rsidRPr="005401F4">
              <w:rPr>
                <w:rFonts w:ascii="Calibri" w:eastAsia="Times New Roman" w:hAnsi="Calibri" w:cs="Calibri"/>
                <w:color w:val="000000"/>
                <w:sz w:val="20"/>
                <w:szCs w:val="20"/>
              </w:rPr>
              <w:b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30 million for services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15002" w14:textId="77777777" w:rsidR="005401F4" w:rsidRPr="005401F4" w:rsidRDefault="005401F4" w:rsidP="0008418F">
            <w:pPr>
              <w:spacing w:after="0"/>
              <w:ind w:left="0" w:firstLine="0"/>
              <w:jc w:val="right"/>
              <w:rPr>
                <w:rFonts w:ascii="Calibri" w:eastAsia="Times New Roman" w:hAnsi="Calibri" w:cs="Calibri"/>
                <w:color w:val="000000"/>
                <w:sz w:val="20"/>
                <w:szCs w:val="20"/>
              </w:rPr>
            </w:pPr>
            <w:r w:rsidRPr="005401F4">
              <w:rPr>
                <w:rFonts w:ascii="Calibri" w:eastAsia="Times New Roman" w:hAnsi="Calibri" w:cs="Calibri"/>
                <w:color w:val="000000"/>
                <w:sz w:val="20"/>
                <w:szCs w:val="20"/>
              </w:rPr>
              <w:t>1989</w:t>
            </w:r>
          </w:p>
        </w:tc>
      </w:tr>
      <w:tr w:rsidR="005401F4" w:rsidRPr="005401F4" w14:paraId="3FBB9F11" w14:textId="77777777" w:rsidTr="0008418F">
        <w:trPr>
          <w:trHeight w:val="530"/>
          <w:jc w:val="center"/>
        </w:trPr>
        <w:tc>
          <w:tcPr>
            <w:tcW w:w="4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5A0E31" w14:textId="33F46008" w:rsidR="005401F4" w:rsidRPr="005401F4" w:rsidRDefault="005401F4" w:rsidP="005401F4">
            <w:pPr>
              <w:spacing w:after="0"/>
              <w:ind w:left="0" w:firstLine="0"/>
              <w:rPr>
                <w:rFonts w:ascii="Calibri" w:eastAsia="Times New Roman" w:hAnsi="Calibri" w:cs="Calibri"/>
                <w:color w:val="000000"/>
                <w:sz w:val="20"/>
                <w:szCs w:val="20"/>
              </w:rPr>
            </w:pPr>
            <w:r w:rsidRPr="005401F4">
              <w:rPr>
                <w:rFonts w:ascii="Calibri" w:eastAsia="Times New Roman" w:hAnsi="Calibri" w:cs="Calibri"/>
                <w:color w:val="000000"/>
                <w:sz w:val="20"/>
                <w:szCs w:val="20"/>
              </w:rP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120 million for goods,</w:t>
            </w:r>
            <w:r w:rsidRPr="005401F4">
              <w:rPr>
                <w:rFonts w:ascii="Calibri" w:eastAsia="Times New Roman" w:hAnsi="Calibri" w:cs="Calibri"/>
                <w:color w:val="000000"/>
                <w:sz w:val="20"/>
                <w:szCs w:val="20"/>
              </w:rPr>
              <w:b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60 million for services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F2C84" w14:textId="77777777" w:rsidR="005401F4" w:rsidRPr="005401F4" w:rsidRDefault="005401F4" w:rsidP="0008418F">
            <w:pPr>
              <w:spacing w:after="0"/>
              <w:ind w:left="0" w:firstLine="0"/>
              <w:jc w:val="right"/>
              <w:rPr>
                <w:rFonts w:ascii="Calibri" w:eastAsia="Times New Roman" w:hAnsi="Calibri" w:cs="Calibri"/>
                <w:color w:val="000000"/>
                <w:sz w:val="20"/>
                <w:szCs w:val="20"/>
              </w:rPr>
            </w:pPr>
            <w:r w:rsidRPr="005401F4">
              <w:rPr>
                <w:rFonts w:ascii="Calibri" w:eastAsia="Times New Roman" w:hAnsi="Calibri" w:cs="Calibri"/>
                <w:color w:val="000000"/>
                <w:sz w:val="20"/>
                <w:szCs w:val="20"/>
              </w:rPr>
              <w:t>1992</w:t>
            </w:r>
          </w:p>
        </w:tc>
      </w:tr>
      <w:tr w:rsidR="005401F4" w:rsidRPr="005401F4" w14:paraId="72803C02" w14:textId="77777777" w:rsidTr="0008418F">
        <w:trPr>
          <w:trHeight w:val="530"/>
          <w:jc w:val="center"/>
        </w:trPr>
        <w:tc>
          <w:tcPr>
            <w:tcW w:w="4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D22439" w14:textId="59B179BB" w:rsidR="005401F4" w:rsidRPr="005401F4" w:rsidRDefault="005401F4" w:rsidP="005401F4">
            <w:pPr>
              <w:spacing w:after="0"/>
              <w:ind w:left="0" w:firstLine="0"/>
              <w:rPr>
                <w:rFonts w:ascii="Calibri" w:eastAsia="Times New Roman" w:hAnsi="Calibri" w:cs="Calibri"/>
                <w:color w:val="000000"/>
                <w:sz w:val="20"/>
                <w:szCs w:val="20"/>
              </w:rPr>
            </w:pPr>
            <w:r w:rsidRPr="005401F4">
              <w:rPr>
                <w:rFonts w:ascii="Calibri" w:eastAsia="Times New Roman" w:hAnsi="Calibri" w:cs="Calibri"/>
                <w:color w:val="000000"/>
                <w:sz w:val="20"/>
                <w:szCs w:val="20"/>
              </w:rP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240 million for goods,</w:t>
            </w:r>
            <w:r w:rsidRPr="005401F4">
              <w:rPr>
                <w:rFonts w:ascii="Calibri" w:eastAsia="Times New Roman" w:hAnsi="Calibri" w:cs="Calibri"/>
                <w:color w:val="000000"/>
                <w:sz w:val="20"/>
                <w:szCs w:val="20"/>
              </w:rPr>
              <w:b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120 million for services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45866" w14:textId="77777777" w:rsidR="005401F4" w:rsidRPr="005401F4" w:rsidRDefault="005401F4" w:rsidP="0008418F">
            <w:pPr>
              <w:spacing w:after="0"/>
              <w:ind w:left="0" w:firstLine="0"/>
              <w:jc w:val="right"/>
              <w:rPr>
                <w:rFonts w:ascii="Calibri" w:eastAsia="Times New Roman" w:hAnsi="Calibri" w:cs="Calibri"/>
                <w:color w:val="000000"/>
                <w:sz w:val="20"/>
                <w:szCs w:val="20"/>
              </w:rPr>
            </w:pPr>
            <w:r w:rsidRPr="005401F4">
              <w:rPr>
                <w:rFonts w:ascii="Calibri" w:eastAsia="Times New Roman" w:hAnsi="Calibri" w:cs="Calibri"/>
                <w:color w:val="000000"/>
                <w:sz w:val="20"/>
                <w:szCs w:val="20"/>
              </w:rPr>
              <w:t>1995</w:t>
            </w:r>
          </w:p>
        </w:tc>
      </w:tr>
      <w:tr w:rsidR="005401F4" w:rsidRPr="005401F4" w14:paraId="403223B2" w14:textId="77777777" w:rsidTr="0008418F">
        <w:trPr>
          <w:trHeight w:val="530"/>
          <w:jc w:val="center"/>
        </w:trPr>
        <w:tc>
          <w:tcPr>
            <w:tcW w:w="41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8B1BB4" w14:textId="46C15F76" w:rsidR="005401F4" w:rsidRPr="005401F4" w:rsidRDefault="005401F4" w:rsidP="005401F4">
            <w:pPr>
              <w:spacing w:after="0"/>
              <w:ind w:left="0" w:firstLine="0"/>
              <w:rPr>
                <w:rFonts w:ascii="Calibri" w:eastAsia="Times New Roman" w:hAnsi="Calibri" w:cs="Calibri"/>
                <w:color w:val="000000"/>
                <w:sz w:val="20"/>
                <w:szCs w:val="20"/>
              </w:rPr>
            </w:pPr>
            <w:r w:rsidRPr="005401F4">
              <w:rPr>
                <w:rFonts w:ascii="Calibri" w:eastAsia="Times New Roman" w:hAnsi="Calibri" w:cs="Calibri"/>
                <w:color w:val="000000"/>
                <w:sz w:val="20"/>
                <w:szCs w:val="20"/>
              </w:rP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360 million for goods,</w:t>
            </w:r>
            <w:r w:rsidRPr="005401F4">
              <w:rPr>
                <w:rFonts w:ascii="Calibri" w:eastAsia="Times New Roman" w:hAnsi="Calibri" w:cs="Calibri"/>
                <w:color w:val="000000"/>
                <w:sz w:val="20"/>
                <w:szCs w:val="20"/>
              </w:rPr>
              <w:b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180 million for services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28F59" w14:textId="77777777" w:rsidR="005401F4" w:rsidRPr="005401F4" w:rsidRDefault="005401F4" w:rsidP="0008418F">
            <w:pPr>
              <w:spacing w:after="0"/>
              <w:ind w:left="0" w:firstLine="0"/>
              <w:jc w:val="right"/>
              <w:rPr>
                <w:rFonts w:ascii="Calibri" w:eastAsia="Times New Roman" w:hAnsi="Calibri" w:cs="Calibri"/>
                <w:color w:val="000000"/>
                <w:sz w:val="20"/>
                <w:szCs w:val="20"/>
              </w:rPr>
            </w:pPr>
            <w:r w:rsidRPr="005401F4">
              <w:rPr>
                <w:rFonts w:ascii="Calibri" w:eastAsia="Times New Roman" w:hAnsi="Calibri" w:cs="Calibri"/>
                <w:color w:val="000000"/>
                <w:sz w:val="20"/>
                <w:szCs w:val="20"/>
              </w:rPr>
              <w:t>2001</w:t>
            </w:r>
          </w:p>
        </w:tc>
      </w:tr>
      <w:tr w:rsidR="005401F4" w:rsidRPr="005401F4" w14:paraId="66FC7CE0" w14:textId="77777777" w:rsidTr="0008418F">
        <w:trPr>
          <w:trHeight w:val="290"/>
          <w:jc w:val="center"/>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03FC0" w14:textId="0377FD79" w:rsidR="005401F4" w:rsidRPr="005401F4" w:rsidRDefault="005401F4" w:rsidP="005401F4">
            <w:pPr>
              <w:spacing w:after="0"/>
              <w:ind w:left="0" w:firstLine="0"/>
              <w:rPr>
                <w:rFonts w:ascii="Calibri" w:eastAsia="Times New Roman" w:hAnsi="Calibri" w:cs="Calibri"/>
                <w:color w:val="000000"/>
                <w:sz w:val="20"/>
                <w:szCs w:val="20"/>
              </w:rPr>
            </w:pPr>
            <w:r w:rsidRPr="005401F4">
              <w:rPr>
                <w:rFonts w:ascii="Calibri" w:eastAsia="Times New Roman" w:hAnsi="Calibri" w:cs="Calibri"/>
                <w:color w:val="000000"/>
                <w:sz w:val="20"/>
                <w:szCs w:val="20"/>
              </w:rP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600 million for goods &amp; services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A8BA7" w14:textId="77777777" w:rsidR="005401F4" w:rsidRPr="005401F4" w:rsidRDefault="005401F4" w:rsidP="0008418F">
            <w:pPr>
              <w:spacing w:after="0"/>
              <w:ind w:left="0" w:firstLine="0"/>
              <w:jc w:val="right"/>
              <w:rPr>
                <w:rFonts w:ascii="Calibri" w:eastAsia="Times New Roman" w:hAnsi="Calibri" w:cs="Calibri"/>
                <w:color w:val="000000"/>
                <w:sz w:val="20"/>
                <w:szCs w:val="20"/>
              </w:rPr>
            </w:pPr>
            <w:r w:rsidRPr="005401F4">
              <w:rPr>
                <w:rFonts w:ascii="Calibri" w:eastAsia="Times New Roman" w:hAnsi="Calibri" w:cs="Calibri"/>
                <w:color w:val="000000"/>
                <w:sz w:val="20"/>
                <w:szCs w:val="20"/>
              </w:rPr>
              <w:t>2010</w:t>
            </w:r>
          </w:p>
        </w:tc>
      </w:tr>
      <w:tr w:rsidR="005401F4" w:rsidRPr="005401F4" w14:paraId="60B978B2" w14:textId="77777777" w:rsidTr="0008418F">
        <w:trPr>
          <w:trHeight w:val="290"/>
          <w:jc w:val="center"/>
        </w:trPr>
        <w:tc>
          <w:tcPr>
            <w:tcW w:w="416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hideMark/>
          </w:tcPr>
          <w:p w14:paraId="7F4F9D33" w14:textId="2D43C900" w:rsidR="005401F4" w:rsidRPr="005401F4" w:rsidRDefault="005401F4" w:rsidP="005401F4">
            <w:pPr>
              <w:spacing w:after="0"/>
              <w:ind w:left="0" w:firstLine="0"/>
              <w:rPr>
                <w:rFonts w:ascii="Calibri" w:eastAsia="Times New Roman" w:hAnsi="Calibri" w:cs="Calibri"/>
                <w:color w:val="000000"/>
                <w:sz w:val="20"/>
                <w:szCs w:val="20"/>
              </w:rPr>
            </w:pPr>
            <w:r w:rsidRPr="005401F4">
              <w:rPr>
                <w:rFonts w:ascii="Calibri" w:eastAsia="Times New Roman" w:hAnsi="Calibri" w:cs="Calibri"/>
                <w:color w:val="000000"/>
                <w:sz w:val="20"/>
                <w:szCs w:val="20"/>
              </w:rPr>
              <w:t>Above R</w:t>
            </w:r>
            <w:r w:rsidR="0004266E">
              <w:rPr>
                <w:rFonts w:ascii="Calibri" w:eastAsia="Times New Roman" w:hAnsi="Calibri" w:cs="Calibri"/>
                <w:color w:val="000000"/>
                <w:sz w:val="20"/>
                <w:szCs w:val="20"/>
              </w:rPr>
              <w:t>p</w:t>
            </w:r>
            <w:r w:rsidRPr="005401F4">
              <w:rPr>
                <w:rFonts w:ascii="Calibri" w:eastAsia="Times New Roman" w:hAnsi="Calibri" w:cs="Calibri"/>
                <w:color w:val="000000"/>
                <w:sz w:val="20"/>
                <w:szCs w:val="20"/>
              </w:rPr>
              <w:t xml:space="preserve"> 4.8 billion for goods &amp; services</w:t>
            </w:r>
          </w:p>
        </w:tc>
        <w:tc>
          <w:tcPr>
            <w:tcW w:w="18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C4EA916" w14:textId="77777777" w:rsidR="005401F4" w:rsidRPr="005401F4" w:rsidRDefault="005401F4" w:rsidP="0008418F">
            <w:pPr>
              <w:spacing w:after="0"/>
              <w:ind w:left="0" w:firstLine="0"/>
              <w:jc w:val="right"/>
              <w:rPr>
                <w:rFonts w:ascii="Calibri" w:eastAsia="Times New Roman" w:hAnsi="Calibri" w:cs="Calibri"/>
                <w:color w:val="000000"/>
                <w:sz w:val="20"/>
                <w:szCs w:val="20"/>
              </w:rPr>
            </w:pPr>
            <w:r w:rsidRPr="005401F4">
              <w:rPr>
                <w:rFonts w:ascii="Calibri" w:eastAsia="Times New Roman" w:hAnsi="Calibri" w:cs="Calibri"/>
                <w:color w:val="000000"/>
                <w:sz w:val="20"/>
                <w:szCs w:val="20"/>
              </w:rPr>
              <w:t>2014</w:t>
            </w:r>
          </w:p>
        </w:tc>
      </w:tr>
      <w:tr w:rsidR="005401F4" w:rsidRPr="005401F4" w14:paraId="425CB592" w14:textId="77777777" w:rsidTr="0008418F">
        <w:trPr>
          <w:trHeight w:val="290"/>
          <w:jc w:val="center"/>
        </w:trPr>
        <w:tc>
          <w:tcPr>
            <w:tcW w:w="5960" w:type="dxa"/>
            <w:gridSpan w:val="2"/>
            <w:tcBorders>
              <w:top w:val="single" w:sz="4" w:space="0" w:color="auto"/>
              <w:left w:val="nil"/>
              <w:bottom w:val="nil"/>
              <w:right w:val="nil"/>
            </w:tcBorders>
            <w:shd w:val="clear" w:color="auto" w:fill="auto"/>
            <w:noWrap/>
            <w:vAlign w:val="bottom"/>
            <w:hideMark/>
          </w:tcPr>
          <w:p w14:paraId="46583E59" w14:textId="1C82C7C3" w:rsidR="005401F4" w:rsidRPr="005401F4" w:rsidRDefault="005401F4" w:rsidP="005401F4">
            <w:pPr>
              <w:spacing w:after="0"/>
              <w:ind w:left="0" w:firstLine="0"/>
              <w:rPr>
                <w:rFonts w:ascii="Calibri" w:eastAsia="Times New Roman" w:hAnsi="Calibri" w:cs="Calibri"/>
                <w:color w:val="000000"/>
                <w:sz w:val="18"/>
                <w:szCs w:val="18"/>
              </w:rPr>
            </w:pPr>
            <w:r w:rsidRPr="0008418F">
              <w:rPr>
                <w:rFonts w:ascii="Calibri" w:eastAsia="Times New Roman" w:hAnsi="Calibri" w:cs="Calibri"/>
                <w:i/>
                <w:iCs/>
                <w:color w:val="000000"/>
                <w:sz w:val="18"/>
                <w:szCs w:val="18"/>
              </w:rPr>
              <w:t>Source</w:t>
            </w:r>
            <w:r w:rsidRPr="005401F4">
              <w:rPr>
                <w:rFonts w:ascii="Calibri" w:eastAsia="Times New Roman" w:hAnsi="Calibri" w:cs="Calibri"/>
                <w:color w:val="000000"/>
                <w:sz w:val="18"/>
                <w:szCs w:val="18"/>
              </w:rPr>
              <w:t>: Various Finance Ministerial Regulations and Decrees</w:t>
            </w:r>
            <w:r w:rsidR="00E03431">
              <w:rPr>
                <w:rFonts w:ascii="Calibri" w:eastAsia="Times New Roman" w:hAnsi="Calibri" w:cs="Calibri"/>
                <w:color w:val="000000"/>
                <w:sz w:val="18"/>
                <w:szCs w:val="18"/>
              </w:rPr>
              <w:t>.</w:t>
            </w:r>
          </w:p>
        </w:tc>
      </w:tr>
    </w:tbl>
    <w:p w14:paraId="78507F2E" w14:textId="77777777" w:rsidR="00665049" w:rsidRDefault="00665049" w:rsidP="00A001D8">
      <w:pPr>
        <w:ind w:left="0" w:firstLine="0"/>
      </w:pPr>
    </w:p>
    <w:p w14:paraId="53B264AC" w14:textId="12325BDB" w:rsidR="00DF1AF1" w:rsidRPr="001242C5" w:rsidRDefault="00DF1AF1" w:rsidP="00843995">
      <w:pPr>
        <w:pStyle w:val="ListParagraph"/>
        <w:numPr>
          <w:ilvl w:val="0"/>
          <w:numId w:val="12"/>
        </w:numPr>
        <w:spacing w:before="120"/>
        <w:ind w:left="0" w:firstLine="0"/>
        <w:contextualSpacing w:val="0"/>
        <w:jc w:val="both"/>
        <w:rPr>
          <w:color w:val="000000" w:themeColor="text1"/>
        </w:rPr>
      </w:pPr>
      <w:r w:rsidRPr="001242C5">
        <w:rPr>
          <w:rFonts w:cstheme="minorHAnsi"/>
          <w:b/>
          <w:bCs/>
          <w:color w:val="000000" w:themeColor="text1"/>
        </w:rPr>
        <w:t>The current VAT registration threshold is one of the highest in the world (Figure 4.</w:t>
      </w:r>
      <w:r w:rsidR="000F1DC0">
        <w:rPr>
          <w:rFonts w:cstheme="minorHAnsi"/>
          <w:b/>
          <w:bCs/>
          <w:color w:val="000000" w:themeColor="text1"/>
        </w:rPr>
        <w:t>4</w:t>
      </w:r>
      <w:r w:rsidRPr="001242C5">
        <w:rPr>
          <w:rFonts w:cstheme="minorHAnsi"/>
          <w:b/>
          <w:bCs/>
          <w:color w:val="000000" w:themeColor="text1"/>
        </w:rPr>
        <w:t>)</w:t>
      </w:r>
      <w:r w:rsidR="00857F32">
        <w:rPr>
          <w:rFonts w:cstheme="minorHAnsi"/>
          <w:b/>
          <w:bCs/>
          <w:color w:val="000000" w:themeColor="text1"/>
        </w:rPr>
        <w:t>–</w:t>
      </w:r>
      <w:r w:rsidR="00500B3D">
        <w:rPr>
          <w:rFonts w:cstheme="minorHAnsi"/>
          <w:b/>
          <w:bCs/>
          <w:color w:val="000000" w:themeColor="text1"/>
        </w:rPr>
        <w:t xml:space="preserve">creating incentives for firms to </w:t>
      </w:r>
      <w:r w:rsidR="00045774">
        <w:rPr>
          <w:rFonts w:cstheme="minorHAnsi"/>
          <w:b/>
          <w:bCs/>
          <w:color w:val="000000" w:themeColor="text1"/>
        </w:rPr>
        <w:t xml:space="preserve">artificially </w:t>
      </w:r>
      <w:r w:rsidR="00FF2666">
        <w:rPr>
          <w:rFonts w:cstheme="minorHAnsi"/>
          <w:b/>
          <w:bCs/>
          <w:color w:val="000000" w:themeColor="text1"/>
        </w:rPr>
        <w:t>reduce their business turnover</w:t>
      </w:r>
      <w:r w:rsidRPr="001242C5">
        <w:rPr>
          <w:rFonts w:cstheme="minorHAnsi"/>
          <w:b/>
          <w:bCs/>
          <w:color w:val="000000" w:themeColor="text1"/>
        </w:rPr>
        <w:t xml:space="preserve">. </w:t>
      </w:r>
      <w:r w:rsidRPr="000629F3">
        <w:rPr>
          <w:rFonts w:cstheme="minorHAnsi"/>
          <w:color w:val="000000" w:themeColor="text1"/>
        </w:rPr>
        <w:t>Indonesia’s threshold, equivalent to US</w:t>
      </w:r>
      <w:r w:rsidR="00CB262B">
        <w:rPr>
          <w:rFonts w:cstheme="minorHAnsi"/>
          <w:color w:val="000000" w:themeColor="text1"/>
        </w:rPr>
        <w:t>$</w:t>
      </w:r>
      <w:r w:rsidRPr="000629F3">
        <w:rPr>
          <w:rFonts w:cstheme="minorHAnsi"/>
          <w:color w:val="000000" w:themeColor="text1"/>
        </w:rPr>
        <w:t xml:space="preserve">320,000, is </w:t>
      </w:r>
      <w:r w:rsidR="00377D15">
        <w:rPr>
          <w:rFonts w:cstheme="minorHAnsi"/>
          <w:color w:val="000000" w:themeColor="text1"/>
        </w:rPr>
        <w:t xml:space="preserve">remarkably high: </w:t>
      </w:r>
      <w:r w:rsidRPr="000629F3">
        <w:rPr>
          <w:rFonts w:cstheme="minorHAnsi"/>
          <w:color w:val="000000" w:themeColor="text1"/>
        </w:rPr>
        <w:t xml:space="preserve">six times higher than </w:t>
      </w:r>
      <w:r w:rsidR="002B6F00" w:rsidRPr="000629F3">
        <w:rPr>
          <w:rFonts w:cstheme="minorHAnsi"/>
          <w:color w:val="000000" w:themeColor="text1"/>
        </w:rPr>
        <w:t>the average threshold in OECD countries (US</w:t>
      </w:r>
      <w:r w:rsidR="00CB262B">
        <w:rPr>
          <w:rFonts w:cstheme="minorHAnsi"/>
          <w:color w:val="000000" w:themeColor="text1"/>
        </w:rPr>
        <w:t>$</w:t>
      </w:r>
      <w:r w:rsidR="002B6F00" w:rsidRPr="000629F3">
        <w:rPr>
          <w:rFonts w:cstheme="minorHAnsi"/>
          <w:color w:val="000000" w:themeColor="text1"/>
        </w:rPr>
        <w:t>57,000 in 2022</w:t>
      </w:r>
      <w:r w:rsidR="002B6F00">
        <w:rPr>
          <w:rFonts w:cstheme="minorHAnsi"/>
          <w:color w:val="000000" w:themeColor="text1"/>
        </w:rPr>
        <w:t>)</w:t>
      </w:r>
      <w:r w:rsidR="00843995">
        <w:rPr>
          <w:rFonts w:cstheme="minorHAnsi"/>
          <w:color w:val="000000" w:themeColor="text1"/>
        </w:rPr>
        <w:t xml:space="preserve"> and</w:t>
      </w:r>
      <w:r w:rsidR="00843995">
        <w:rPr>
          <w:color w:val="000000" w:themeColor="text1"/>
        </w:rPr>
        <w:t xml:space="preserve"> in </w:t>
      </w:r>
      <w:r w:rsidRPr="000629F3">
        <w:rPr>
          <w:rFonts w:cstheme="minorHAnsi"/>
          <w:color w:val="000000" w:themeColor="text1"/>
        </w:rPr>
        <w:t>other middle-income ASEAN countries. Indonesia also has the highest ratio of VAT threshold to per capita GDP</w:t>
      </w:r>
      <w:r w:rsidR="00145E7C">
        <w:rPr>
          <w:rFonts w:cstheme="minorHAnsi"/>
          <w:color w:val="000000" w:themeColor="text1"/>
        </w:rPr>
        <w:t xml:space="preserve">, at </w:t>
      </w:r>
      <w:r w:rsidR="002231D0">
        <w:rPr>
          <w:rFonts w:cstheme="minorHAnsi"/>
          <w:color w:val="000000" w:themeColor="text1"/>
        </w:rPr>
        <w:t>almost 7</w:t>
      </w:r>
      <w:r w:rsidR="00145E7C">
        <w:rPr>
          <w:rFonts w:cstheme="minorHAnsi"/>
          <w:color w:val="000000" w:themeColor="text1"/>
        </w:rPr>
        <w:t>0</w:t>
      </w:r>
      <w:r w:rsidR="00AF7C22">
        <w:rPr>
          <w:rFonts w:cstheme="minorHAnsi"/>
          <w:color w:val="000000" w:themeColor="text1"/>
        </w:rPr>
        <w:t xml:space="preserve"> times GDP per capita</w:t>
      </w:r>
      <w:r w:rsidRPr="00843995">
        <w:rPr>
          <w:rFonts w:cstheme="minorHAnsi"/>
          <w:color w:val="000000" w:themeColor="text1"/>
        </w:rPr>
        <w:t>.</w:t>
      </w:r>
      <w:r w:rsidRPr="000629F3">
        <w:rPr>
          <w:rFonts w:cstheme="minorHAnsi"/>
          <w:color w:val="000000" w:themeColor="text1"/>
        </w:rPr>
        <w:t xml:space="preserve"> </w:t>
      </w:r>
      <w:r w:rsidRPr="001242C5">
        <w:rPr>
          <w:rFonts w:cstheme="minorHAnsi"/>
          <w:color w:val="000000" w:themeColor="text1"/>
        </w:rPr>
        <w:t>Setting the threshold to a high level leaves many taxpayers outside of the VAT system, narrows the tax base</w:t>
      </w:r>
      <w:r w:rsidR="00B950A1">
        <w:rPr>
          <w:rFonts w:cstheme="minorHAnsi"/>
          <w:color w:val="000000" w:themeColor="text1"/>
        </w:rPr>
        <w:t>,</w:t>
      </w:r>
      <w:r w:rsidRPr="001242C5">
        <w:rPr>
          <w:rFonts w:cstheme="minorHAnsi"/>
          <w:color w:val="000000" w:themeColor="text1"/>
        </w:rPr>
        <w:t xml:space="preserve"> and distorts the credit chain. For example, distortions in the middle of the supply chain may potentially unravel the whole VAT chain</w:t>
      </w:r>
      <w:r w:rsidR="0092182B">
        <w:rPr>
          <w:rFonts w:cstheme="minorHAnsi"/>
          <w:color w:val="000000" w:themeColor="text1"/>
        </w:rPr>
        <w:t>–</w:t>
      </w:r>
      <w:r w:rsidRPr="001242C5">
        <w:rPr>
          <w:rFonts w:cstheme="minorHAnsi"/>
          <w:color w:val="000000" w:themeColor="text1"/>
        </w:rPr>
        <w:t>which may lead to VAT cascading and over-taxation (see A</w:t>
      </w:r>
      <w:r w:rsidR="0092182B">
        <w:rPr>
          <w:rFonts w:cstheme="minorHAnsi"/>
          <w:color w:val="000000" w:themeColor="text1"/>
        </w:rPr>
        <w:t>ppendi</w:t>
      </w:r>
      <w:r w:rsidRPr="001242C5">
        <w:rPr>
          <w:rFonts w:cstheme="minorHAnsi"/>
          <w:color w:val="000000" w:themeColor="text1"/>
        </w:rPr>
        <w:t xml:space="preserve">x 2). </w:t>
      </w:r>
      <w:r w:rsidRPr="001242C5">
        <w:rPr>
          <w:rFonts w:cstheme="minorHAnsi"/>
          <w:color w:val="000000" w:themeColor="text1"/>
        </w:rPr>
        <w:lastRenderedPageBreak/>
        <w:t>The high threshold also creates incentives for firms to artificially reduce their turnover, or to artificially split their businesses to remain under the threshold (“bunching effect”).</w:t>
      </w:r>
      <w:r w:rsidR="00AD4036">
        <w:rPr>
          <w:rFonts w:cstheme="minorHAnsi"/>
          <w:color w:val="000000" w:themeColor="text1"/>
        </w:rPr>
        <w:t xml:space="preserve"> Using administrative data</w:t>
      </w:r>
      <w:r w:rsidR="001D119F">
        <w:rPr>
          <w:rFonts w:cstheme="minorHAnsi"/>
          <w:color w:val="000000" w:themeColor="text1"/>
        </w:rPr>
        <w:t xml:space="preserve"> between 2014-2017</w:t>
      </w:r>
      <w:r w:rsidR="00AD4036">
        <w:rPr>
          <w:rFonts w:cstheme="minorHAnsi"/>
          <w:color w:val="000000" w:themeColor="text1"/>
        </w:rPr>
        <w:t xml:space="preserve">, </w:t>
      </w:r>
      <w:proofErr w:type="spellStart"/>
      <w:r w:rsidR="00AD4036">
        <w:rPr>
          <w:rFonts w:cstheme="minorHAnsi"/>
          <w:color w:val="000000" w:themeColor="text1"/>
        </w:rPr>
        <w:t>Saputro</w:t>
      </w:r>
      <w:proofErr w:type="spellEnd"/>
      <w:r w:rsidR="00AD4036">
        <w:rPr>
          <w:rFonts w:cstheme="minorHAnsi"/>
          <w:color w:val="000000" w:themeColor="text1"/>
        </w:rPr>
        <w:t xml:space="preserve"> (2020) </w:t>
      </w:r>
      <w:r w:rsidR="003C2610">
        <w:rPr>
          <w:rFonts w:cstheme="minorHAnsi"/>
          <w:color w:val="000000" w:themeColor="text1"/>
        </w:rPr>
        <w:t>found e</w:t>
      </w:r>
      <w:r w:rsidR="0023774E">
        <w:rPr>
          <w:rFonts w:cstheme="minorHAnsi"/>
          <w:color w:val="000000" w:themeColor="text1"/>
        </w:rPr>
        <w:t xml:space="preserve">vidence of the bunching of firms below </w:t>
      </w:r>
      <w:r w:rsidR="007825B1">
        <w:rPr>
          <w:rFonts w:cstheme="minorHAnsi"/>
          <w:color w:val="000000" w:themeColor="text1"/>
        </w:rPr>
        <w:t>the R</w:t>
      </w:r>
      <w:r w:rsidR="0004266E">
        <w:rPr>
          <w:rFonts w:cstheme="minorHAnsi"/>
          <w:color w:val="000000" w:themeColor="text1"/>
        </w:rPr>
        <w:t>p</w:t>
      </w:r>
      <w:r w:rsidR="007825B1">
        <w:rPr>
          <w:rFonts w:cstheme="minorHAnsi"/>
          <w:color w:val="000000" w:themeColor="text1"/>
        </w:rPr>
        <w:t xml:space="preserve"> 4.8 billion</w:t>
      </w:r>
      <w:r w:rsidR="0029525F">
        <w:rPr>
          <w:rFonts w:cstheme="minorHAnsi"/>
          <w:color w:val="000000" w:themeColor="text1"/>
        </w:rPr>
        <w:t xml:space="preserve"> (Figure 4.</w:t>
      </w:r>
      <w:r w:rsidR="000F1DC0">
        <w:rPr>
          <w:rFonts w:cstheme="minorHAnsi"/>
          <w:color w:val="000000" w:themeColor="text1"/>
        </w:rPr>
        <w:t>5</w:t>
      </w:r>
      <w:r w:rsidR="0029525F">
        <w:rPr>
          <w:rFonts w:cstheme="minorHAnsi"/>
          <w:color w:val="000000" w:themeColor="text1"/>
        </w:rPr>
        <w:t xml:space="preserve">). He </w:t>
      </w:r>
      <w:r w:rsidR="00E82594">
        <w:rPr>
          <w:rFonts w:cstheme="minorHAnsi"/>
          <w:color w:val="000000" w:themeColor="text1"/>
        </w:rPr>
        <w:t xml:space="preserve">found evidence </w:t>
      </w:r>
      <w:r w:rsidR="00481ABF">
        <w:rPr>
          <w:rFonts w:cstheme="minorHAnsi"/>
          <w:color w:val="000000" w:themeColor="text1"/>
        </w:rPr>
        <w:t xml:space="preserve">that bunching of firms was concentrated </w:t>
      </w:r>
      <w:r w:rsidR="00D81C47">
        <w:rPr>
          <w:rFonts w:cstheme="minorHAnsi"/>
          <w:color w:val="000000" w:themeColor="text1"/>
        </w:rPr>
        <w:t>in the turnover interval of R</w:t>
      </w:r>
      <w:r w:rsidR="0004266E">
        <w:rPr>
          <w:rFonts w:cstheme="minorHAnsi"/>
          <w:color w:val="000000" w:themeColor="text1"/>
        </w:rPr>
        <w:t>p</w:t>
      </w:r>
      <w:r w:rsidR="00D81C47">
        <w:rPr>
          <w:rFonts w:cstheme="minorHAnsi"/>
          <w:color w:val="000000" w:themeColor="text1"/>
        </w:rPr>
        <w:t xml:space="preserve"> 4.4 and 4.8 billion.</w:t>
      </w:r>
      <w:r w:rsidR="004911A9">
        <w:rPr>
          <w:rFonts w:cstheme="minorHAnsi"/>
          <w:color w:val="000000" w:themeColor="text1"/>
        </w:rPr>
        <w:t xml:space="preserve"> Al-Rikabi and </w:t>
      </w:r>
      <w:proofErr w:type="spellStart"/>
      <w:r w:rsidR="004911A9">
        <w:rPr>
          <w:rFonts w:cstheme="minorHAnsi"/>
          <w:color w:val="000000" w:themeColor="text1"/>
        </w:rPr>
        <w:t>Guardarucci</w:t>
      </w:r>
      <w:proofErr w:type="spellEnd"/>
      <w:r w:rsidR="004911A9">
        <w:rPr>
          <w:rFonts w:cstheme="minorHAnsi"/>
          <w:color w:val="000000" w:themeColor="text1"/>
        </w:rPr>
        <w:t xml:space="preserve"> (</w:t>
      </w:r>
      <w:r w:rsidR="00525612">
        <w:rPr>
          <w:rFonts w:cstheme="minorHAnsi"/>
          <w:color w:val="000000" w:themeColor="text1"/>
        </w:rPr>
        <w:t>F</w:t>
      </w:r>
      <w:r w:rsidR="00005AF1" w:rsidRPr="0008418F">
        <w:rPr>
          <w:rFonts w:cstheme="minorHAnsi"/>
          <w:color w:val="000000" w:themeColor="text1"/>
        </w:rPr>
        <w:t>orthcoming</w:t>
      </w:r>
      <w:r w:rsidR="004911A9">
        <w:rPr>
          <w:rFonts w:cstheme="minorHAnsi"/>
          <w:color w:val="000000" w:themeColor="text1"/>
        </w:rPr>
        <w:t xml:space="preserve">) </w:t>
      </w:r>
      <w:r w:rsidR="009756F1">
        <w:rPr>
          <w:rFonts w:cstheme="minorHAnsi"/>
          <w:color w:val="000000" w:themeColor="text1"/>
        </w:rPr>
        <w:t>used a large sample of VAT filings between 2011-19</w:t>
      </w:r>
      <w:r w:rsidR="001C3A4F">
        <w:rPr>
          <w:rFonts w:cstheme="minorHAnsi"/>
          <w:color w:val="000000" w:themeColor="text1"/>
        </w:rPr>
        <w:t xml:space="preserve"> to analyze evidence of </w:t>
      </w:r>
      <w:r w:rsidR="0081033D">
        <w:rPr>
          <w:rFonts w:cstheme="minorHAnsi"/>
          <w:color w:val="000000" w:themeColor="text1"/>
        </w:rPr>
        <w:t xml:space="preserve">bunching across different sectors. </w:t>
      </w:r>
      <w:r w:rsidR="0074193C">
        <w:rPr>
          <w:rFonts w:cstheme="minorHAnsi"/>
          <w:color w:val="000000" w:themeColor="text1"/>
        </w:rPr>
        <w:t xml:space="preserve">They found the clearest evidence of bunching applies to the wholesale and retail trade </w:t>
      </w:r>
      <w:r w:rsidR="00025CEC">
        <w:rPr>
          <w:rFonts w:cstheme="minorHAnsi"/>
          <w:color w:val="000000" w:themeColor="text1"/>
        </w:rPr>
        <w:t>sector</w:t>
      </w:r>
      <w:r w:rsidR="000B48F2">
        <w:rPr>
          <w:rFonts w:cstheme="minorHAnsi"/>
          <w:color w:val="000000" w:themeColor="text1"/>
        </w:rPr>
        <w:t xml:space="preserve"> as this sector has a greater degree of cash-based transactions with nondigital invoices</w:t>
      </w:r>
      <w:r w:rsidR="0092182B">
        <w:rPr>
          <w:rFonts w:cstheme="minorHAnsi"/>
          <w:color w:val="000000" w:themeColor="text1"/>
        </w:rPr>
        <w:t>–</w:t>
      </w:r>
      <w:r w:rsidR="006B196E">
        <w:rPr>
          <w:rFonts w:cstheme="minorHAnsi"/>
          <w:color w:val="000000" w:themeColor="text1"/>
        </w:rPr>
        <w:t xml:space="preserve">making it easier to </w:t>
      </w:r>
      <w:r w:rsidR="00A573B9">
        <w:rPr>
          <w:rFonts w:cstheme="minorHAnsi"/>
          <w:color w:val="000000" w:themeColor="text1"/>
        </w:rPr>
        <w:t>evade taxes</w:t>
      </w:r>
      <w:r w:rsidR="006B196E">
        <w:rPr>
          <w:rFonts w:cstheme="minorHAnsi"/>
          <w:color w:val="000000" w:themeColor="text1"/>
        </w:rPr>
        <w:t xml:space="preserve"> by under-reporting.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561"/>
      </w:tblGrid>
      <w:tr w:rsidR="00DF1AF1" w14:paraId="686D0652" w14:textId="77777777" w:rsidTr="0008418F">
        <w:tc>
          <w:tcPr>
            <w:tcW w:w="4351" w:type="dxa"/>
          </w:tcPr>
          <w:p w14:paraId="7180DAE2" w14:textId="30FAA472" w:rsidR="00DF1AF1" w:rsidRPr="005A4F3D" w:rsidRDefault="00DF1AF1" w:rsidP="0008418F">
            <w:pPr>
              <w:pStyle w:val="Caption"/>
              <w:jc w:val="left"/>
              <w:rPr>
                <w:rFonts w:cstheme="minorHAnsi"/>
              </w:rPr>
            </w:pPr>
            <w:bookmarkStart w:id="44" w:name="_Toc177593062"/>
            <w:r w:rsidRPr="005A4F3D">
              <w:rPr>
                <w:rFonts w:cstheme="minorHAnsi"/>
              </w:rPr>
              <w:t xml:space="preserve">Figure </w:t>
            </w:r>
            <w:r>
              <w:rPr>
                <w:rFonts w:cstheme="minorHAnsi"/>
              </w:rPr>
              <w:t>4.</w:t>
            </w:r>
            <w:r w:rsidR="00016358">
              <w:rPr>
                <w:rFonts w:cstheme="minorHAnsi"/>
              </w:rPr>
              <w:t>4</w:t>
            </w:r>
            <w:r w:rsidRPr="005A4F3D">
              <w:rPr>
                <w:rFonts w:cstheme="minorHAnsi"/>
              </w:rPr>
              <w:t>: Comparison of VAT thresholds</w:t>
            </w:r>
            <w:bookmarkEnd w:id="44"/>
          </w:p>
          <w:p w14:paraId="18EF025C" w14:textId="31D48965" w:rsidR="00DF1AF1" w:rsidRDefault="00DF1AF1" w:rsidP="008E57DE">
            <w:pPr>
              <w:pStyle w:val="ListParagraph"/>
              <w:ind w:left="0" w:right="383" w:firstLine="0"/>
              <w:contextualSpacing w:val="0"/>
              <w:jc w:val="both"/>
              <w:rPr>
                <w:color w:val="000000" w:themeColor="text1"/>
              </w:rPr>
            </w:pPr>
          </w:p>
        </w:tc>
        <w:tc>
          <w:tcPr>
            <w:tcW w:w="4665" w:type="dxa"/>
          </w:tcPr>
          <w:p w14:paraId="243A376D" w14:textId="1637CFF9" w:rsidR="00DF1AF1" w:rsidRDefault="00A573B9" w:rsidP="0008418F">
            <w:pPr>
              <w:pStyle w:val="Caption"/>
              <w:jc w:val="left"/>
              <w:rPr>
                <w:color w:val="000000" w:themeColor="text1"/>
              </w:rPr>
            </w:pPr>
            <w:bookmarkStart w:id="45" w:name="_Toc177593063"/>
            <w:r w:rsidRPr="005A4F3D">
              <w:rPr>
                <w:rFonts w:cstheme="minorHAnsi"/>
              </w:rPr>
              <w:t xml:space="preserve">Figure </w:t>
            </w:r>
            <w:r>
              <w:rPr>
                <w:rFonts w:cstheme="minorHAnsi"/>
              </w:rPr>
              <w:t>4.</w:t>
            </w:r>
            <w:r w:rsidR="006127BC">
              <w:fldChar w:fldCharType="begin"/>
            </w:r>
            <w:r w:rsidR="006127BC">
              <w:instrText xml:space="preserve"> SEQ Figure \* ARABIC \s 1 </w:instrText>
            </w:r>
            <w:r w:rsidR="006127BC">
              <w:fldChar w:fldCharType="separate"/>
            </w:r>
            <w:r w:rsidR="006127BC">
              <w:rPr>
                <w:noProof/>
              </w:rPr>
              <w:t>5</w:t>
            </w:r>
            <w:r w:rsidR="006127BC">
              <w:fldChar w:fldCharType="end"/>
            </w:r>
            <w:r w:rsidRPr="005A4F3D">
              <w:rPr>
                <w:rFonts w:cstheme="minorHAnsi"/>
              </w:rPr>
              <w:t xml:space="preserve">: </w:t>
            </w:r>
            <w:r w:rsidR="00FF4272">
              <w:rPr>
                <w:rFonts w:cstheme="minorHAnsi"/>
              </w:rPr>
              <w:t>Estimated excess firms bunching at VAT threshold</w:t>
            </w:r>
            <w:bookmarkEnd w:id="45"/>
          </w:p>
        </w:tc>
      </w:tr>
      <w:tr w:rsidR="00DF1AF1" w14:paraId="2E178E0E" w14:textId="77777777" w:rsidTr="0008418F">
        <w:trPr>
          <w:trHeight w:val="3563"/>
        </w:trPr>
        <w:tc>
          <w:tcPr>
            <w:tcW w:w="4351" w:type="dxa"/>
          </w:tcPr>
          <w:p w14:paraId="39985AB2" w14:textId="1F9CB8E5" w:rsidR="00DF1AF1" w:rsidRDefault="002800A7" w:rsidP="00DF1AF1">
            <w:pPr>
              <w:pStyle w:val="ListParagraph"/>
              <w:spacing w:before="120"/>
              <w:ind w:left="0" w:firstLine="0"/>
              <w:contextualSpacing w:val="0"/>
              <w:jc w:val="both"/>
              <w:rPr>
                <w:color w:val="000000" w:themeColor="text1"/>
              </w:rPr>
            </w:pPr>
            <w:r>
              <w:rPr>
                <w:noProof/>
              </w:rPr>
              <w:drawing>
                <wp:inline distT="0" distB="0" distL="0" distR="0" wp14:anchorId="0088C435" wp14:editId="4D996702">
                  <wp:extent cx="2762250" cy="2381250"/>
                  <wp:effectExtent l="0" t="0" r="0" b="0"/>
                  <wp:docPr id="367164161" name="Chart 1">
                    <a:extLst xmlns:a="http://schemas.openxmlformats.org/drawingml/2006/main">
                      <a:ext uri="{FF2B5EF4-FFF2-40B4-BE49-F238E27FC236}">
                        <a16:creationId xmlns:a16="http://schemas.microsoft.com/office/drawing/2014/main" id="{5F9FD808-FC74-E9DD-55E7-ADB14FDC73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4665" w:type="dxa"/>
          </w:tcPr>
          <w:p w14:paraId="24DC2F84" w14:textId="13F6BCF5" w:rsidR="00DF1AF1" w:rsidRDefault="00BB0DAC" w:rsidP="00DF1AF1">
            <w:pPr>
              <w:pStyle w:val="ListParagraph"/>
              <w:spacing w:before="120"/>
              <w:ind w:left="0" w:firstLine="0"/>
              <w:contextualSpacing w:val="0"/>
              <w:jc w:val="both"/>
              <w:rPr>
                <w:color w:val="000000" w:themeColor="text1"/>
              </w:rPr>
            </w:pPr>
            <w:r w:rsidRPr="00BB0DAC">
              <w:rPr>
                <w:noProof/>
                <w:color w:val="000000" w:themeColor="text1"/>
              </w:rPr>
              <w:drawing>
                <wp:inline distT="0" distB="0" distL="0" distR="0" wp14:anchorId="7BBBD067" wp14:editId="44004219">
                  <wp:extent cx="2825749" cy="2019300"/>
                  <wp:effectExtent l="0" t="0" r="0" b="0"/>
                  <wp:docPr id="957308032" name="Picture 957308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831609" cy="2023488"/>
                          </a:xfrm>
                          <a:prstGeom prst="rect">
                            <a:avLst/>
                          </a:prstGeom>
                        </pic:spPr>
                      </pic:pic>
                    </a:graphicData>
                  </a:graphic>
                </wp:inline>
              </w:drawing>
            </w:r>
          </w:p>
        </w:tc>
      </w:tr>
      <w:tr w:rsidR="00DF1AF1" w:rsidRPr="0065224E" w14:paraId="201562BD" w14:textId="77777777" w:rsidTr="0008418F">
        <w:tc>
          <w:tcPr>
            <w:tcW w:w="4351" w:type="dxa"/>
          </w:tcPr>
          <w:p w14:paraId="58B18447" w14:textId="71467762" w:rsidR="002041C7" w:rsidRPr="0065224E" w:rsidRDefault="00DF1AF1" w:rsidP="000629F3">
            <w:pPr>
              <w:pStyle w:val="ListParagraph"/>
              <w:ind w:left="0" w:firstLine="0"/>
              <w:contextualSpacing w:val="0"/>
              <w:jc w:val="both"/>
              <w:rPr>
                <w:rFonts w:cstheme="minorHAnsi"/>
                <w:sz w:val="18"/>
                <w:szCs w:val="18"/>
              </w:rPr>
            </w:pPr>
            <w:r w:rsidRPr="0008418F">
              <w:rPr>
                <w:rFonts w:cstheme="minorHAnsi"/>
                <w:i/>
                <w:iCs/>
                <w:sz w:val="18"/>
                <w:szCs w:val="18"/>
              </w:rPr>
              <w:t>Source</w:t>
            </w:r>
            <w:r w:rsidRPr="0065224E">
              <w:rPr>
                <w:rFonts w:cstheme="minorHAnsi"/>
                <w:sz w:val="18"/>
                <w:szCs w:val="18"/>
              </w:rPr>
              <w:t xml:space="preserve">: </w:t>
            </w:r>
            <w:r w:rsidR="001503D3" w:rsidRPr="0065224E">
              <w:rPr>
                <w:sz w:val="18"/>
                <w:szCs w:val="18"/>
              </w:rPr>
              <w:t xml:space="preserve">IMF Tax Policy Assessment Framework (TPAF), </w:t>
            </w:r>
            <w:r w:rsidRPr="0065224E">
              <w:rPr>
                <w:rFonts w:cstheme="minorHAnsi"/>
                <w:sz w:val="18"/>
                <w:szCs w:val="18"/>
              </w:rPr>
              <w:t>World Bank staff calculation</w:t>
            </w:r>
            <w:r w:rsidR="001503D3" w:rsidRPr="0065224E">
              <w:rPr>
                <w:rFonts w:cstheme="minorHAnsi"/>
                <w:sz w:val="18"/>
                <w:szCs w:val="18"/>
              </w:rPr>
              <w:t>s</w:t>
            </w:r>
            <w:r w:rsidR="00E03431">
              <w:rPr>
                <w:rFonts w:cstheme="minorHAnsi"/>
                <w:sz w:val="18"/>
                <w:szCs w:val="18"/>
              </w:rPr>
              <w:t>.</w:t>
            </w:r>
          </w:p>
        </w:tc>
        <w:tc>
          <w:tcPr>
            <w:tcW w:w="4665" w:type="dxa"/>
          </w:tcPr>
          <w:p w14:paraId="2D2C85CA" w14:textId="375EEFC0" w:rsidR="00DF1AF1" w:rsidRPr="0065224E" w:rsidRDefault="00353D16" w:rsidP="0008418F">
            <w:pPr>
              <w:pStyle w:val="ListParagraph"/>
              <w:keepNext/>
              <w:ind w:left="0" w:firstLine="0"/>
              <w:contextualSpacing w:val="0"/>
              <w:jc w:val="both"/>
              <w:rPr>
                <w:color w:val="000000" w:themeColor="text1"/>
                <w:sz w:val="18"/>
                <w:szCs w:val="18"/>
              </w:rPr>
            </w:pPr>
            <w:r w:rsidRPr="0008418F">
              <w:rPr>
                <w:rFonts w:cstheme="minorHAnsi"/>
                <w:i/>
                <w:iCs/>
                <w:sz w:val="18"/>
                <w:szCs w:val="18"/>
              </w:rPr>
              <w:t>Source</w:t>
            </w:r>
            <w:r w:rsidRPr="0065224E">
              <w:rPr>
                <w:rFonts w:cstheme="minorHAnsi"/>
                <w:sz w:val="18"/>
                <w:szCs w:val="18"/>
              </w:rPr>
              <w:t xml:space="preserve">: </w:t>
            </w:r>
            <w:proofErr w:type="spellStart"/>
            <w:r w:rsidRPr="0065224E">
              <w:rPr>
                <w:rFonts w:cstheme="minorHAnsi"/>
                <w:sz w:val="18"/>
                <w:szCs w:val="18"/>
              </w:rPr>
              <w:t>Saputro</w:t>
            </w:r>
            <w:proofErr w:type="spellEnd"/>
            <w:r w:rsidR="008C4A30" w:rsidRPr="0065224E">
              <w:rPr>
                <w:rFonts w:cstheme="minorHAnsi"/>
                <w:sz w:val="18"/>
                <w:szCs w:val="18"/>
              </w:rPr>
              <w:t xml:space="preserve"> </w:t>
            </w:r>
            <w:r w:rsidR="00E03431">
              <w:rPr>
                <w:rFonts w:cstheme="minorHAnsi"/>
                <w:sz w:val="18"/>
                <w:szCs w:val="18"/>
              </w:rPr>
              <w:t>(</w:t>
            </w:r>
            <w:r w:rsidR="008C4A30" w:rsidRPr="0065224E">
              <w:rPr>
                <w:rFonts w:cstheme="minorHAnsi"/>
                <w:sz w:val="18"/>
                <w:szCs w:val="18"/>
              </w:rPr>
              <w:t>2020</w:t>
            </w:r>
            <w:r w:rsidR="00E03431">
              <w:rPr>
                <w:rFonts w:cstheme="minorHAnsi"/>
                <w:sz w:val="18"/>
                <w:szCs w:val="18"/>
              </w:rPr>
              <w:t>).</w:t>
            </w:r>
          </w:p>
        </w:tc>
      </w:tr>
      <w:tr w:rsidR="00E77B51" w:rsidRPr="0065224E" w14:paraId="2607EB4F" w14:textId="77777777" w:rsidTr="002800A7">
        <w:tc>
          <w:tcPr>
            <w:tcW w:w="4351" w:type="dxa"/>
          </w:tcPr>
          <w:p w14:paraId="5EAAE514" w14:textId="77777777" w:rsidR="00E77B51" w:rsidRPr="00E77B51" w:rsidRDefault="00E77B51" w:rsidP="000629F3">
            <w:pPr>
              <w:pStyle w:val="ListParagraph"/>
              <w:ind w:left="0" w:firstLine="0"/>
              <w:contextualSpacing w:val="0"/>
              <w:jc w:val="both"/>
              <w:rPr>
                <w:rFonts w:cstheme="minorHAnsi"/>
                <w:i/>
                <w:iCs/>
                <w:sz w:val="18"/>
                <w:szCs w:val="18"/>
              </w:rPr>
            </w:pPr>
          </w:p>
        </w:tc>
        <w:tc>
          <w:tcPr>
            <w:tcW w:w="4665" w:type="dxa"/>
          </w:tcPr>
          <w:p w14:paraId="5D2315CB" w14:textId="77777777" w:rsidR="00E77B51" w:rsidRPr="00E77B51" w:rsidRDefault="00E77B51">
            <w:pPr>
              <w:pStyle w:val="ListParagraph"/>
              <w:keepNext/>
              <w:ind w:left="0" w:firstLine="0"/>
              <w:contextualSpacing w:val="0"/>
              <w:jc w:val="both"/>
              <w:rPr>
                <w:rFonts w:cstheme="minorHAnsi"/>
                <w:i/>
                <w:iCs/>
                <w:sz w:val="18"/>
                <w:szCs w:val="18"/>
              </w:rPr>
            </w:pPr>
          </w:p>
        </w:tc>
      </w:tr>
    </w:tbl>
    <w:p w14:paraId="48568055" w14:textId="4DC22BF3" w:rsidR="003B469F" w:rsidRPr="00BE74E2" w:rsidRDefault="00D714BF" w:rsidP="0023040F">
      <w:pPr>
        <w:pStyle w:val="ListParagraph"/>
        <w:numPr>
          <w:ilvl w:val="0"/>
          <w:numId w:val="12"/>
        </w:numPr>
        <w:ind w:left="0" w:firstLine="0"/>
        <w:jc w:val="both"/>
        <w:rPr>
          <w:b/>
          <w:color w:val="000000" w:themeColor="text1"/>
        </w:rPr>
      </w:pPr>
      <w:r w:rsidRPr="0023040F">
        <w:rPr>
          <w:b/>
          <w:bCs/>
          <w:color w:val="000000" w:themeColor="text1"/>
        </w:rPr>
        <w:t>Lowering the VAT registration threshold</w:t>
      </w:r>
      <w:r w:rsidR="00110D24" w:rsidRPr="009874ED">
        <w:rPr>
          <w:b/>
          <w:bCs/>
          <w:color w:val="000000" w:themeColor="text1"/>
        </w:rPr>
        <w:t xml:space="preserve"> to R</w:t>
      </w:r>
      <w:r w:rsidR="0004266E">
        <w:rPr>
          <w:b/>
          <w:bCs/>
          <w:color w:val="000000" w:themeColor="text1"/>
        </w:rPr>
        <w:t>p</w:t>
      </w:r>
      <w:r w:rsidR="00C5164A" w:rsidRPr="009874ED">
        <w:rPr>
          <w:b/>
          <w:bCs/>
          <w:color w:val="000000" w:themeColor="text1"/>
        </w:rPr>
        <w:t xml:space="preserve"> </w:t>
      </w:r>
      <w:r w:rsidR="0092182B">
        <w:rPr>
          <w:b/>
          <w:bCs/>
          <w:color w:val="000000" w:themeColor="text1"/>
        </w:rPr>
        <w:t>500</w:t>
      </w:r>
      <w:r w:rsidR="00C5164A" w:rsidRPr="009874ED">
        <w:rPr>
          <w:b/>
          <w:bCs/>
          <w:color w:val="000000" w:themeColor="text1"/>
        </w:rPr>
        <w:t xml:space="preserve"> </w:t>
      </w:r>
      <w:r w:rsidR="0092182B">
        <w:rPr>
          <w:b/>
          <w:bCs/>
          <w:color w:val="000000" w:themeColor="text1"/>
        </w:rPr>
        <w:t>m</w:t>
      </w:r>
      <w:r w:rsidR="00C5164A" w:rsidRPr="009874ED">
        <w:rPr>
          <w:b/>
          <w:bCs/>
          <w:color w:val="000000" w:themeColor="text1"/>
        </w:rPr>
        <w:t>illion will</w:t>
      </w:r>
      <w:r w:rsidR="00EE1635" w:rsidRPr="009874ED">
        <w:rPr>
          <w:b/>
          <w:bCs/>
          <w:color w:val="000000" w:themeColor="text1"/>
        </w:rPr>
        <w:t xml:space="preserve"> limit the unintended distortionary effects.</w:t>
      </w:r>
      <w:r w:rsidR="00C5164A" w:rsidRPr="009874ED">
        <w:rPr>
          <w:b/>
          <w:bCs/>
          <w:color w:val="000000" w:themeColor="text1"/>
        </w:rPr>
        <w:t xml:space="preserve"> </w:t>
      </w:r>
      <w:r w:rsidR="009874ED" w:rsidRPr="0023040F">
        <w:rPr>
          <w:color w:val="000000" w:themeColor="text1"/>
        </w:rPr>
        <w:t xml:space="preserve">An exceptionally high VAT threshold does not only introduce a distortionary bunching effect but also significantly narrows the tax base and distorts the VAT credit chain since almost no small firms </w:t>
      </w:r>
      <w:r w:rsidR="005A4C57">
        <w:rPr>
          <w:color w:val="000000" w:themeColor="text1"/>
        </w:rPr>
        <w:t xml:space="preserve">are </w:t>
      </w:r>
      <w:r w:rsidR="009874ED" w:rsidRPr="0023040F">
        <w:rPr>
          <w:color w:val="000000" w:themeColor="text1"/>
        </w:rPr>
        <w:t>registered inside the tax system (Figure 4.</w:t>
      </w:r>
      <w:r w:rsidR="000F1DC0">
        <w:rPr>
          <w:color w:val="000000" w:themeColor="text1"/>
        </w:rPr>
        <w:t>6</w:t>
      </w:r>
      <w:r w:rsidR="009874ED" w:rsidRPr="0023040F">
        <w:rPr>
          <w:color w:val="000000" w:themeColor="text1"/>
        </w:rPr>
        <w:t xml:space="preserve">). </w:t>
      </w:r>
      <w:r w:rsidR="00E62237">
        <w:rPr>
          <w:color w:val="000000" w:themeColor="text1"/>
        </w:rPr>
        <w:t xml:space="preserve">The </w:t>
      </w:r>
      <w:r w:rsidR="00A13AC4">
        <w:rPr>
          <w:color w:val="000000" w:themeColor="text1"/>
        </w:rPr>
        <w:t xml:space="preserve">World Bank’s </w:t>
      </w:r>
      <w:r w:rsidR="009874ED" w:rsidRPr="0023040F">
        <w:rPr>
          <w:color w:val="000000" w:themeColor="text1"/>
        </w:rPr>
        <w:t>W</w:t>
      </w:r>
      <w:r w:rsidR="001D5388">
        <w:rPr>
          <w:color w:val="000000" w:themeColor="text1"/>
        </w:rPr>
        <w:t>orker</w:t>
      </w:r>
      <w:r w:rsidR="00A13AC4">
        <w:rPr>
          <w:color w:val="000000" w:themeColor="text1"/>
        </w:rPr>
        <w:t xml:space="preserve"> and Household Enterprise Survey</w:t>
      </w:r>
      <w:r w:rsidR="00E62237">
        <w:rPr>
          <w:color w:val="000000" w:themeColor="text1"/>
        </w:rPr>
        <w:t xml:space="preserve"> (</w:t>
      </w:r>
      <w:r w:rsidR="00752713">
        <w:rPr>
          <w:color w:val="000000" w:themeColor="text1"/>
        </w:rPr>
        <w:t xml:space="preserve">WHES, </w:t>
      </w:r>
      <w:r w:rsidR="00E62237">
        <w:rPr>
          <w:color w:val="000000" w:themeColor="text1"/>
        </w:rPr>
        <w:t>2023</w:t>
      </w:r>
      <w:r w:rsidR="009874ED" w:rsidRPr="0023040F">
        <w:rPr>
          <w:color w:val="000000" w:themeColor="text1"/>
        </w:rPr>
        <w:t>)</w:t>
      </w:r>
      <w:r w:rsidR="00752713">
        <w:rPr>
          <w:rStyle w:val="FootnoteReference"/>
          <w:color w:val="000000" w:themeColor="text1"/>
        </w:rPr>
        <w:footnoteReference w:id="90"/>
      </w:r>
      <w:r w:rsidR="009874ED" w:rsidRPr="0023040F">
        <w:rPr>
          <w:color w:val="000000" w:themeColor="text1"/>
        </w:rPr>
        <w:t xml:space="preserve"> reveal</w:t>
      </w:r>
      <w:r w:rsidR="00E62237">
        <w:rPr>
          <w:color w:val="000000" w:themeColor="text1"/>
        </w:rPr>
        <w:t>ed</w:t>
      </w:r>
      <w:r w:rsidR="009874ED" w:rsidRPr="0023040F">
        <w:rPr>
          <w:color w:val="000000" w:themeColor="text1"/>
        </w:rPr>
        <w:t xml:space="preserve"> that only 0.3 percent of small firms are currently paying VAT, as firm size distribution in Indonesia is heavily skewed toward micro and small firms. Lowering the threshold to R</w:t>
      </w:r>
      <w:r w:rsidR="0004266E">
        <w:rPr>
          <w:color w:val="000000" w:themeColor="text1"/>
        </w:rPr>
        <w:t>p</w:t>
      </w:r>
      <w:r w:rsidR="009874ED" w:rsidRPr="0023040F">
        <w:rPr>
          <w:color w:val="000000" w:themeColor="text1"/>
        </w:rPr>
        <w:t xml:space="preserve"> </w:t>
      </w:r>
      <w:r w:rsidR="005A4C57">
        <w:rPr>
          <w:color w:val="000000" w:themeColor="text1"/>
        </w:rPr>
        <w:t>500</w:t>
      </w:r>
      <w:r w:rsidR="009874ED" w:rsidRPr="0023040F">
        <w:rPr>
          <w:color w:val="000000" w:themeColor="text1"/>
        </w:rPr>
        <w:t xml:space="preserve"> </w:t>
      </w:r>
      <w:r w:rsidR="005A4C57">
        <w:rPr>
          <w:color w:val="000000" w:themeColor="text1"/>
        </w:rPr>
        <w:t>m</w:t>
      </w:r>
      <w:r w:rsidR="009874ED" w:rsidRPr="0023040F">
        <w:rPr>
          <w:color w:val="000000" w:themeColor="text1"/>
        </w:rPr>
        <w:t>illion is deemed appropriate</w:t>
      </w:r>
      <w:r w:rsidR="00FE7F48">
        <w:rPr>
          <w:color w:val="000000" w:themeColor="text1"/>
        </w:rPr>
        <w:t>, with an estimated 46.9 percent of firms still outside the tax system. Choosing the threshold is a balancing act between maximizing the tax base a</w:t>
      </w:r>
      <w:r w:rsidR="009E1044">
        <w:rPr>
          <w:color w:val="000000" w:themeColor="text1"/>
        </w:rPr>
        <w:t>nd</w:t>
      </w:r>
      <w:r w:rsidR="00FE7F48">
        <w:rPr>
          <w:color w:val="000000" w:themeColor="text1"/>
        </w:rPr>
        <w:t xml:space="preserve"> the tax administration</w:t>
      </w:r>
      <w:r w:rsidR="009E1044">
        <w:rPr>
          <w:color w:val="000000" w:themeColor="text1"/>
        </w:rPr>
        <w:t>’s</w:t>
      </w:r>
      <w:r w:rsidR="00FE7F48">
        <w:rPr>
          <w:color w:val="000000" w:themeColor="text1"/>
        </w:rPr>
        <w:t xml:space="preserve"> capacity to enforce.</w:t>
      </w:r>
      <w:r w:rsidR="00543F6F">
        <w:rPr>
          <w:color w:val="000000" w:themeColor="text1"/>
        </w:rPr>
        <w:t xml:space="preserve"> </w:t>
      </w:r>
      <w:r w:rsidR="00FE7F48">
        <w:rPr>
          <w:color w:val="000000" w:themeColor="text1"/>
        </w:rPr>
        <w:t>T</w:t>
      </w:r>
      <w:r w:rsidR="009874ED" w:rsidRPr="0023040F">
        <w:rPr>
          <w:color w:val="000000" w:themeColor="text1"/>
        </w:rPr>
        <w:t>he capacity of tax administration has developed since 2014</w:t>
      </w:r>
      <w:r w:rsidR="009E1044">
        <w:rPr>
          <w:rFonts w:cstheme="minorHAnsi"/>
          <w:color w:val="000000" w:themeColor="text1"/>
        </w:rPr>
        <w:t>–</w:t>
      </w:r>
      <w:r w:rsidR="009874ED" w:rsidRPr="0023040F">
        <w:rPr>
          <w:color w:val="000000" w:themeColor="text1"/>
        </w:rPr>
        <w:t>includ</w:t>
      </w:r>
      <w:r w:rsidR="009E1044">
        <w:rPr>
          <w:color w:val="000000" w:themeColor="text1"/>
        </w:rPr>
        <w:t>ing</w:t>
      </w:r>
      <w:r w:rsidR="009874ED" w:rsidRPr="0023040F">
        <w:rPr>
          <w:color w:val="000000" w:themeColor="text1"/>
        </w:rPr>
        <w:t xml:space="preserve"> the introduction of electronic invoicing in 2015 (e-invoicing will be discussed in the next section), and the </w:t>
      </w:r>
      <w:r w:rsidR="00FE7F48">
        <w:rPr>
          <w:color w:val="000000" w:themeColor="text1"/>
        </w:rPr>
        <w:t>planned</w:t>
      </w:r>
      <w:r w:rsidR="009874ED" w:rsidRPr="00FD2723">
        <w:rPr>
          <w:color w:val="000000" w:themeColor="text1"/>
        </w:rPr>
        <w:t xml:space="preserve"> core tax administration system </w:t>
      </w:r>
      <w:proofErr w:type="gramStart"/>
      <w:r w:rsidR="009874ED" w:rsidRPr="00FD2723">
        <w:rPr>
          <w:color w:val="000000" w:themeColor="text1"/>
        </w:rPr>
        <w:t>in the near future</w:t>
      </w:r>
      <w:proofErr w:type="gramEnd"/>
      <w:r w:rsidR="009874ED" w:rsidRPr="00FD2723">
        <w:rPr>
          <w:color w:val="000000" w:themeColor="text1"/>
        </w:rPr>
        <w:t xml:space="preserve">. </w:t>
      </w:r>
    </w:p>
    <w:p w14:paraId="328AFAFD" w14:textId="2552559A" w:rsidR="00DB5DC4" w:rsidRDefault="00DB5DC4">
      <w:pPr>
        <w:rPr>
          <w:b/>
          <w:color w:val="000000" w:themeColor="text1"/>
        </w:rPr>
      </w:pPr>
      <w:r>
        <w:rPr>
          <w:b/>
          <w:color w:val="000000" w:themeColor="text1"/>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1"/>
      </w:tblGrid>
      <w:tr w:rsidR="00457BB0" w14:paraId="2C58EEC6" w14:textId="77777777" w:rsidTr="00457BB0">
        <w:trPr>
          <w:jc w:val="center"/>
        </w:trPr>
        <w:tc>
          <w:tcPr>
            <w:tcW w:w="6835" w:type="dxa"/>
          </w:tcPr>
          <w:p w14:paraId="52082651" w14:textId="34328618" w:rsidR="00DB5DC4" w:rsidRPr="006B61C2" w:rsidRDefault="00DB5DC4" w:rsidP="0008418F">
            <w:pPr>
              <w:pStyle w:val="Caption"/>
              <w:jc w:val="left"/>
              <w:rPr>
                <w:rFonts w:cstheme="minorHAnsi"/>
              </w:rPr>
            </w:pPr>
            <w:bookmarkStart w:id="46" w:name="_Toc177593064"/>
            <w:r w:rsidRPr="005A4F3D">
              <w:rPr>
                <w:rFonts w:cstheme="minorHAnsi"/>
              </w:rPr>
              <w:lastRenderedPageBreak/>
              <w:t xml:space="preserve">Figure </w:t>
            </w:r>
            <w:r>
              <w:rPr>
                <w:rFonts w:cstheme="minorHAnsi"/>
              </w:rPr>
              <w:t>4.</w:t>
            </w:r>
            <w:r w:rsidR="006127BC">
              <w:fldChar w:fldCharType="begin"/>
            </w:r>
            <w:r w:rsidR="006127BC">
              <w:instrText xml:space="preserve"> SEQ Figure \* ARABIC \s 1 </w:instrText>
            </w:r>
            <w:r w:rsidR="006127BC">
              <w:fldChar w:fldCharType="separate"/>
            </w:r>
            <w:r w:rsidR="006127BC">
              <w:rPr>
                <w:noProof/>
              </w:rPr>
              <w:t>6</w:t>
            </w:r>
            <w:r w:rsidR="006127BC">
              <w:fldChar w:fldCharType="end"/>
            </w:r>
            <w:r w:rsidRPr="005A4F3D">
              <w:rPr>
                <w:rFonts w:cstheme="minorHAnsi"/>
              </w:rPr>
              <w:t xml:space="preserve">: </w:t>
            </w:r>
            <w:r>
              <w:rPr>
                <w:rFonts w:cstheme="minorHAnsi"/>
              </w:rPr>
              <w:t xml:space="preserve">Firm distribution </w:t>
            </w:r>
            <w:proofErr w:type="gramStart"/>
            <w:r>
              <w:rPr>
                <w:rFonts w:cstheme="minorHAnsi"/>
              </w:rPr>
              <w:t>vis-à-vis</w:t>
            </w:r>
            <w:proofErr w:type="gramEnd"/>
            <w:r>
              <w:rPr>
                <w:rFonts w:cstheme="minorHAnsi"/>
              </w:rPr>
              <w:t xml:space="preserve"> the VAT threshold</w:t>
            </w:r>
            <w:bookmarkEnd w:id="46"/>
          </w:p>
          <w:p w14:paraId="47FC125A" w14:textId="114F1A7E" w:rsidR="00DB5DC4" w:rsidRDefault="00DB5DC4" w:rsidP="00DB5DC4">
            <w:pPr>
              <w:ind w:left="0" w:firstLine="0"/>
              <w:jc w:val="both"/>
              <w:rPr>
                <w:b/>
                <w:color w:val="000000" w:themeColor="text1"/>
              </w:rPr>
            </w:pPr>
            <w:r w:rsidRPr="005A4F3D">
              <w:rPr>
                <w:rFonts w:cstheme="minorHAnsi"/>
                <w:i/>
                <w:sz w:val="18"/>
                <w:szCs w:val="18"/>
              </w:rPr>
              <w:t>(</w:t>
            </w:r>
            <w:r>
              <w:rPr>
                <w:rFonts w:cstheme="minorHAnsi"/>
                <w:i/>
                <w:sz w:val="18"/>
                <w:szCs w:val="18"/>
              </w:rPr>
              <w:t>Y axis: percentage of firms in the survey; X axis: firm’s annual revenue, in million</w:t>
            </w:r>
            <w:r w:rsidR="005A4C57">
              <w:rPr>
                <w:rFonts w:cstheme="minorHAnsi"/>
                <w:i/>
                <w:sz w:val="18"/>
                <w:szCs w:val="18"/>
              </w:rPr>
              <w:t>s of</w:t>
            </w:r>
            <w:r>
              <w:rPr>
                <w:rFonts w:cstheme="minorHAnsi"/>
                <w:i/>
                <w:sz w:val="18"/>
                <w:szCs w:val="18"/>
              </w:rPr>
              <w:t xml:space="preserve"> R</w:t>
            </w:r>
            <w:r w:rsidR="0004266E">
              <w:rPr>
                <w:rFonts w:cstheme="minorHAnsi"/>
                <w:i/>
                <w:sz w:val="18"/>
                <w:szCs w:val="18"/>
              </w:rPr>
              <w:t>p</w:t>
            </w:r>
            <w:r w:rsidRPr="005A4F3D">
              <w:rPr>
                <w:rFonts w:cstheme="minorHAnsi"/>
                <w:i/>
                <w:sz w:val="18"/>
                <w:szCs w:val="18"/>
              </w:rPr>
              <w:t>)</w:t>
            </w:r>
          </w:p>
        </w:tc>
      </w:tr>
      <w:tr w:rsidR="00457BB0" w14:paraId="50DB94AA" w14:textId="77777777" w:rsidTr="00457BB0">
        <w:trPr>
          <w:jc w:val="center"/>
        </w:trPr>
        <w:tc>
          <w:tcPr>
            <w:tcW w:w="6835" w:type="dxa"/>
          </w:tcPr>
          <w:p w14:paraId="6ACCE0DE" w14:textId="09BD3B6A" w:rsidR="00DB5DC4" w:rsidRDefault="00457BB0" w:rsidP="00EA1A10">
            <w:pPr>
              <w:ind w:left="0" w:firstLine="0"/>
              <w:rPr>
                <w:b/>
                <w:color w:val="000000" w:themeColor="text1"/>
              </w:rPr>
            </w:pPr>
            <w:r>
              <w:rPr>
                <w:noProof/>
              </w:rPr>
              <w:drawing>
                <wp:inline distT="0" distB="0" distL="0" distR="0" wp14:anchorId="41863AB1" wp14:editId="200B7E1B">
                  <wp:extent cx="4371975" cy="3179619"/>
                  <wp:effectExtent l="0" t="0" r="0" b="1905"/>
                  <wp:docPr id="1798325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03373" cy="3202454"/>
                          </a:xfrm>
                          <a:prstGeom prst="rect">
                            <a:avLst/>
                          </a:prstGeom>
                          <a:noFill/>
                          <a:ln>
                            <a:noFill/>
                          </a:ln>
                        </pic:spPr>
                      </pic:pic>
                    </a:graphicData>
                  </a:graphic>
                </wp:inline>
              </w:drawing>
            </w:r>
          </w:p>
        </w:tc>
      </w:tr>
      <w:tr w:rsidR="00457BB0" w14:paraId="303D7587" w14:textId="77777777" w:rsidTr="00457BB0">
        <w:trPr>
          <w:jc w:val="center"/>
        </w:trPr>
        <w:tc>
          <w:tcPr>
            <w:tcW w:w="6835" w:type="dxa"/>
          </w:tcPr>
          <w:p w14:paraId="12E32CE1" w14:textId="77334A2D" w:rsidR="00DB5DC4" w:rsidRDefault="00D07B0C" w:rsidP="0008418F">
            <w:pPr>
              <w:keepNext/>
              <w:ind w:left="0" w:firstLine="0"/>
              <w:jc w:val="both"/>
              <w:rPr>
                <w:b/>
                <w:color w:val="000000" w:themeColor="text1"/>
              </w:rPr>
            </w:pPr>
            <w:r w:rsidRPr="0008418F">
              <w:rPr>
                <w:rFonts w:cstheme="minorHAnsi"/>
                <w:i/>
                <w:iCs/>
                <w:sz w:val="18"/>
                <w:szCs w:val="18"/>
              </w:rPr>
              <w:t>Source</w:t>
            </w:r>
            <w:r w:rsidRPr="005A4F3D">
              <w:rPr>
                <w:rFonts w:cstheme="minorHAnsi"/>
                <w:sz w:val="18"/>
                <w:szCs w:val="18"/>
              </w:rPr>
              <w:t xml:space="preserve">: </w:t>
            </w:r>
            <w:r>
              <w:rPr>
                <w:rFonts w:cstheme="minorHAnsi"/>
                <w:sz w:val="18"/>
                <w:szCs w:val="18"/>
              </w:rPr>
              <w:t>W</w:t>
            </w:r>
            <w:r w:rsidR="0077067D">
              <w:rPr>
                <w:rFonts w:cstheme="minorHAnsi"/>
                <w:sz w:val="18"/>
                <w:szCs w:val="18"/>
              </w:rPr>
              <w:t>H</w:t>
            </w:r>
            <w:r>
              <w:rPr>
                <w:rFonts w:cstheme="minorHAnsi"/>
                <w:sz w:val="18"/>
                <w:szCs w:val="18"/>
              </w:rPr>
              <w:t xml:space="preserve">ES </w:t>
            </w:r>
            <w:r w:rsidR="00E62237">
              <w:rPr>
                <w:rFonts w:cstheme="minorHAnsi"/>
                <w:sz w:val="18"/>
                <w:szCs w:val="18"/>
              </w:rPr>
              <w:t>(</w:t>
            </w:r>
            <w:r>
              <w:rPr>
                <w:rFonts w:cstheme="minorHAnsi"/>
                <w:sz w:val="18"/>
                <w:szCs w:val="18"/>
              </w:rPr>
              <w:t>2023) and World Bank staff calculation</w:t>
            </w:r>
            <w:r w:rsidR="00E03431">
              <w:rPr>
                <w:rFonts w:cstheme="minorHAnsi"/>
                <w:sz w:val="18"/>
                <w:szCs w:val="18"/>
              </w:rPr>
              <w:t>.</w:t>
            </w:r>
          </w:p>
        </w:tc>
      </w:tr>
    </w:tbl>
    <w:p w14:paraId="36FE2D86" w14:textId="15B24B3F" w:rsidR="00794691" w:rsidRPr="00794691" w:rsidRDefault="009232A4" w:rsidP="008746FC">
      <w:pPr>
        <w:pStyle w:val="ListParagraph"/>
        <w:numPr>
          <w:ilvl w:val="0"/>
          <w:numId w:val="12"/>
        </w:numPr>
        <w:spacing w:before="120"/>
        <w:ind w:left="0" w:firstLine="0"/>
        <w:contextualSpacing w:val="0"/>
        <w:jc w:val="both"/>
        <w:rPr>
          <w:color w:val="000000" w:themeColor="text1"/>
        </w:rPr>
      </w:pPr>
      <w:r w:rsidRPr="009232A4">
        <w:rPr>
          <w:b/>
          <w:bCs/>
          <w:color w:val="000000" w:themeColor="text1"/>
        </w:rPr>
        <w:t xml:space="preserve">Indonesia excludes or exempts broader categories of goods and services from the VAT base compared to regional peers </w:t>
      </w:r>
      <w:r w:rsidRPr="00482AB5">
        <w:rPr>
          <w:b/>
          <w:bCs/>
          <w:color w:val="000000" w:themeColor="text1"/>
        </w:rPr>
        <w:t xml:space="preserve">(Table </w:t>
      </w:r>
      <w:r w:rsidR="002747EC" w:rsidRPr="00482AB5">
        <w:rPr>
          <w:b/>
          <w:bCs/>
          <w:color w:val="000000" w:themeColor="text1"/>
        </w:rPr>
        <w:t>4.</w:t>
      </w:r>
      <w:r w:rsidR="002F3DAD" w:rsidRPr="00482AB5">
        <w:rPr>
          <w:b/>
          <w:bCs/>
          <w:color w:val="000000" w:themeColor="text1"/>
        </w:rPr>
        <w:t>3</w:t>
      </w:r>
      <w:r w:rsidRPr="00482AB5">
        <w:rPr>
          <w:b/>
          <w:bCs/>
          <w:color w:val="000000" w:themeColor="text1"/>
        </w:rPr>
        <w:t xml:space="preserve">). </w:t>
      </w:r>
      <w:r w:rsidRPr="00482AB5">
        <w:rPr>
          <w:color w:val="000000" w:themeColor="text1"/>
        </w:rPr>
        <w:t>The list of exemption</w:t>
      </w:r>
      <w:r w:rsidR="009E1044">
        <w:rPr>
          <w:color w:val="000000" w:themeColor="text1"/>
        </w:rPr>
        <w:t>s</w:t>
      </w:r>
      <w:r w:rsidRPr="00482AB5">
        <w:rPr>
          <w:color w:val="000000" w:themeColor="text1"/>
        </w:rPr>
        <w:t xml:space="preserve"> includes mining and drilling (except coal mining);</w:t>
      </w:r>
      <w:r w:rsidRPr="00482AB5">
        <w:rPr>
          <w:color w:val="000000" w:themeColor="text1"/>
          <w:vertAlign w:val="superscript"/>
        </w:rPr>
        <w:footnoteReference w:id="91"/>
      </w:r>
      <w:r w:rsidRPr="00482AB5">
        <w:rPr>
          <w:color w:val="000000" w:themeColor="text1"/>
        </w:rPr>
        <w:t xml:space="preserve"> </w:t>
      </w:r>
      <w:r w:rsidR="009671E0" w:rsidRPr="00482AB5">
        <w:rPr>
          <w:color w:val="000000" w:themeColor="text1"/>
        </w:rPr>
        <w:t xml:space="preserve">agricultural </w:t>
      </w:r>
      <w:r w:rsidR="009671E0">
        <w:rPr>
          <w:color w:val="000000" w:themeColor="text1"/>
        </w:rPr>
        <w:t>products</w:t>
      </w:r>
      <w:r w:rsidR="002A49DC">
        <w:rPr>
          <w:color w:val="000000" w:themeColor="text1"/>
        </w:rPr>
        <w:t>/</w:t>
      </w:r>
      <w:r w:rsidR="002A49DC" w:rsidRPr="009232A4">
        <w:rPr>
          <w:color w:val="000000" w:themeColor="text1"/>
        </w:rPr>
        <w:t>staple foods</w:t>
      </w:r>
      <w:r w:rsidRPr="009232A4">
        <w:rPr>
          <w:color w:val="000000" w:themeColor="text1"/>
        </w:rPr>
        <w:t xml:space="preserve"> (</w:t>
      </w:r>
      <w:r w:rsidR="009E1044">
        <w:rPr>
          <w:color w:val="000000" w:themeColor="text1"/>
        </w:rPr>
        <w:t>such as</w:t>
      </w:r>
      <w:r w:rsidRPr="009232A4">
        <w:rPr>
          <w:color w:val="000000" w:themeColor="text1"/>
        </w:rPr>
        <w:t xml:space="preserve"> rice, grain, eggs, salt); electricity (for connection below 6,600 watts); domestic public transport; health care; education; employment services; and margin-based financial services. Notably, the 2021 THL starts the inclusion of these products to the VAT system</w:t>
      </w:r>
      <w:r w:rsidR="009E1044">
        <w:rPr>
          <w:rFonts w:cstheme="minorHAnsi"/>
          <w:color w:val="000000" w:themeColor="text1"/>
        </w:rPr>
        <w:t>–</w:t>
      </w:r>
      <w:r w:rsidRPr="009232A4">
        <w:rPr>
          <w:color w:val="000000" w:themeColor="text1"/>
        </w:rPr>
        <w:t xml:space="preserve">formerly, they were categorized as “VAT nontaxable” which made them outside of the VAT system. With this change, </w:t>
      </w:r>
      <w:r w:rsidR="009E1044">
        <w:rPr>
          <w:color w:val="000000" w:themeColor="text1"/>
        </w:rPr>
        <w:t xml:space="preserve">it is now mandatory for </w:t>
      </w:r>
      <w:r w:rsidRPr="009232A4">
        <w:rPr>
          <w:color w:val="000000" w:themeColor="text1"/>
        </w:rPr>
        <w:t>businesses in these sectors to be VAT-registered</w:t>
      </w:r>
      <w:r w:rsidR="009E1044">
        <w:rPr>
          <w:rFonts w:cstheme="minorHAnsi"/>
          <w:color w:val="000000" w:themeColor="text1"/>
        </w:rPr>
        <w:t>–</w:t>
      </w:r>
      <w:r w:rsidR="009E1044">
        <w:rPr>
          <w:color w:val="000000" w:themeColor="text1"/>
        </w:rPr>
        <w:t>with</w:t>
      </w:r>
      <w:r w:rsidRPr="009232A4">
        <w:rPr>
          <w:color w:val="000000" w:themeColor="text1"/>
        </w:rPr>
        <w:t xml:space="preserve"> VAT reporting and invoicing obligations but without incurring tax liabilities and without the right to deduct input VAT. This allows DGT to gather new data and information for its audit function and policy decision. Despite this recent policy change, the scope of Indonesia’s preferential VAT treatment is more extensive than other middle-income ASEAN countries. The tax revenue foregone attributed to numerous VAT exemptions and the exclusion of small businesses is estimated to account for 1.0 percent of GDP annually between 2016-22, as published in the Tax Expenditure Reports by MoF.</w:t>
      </w:r>
    </w:p>
    <w:p w14:paraId="0BBB8171" w14:textId="080259E9" w:rsidR="00AD2FEF" w:rsidRDefault="009232A4" w:rsidP="008746FC">
      <w:pPr>
        <w:pStyle w:val="ListParagraph"/>
        <w:numPr>
          <w:ilvl w:val="0"/>
          <w:numId w:val="12"/>
        </w:numPr>
        <w:spacing w:before="120"/>
        <w:ind w:left="0" w:firstLine="0"/>
        <w:contextualSpacing w:val="0"/>
        <w:jc w:val="both"/>
        <w:rPr>
          <w:color w:val="000000" w:themeColor="text1"/>
        </w:rPr>
      </w:pPr>
      <w:r w:rsidRPr="0008418F">
        <w:rPr>
          <w:b/>
          <w:color w:val="000000" w:themeColor="text1"/>
        </w:rPr>
        <w:t>The extractive sector in Indonesia has always been VAT-exempt</w:t>
      </w:r>
      <w:r w:rsidR="00AD2FEF" w:rsidRPr="0008418F">
        <w:rPr>
          <w:rFonts w:cstheme="minorHAnsi"/>
          <w:b/>
          <w:color w:val="000000" w:themeColor="text1"/>
        </w:rPr>
        <w:t>–</w:t>
      </w:r>
      <w:r w:rsidRPr="0008418F">
        <w:rPr>
          <w:b/>
          <w:color w:val="000000" w:themeColor="text1"/>
        </w:rPr>
        <w:t>partly because of PSC</w:t>
      </w:r>
      <w:r w:rsidR="00F80721">
        <w:rPr>
          <w:b/>
          <w:color w:val="000000" w:themeColor="text1"/>
        </w:rPr>
        <w:t>s</w:t>
      </w:r>
      <w:r w:rsidRPr="0008418F">
        <w:rPr>
          <w:b/>
          <w:color w:val="000000" w:themeColor="text1"/>
        </w:rPr>
        <w:t xml:space="preserve"> in the oil and gas sectors</w:t>
      </w:r>
      <w:r w:rsidR="00AD2FEF" w:rsidRPr="0008418F">
        <w:rPr>
          <w:b/>
          <w:color w:val="000000" w:themeColor="text1"/>
        </w:rPr>
        <w:t xml:space="preserve"> and</w:t>
      </w:r>
      <w:r w:rsidRPr="0008418F">
        <w:rPr>
          <w:b/>
          <w:color w:val="000000" w:themeColor="text1"/>
        </w:rPr>
        <w:t xml:space="preserve"> contracts of work in the mining sector.</w:t>
      </w:r>
      <w:r w:rsidR="00837362" w:rsidRPr="0008418F">
        <w:rPr>
          <w:rStyle w:val="FootnoteReference"/>
          <w:b/>
          <w:color w:val="000000" w:themeColor="text1"/>
        </w:rPr>
        <w:footnoteReference w:id="92"/>
      </w:r>
      <w:r w:rsidRPr="00671367">
        <w:rPr>
          <w:color w:val="000000" w:themeColor="text1"/>
        </w:rPr>
        <w:t xml:space="preserve"> The exemption without the right to deduct granted to the mining and drilling companies generates hidden VAT</w:t>
      </w:r>
      <w:r w:rsidR="00683A3D">
        <w:rPr>
          <w:color w:val="000000" w:themeColor="text1"/>
        </w:rPr>
        <w:t>,</w:t>
      </w:r>
      <w:r w:rsidRPr="00671367">
        <w:rPr>
          <w:color w:val="000000" w:themeColor="text1"/>
        </w:rPr>
        <w:t xml:space="preserve"> </w:t>
      </w:r>
      <w:r w:rsidR="00683A3D">
        <w:rPr>
          <w:color w:val="000000" w:themeColor="text1"/>
        </w:rPr>
        <w:t>a</w:t>
      </w:r>
      <w:r w:rsidRPr="00671367">
        <w:rPr>
          <w:color w:val="000000" w:themeColor="text1"/>
        </w:rPr>
        <w:t>s it would be the case for companies producing intermediate goods</w:t>
      </w:r>
      <w:r w:rsidR="00881F12" w:rsidRPr="00671367">
        <w:rPr>
          <w:color w:val="000000" w:themeColor="text1"/>
        </w:rPr>
        <w:t>,</w:t>
      </w:r>
      <w:r w:rsidRPr="00671367">
        <w:rPr>
          <w:color w:val="000000" w:themeColor="text1"/>
        </w:rPr>
        <w:t xml:space="preserve"> rather than products sold in business-to-consumer transactions. </w:t>
      </w:r>
      <w:r w:rsidR="00BF2781" w:rsidRPr="00671367">
        <w:rPr>
          <w:color w:val="000000" w:themeColor="text1"/>
        </w:rPr>
        <w:t xml:space="preserve">Based on </w:t>
      </w:r>
      <w:r w:rsidR="000B01FB" w:rsidRPr="00671367">
        <w:rPr>
          <w:color w:val="000000" w:themeColor="text1"/>
        </w:rPr>
        <w:t>the national account and supp</w:t>
      </w:r>
      <w:r w:rsidR="004076BB" w:rsidRPr="00671367">
        <w:rPr>
          <w:color w:val="000000" w:themeColor="text1"/>
        </w:rPr>
        <w:t xml:space="preserve">ly-use table </w:t>
      </w:r>
      <w:r w:rsidR="009436A5" w:rsidRPr="00671367">
        <w:rPr>
          <w:color w:val="000000" w:themeColor="text1"/>
        </w:rPr>
        <w:t>data</w:t>
      </w:r>
      <w:r w:rsidR="004076BB" w:rsidRPr="00671367">
        <w:rPr>
          <w:color w:val="000000" w:themeColor="text1"/>
        </w:rPr>
        <w:t>,</w:t>
      </w:r>
      <w:r w:rsidR="00970962" w:rsidRPr="00671367">
        <w:rPr>
          <w:color w:val="000000" w:themeColor="text1"/>
        </w:rPr>
        <w:t xml:space="preserve"> nondeductible VAT </w:t>
      </w:r>
      <w:r w:rsidR="00A221EB" w:rsidRPr="00671367">
        <w:rPr>
          <w:color w:val="000000" w:themeColor="text1"/>
        </w:rPr>
        <w:t xml:space="preserve">on intermediate inputs and investment of the extractive sector amounted to </w:t>
      </w:r>
      <w:r w:rsidR="0031425E" w:rsidRPr="00671367">
        <w:rPr>
          <w:color w:val="000000" w:themeColor="text1"/>
        </w:rPr>
        <w:t>R</w:t>
      </w:r>
      <w:r w:rsidR="0004266E">
        <w:rPr>
          <w:color w:val="000000" w:themeColor="text1"/>
        </w:rPr>
        <w:t>p</w:t>
      </w:r>
      <w:r w:rsidR="0031425E" w:rsidRPr="00671367">
        <w:rPr>
          <w:color w:val="000000" w:themeColor="text1"/>
        </w:rPr>
        <w:t xml:space="preserve"> 60 trillion (0.</w:t>
      </w:r>
      <w:r w:rsidR="00092A71" w:rsidRPr="00671367">
        <w:rPr>
          <w:color w:val="000000" w:themeColor="text1"/>
        </w:rPr>
        <w:t>4</w:t>
      </w:r>
      <w:r w:rsidR="0031425E" w:rsidRPr="00671367">
        <w:rPr>
          <w:color w:val="000000" w:themeColor="text1"/>
        </w:rPr>
        <w:t xml:space="preserve"> percent of GDP) in 2020</w:t>
      </w:r>
      <w:r w:rsidR="000B51A5" w:rsidRPr="00671367">
        <w:rPr>
          <w:color w:val="000000" w:themeColor="text1"/>
        </w:rPr>
        <w:t>.</w:t>
      </w:r>
      <w:r w:rsidR="00D30849" w:rsidRPr="00671367">
        <w:rPr>
          <w:color w:val="000000" w:themeColor="text1"/>
        </w:rPr>
        <w:t xml:space="preserve"> </w:t>
      </w:r>
    </w:p>
    <w:p w14:paraId="3BF0F804" w14:textId="77432022" w:rsidR="009232A4" w:rsidRPr="00671367" w:rsidRDefault="00D30849" w:rsidP="008746FC">
      <w:pPr>
        <w:pStyle w:val="ListParagraph"/>
        <w:numPr>
          <w:ilvl w:val="0"/>
          <w:numId w:val="12"/>
        </w:numPr>
        <w:spacing w:before="120"/>
        <w:ind w:left="0" w:firstLine="0"/>
        <w:contextualSpacing w:val="0"/>
        <w:jc w:val="both"/>
        <w:rPr>
          <w:color w:val="000000" w:themeColor="text1"/>
        </w:rPr>
      </w:pPr>
      <w:r w:rsidRPr="0008418F">
        <w:rPr>
          <w:b/>
          <w:bCs/>
          <w:color w:val="000000" w:themeColor="text1"/>
        </w:rPr>
        <w:lastRenderedPageBreak/>
        <w:t>If mining products were taxable, com</w:t>
      </w:r>
      <w:r w:rsidR="00147A5C" w:rsidRPr="0008418F">
        <w:rPr>
          <w:b/>
          <w:bCs/>
          <w:color w:val="000000" w:themeColor="text1"/>
        </w:rPr>
        <w:t>panies</w:t>
      </w:r>
      <w:r w:rsidR="0033092E" w:rsidRPr="0008418F">
        <w:rPr>
          <w:b/>
          <w:bCs/>
          <w:color w:val="000000" w:themeColor="text1"/>
        </w:rPr>
        <w:t xml:space="preserve"> in the sector</w:t>
      </w:r>
      <w:r w:rsidR="00147A5C" w:rsidRPr="0008418F">
        <w:rPr>
          <w:b/>
          <w:bCs/>
          <w:color w:val="000000" w:themeColor="text1"/>
        </w:rPr>
        <w:t xml:space="preserve"> would be able to deduct input VAT</w:t>
      </w:r>
      <w:r w:rsidR="00684F33" w:rsidRPr="0008418F">
        <w:rPr>
          <w:b/>
          <w:bCs/>
          <w:color w:val="000000" w:themeColor="text1"/>
        </w:rPr>
        <w:t xml:space="preserve"> which would reduce their tax</w:t>
      </w:r>
      <w:r w:rsidR="0033092E" w:rsidRPr="0008418F">
        <w:rPr>
          <w:b/>
          <w:bCs/>
          <w:color w:val="000000" w:themeColor="text1"/>
        </w:rPr>
        <w:t xml:space="preserve"> burden.</w:t>
      </w:r>
      <w:r w:rsidR="00D53495" w:rsidRPr="0008418F">
        <w:rPr>
          <w:rStyle w:val="FootnoteReference"/>
          <w:b/>
          <w:bCs/>
          <w:color w:val="000000" w:themeColor="text1"/>
        </w:rPr>
        <w:footnoteReference w:id="93"/>
      </w:r>
      <w:r w:rsidR="0033092E" w:rsidRPr="00671367">
        <w:rPr>
          <w:color w:val="000000" w:themeColor="text1"/>
        </w:rPr>
        <w:t xml:space="preserve"> </w:t>
      </w:r>
      <w:r w:rsidR="009232A4" w:rsidRPr="00671367">
        <w:rPr>
          <w:color w:val="000000" w:themeColor="text1"/>
        </w:rPr>
        <w:t>Such hidden costs put Indonesia at disadvantage compared to most of its peers and may discourage investment and further development of the sector. Standard VAT treatment for domestic supply or exemptions with the right to deduct (for export or both export and domestic supplies) are the most common approach to taxing products of extractive industries in resource-rich VAT countries.</w:t>
      </w:r>
      <w:r w:rsidR="009232A4" w:rsidRPr="009232A4">
        <w:rPr>
          <w:vertAlign w:val="superscript"/>
        </w:rPr>
        <w:footnoteReference w:id="94"/>
      </w:r>
      <w:r w:rsidR="009232A4" w:rsidRPr="00671367">
        <w:rPr>
          <w:color w:val="000000" w:themeColor="text1"/>
        </w:rPr>
        <w:t xml:space="preserve"> </w:t>
      </w:r>
    </w:p>
    <w:tbl>
      <w:tblPr>
        <w:tblStyle w:val="TableGrid4"/>
        <w:tblW w:w="4601"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601"/>
      </w:tblGrid>
      <w:tr w:rsidR="00AC2F3D" w:rsidRPr="008455DB" w14:paraId="11E3204B" w14:textId="77777777" w:rsidTr="0008418F">
        <w:trPr>
          <w:trHeight w:val="232"/>
          <w:jc w:val="center"/>
        </w:trPr>
        <w:tc>
          <w:tcPr>
            <w:tcW w:w="4601" w:type="dxa"/>
            <w:tcBorders>
              <w:top w:val="nil"/>
              <w:left w:val="nil"/>
              <w:bottom w:val="nil"/>
              <w:right w:val="nil"/>
            </w:tcBorders>
          </w:tcPr>
          <w:p w14:paraId="78D42C96" w14:textId="6DB4EE54" w:rsidR="00AC2F3D" w:rsidRPr="0008418F" w:rsidRDefault="00AC2F3D" w:rsidP="0008418F">
            <w:pPr>
              <w:pStyle w:val="Caption"/>
              <w:rPr>
                <w:rFonts w:asciiTheme="minorHAnsi" w:hAnsiTheme="minorHAnsi" w:cstheme="minorHAnsi"/>
                <w:b w:val="0"/>
                <w:sz w:val="22"/>
                <w:szCs w:val="22"/>
              </w:rPr>
            </w:pPr>
            <w:bookmarkStart w:id="47" w:name="_Ref133051606"/>
            <w:bookmarkStart w:id="48" w:name="_Toc177576306"/>
            <w:r w:rsidRPr="008455DB">
              <w:rPr>
                <w:rFonts w:asciiTheme="minorHAnsi" w:hAnsiTheme="minorHAnsi" w:cstheme="minorHAnsi"/>
                <w:szCs w:val="22"/>
              </w:rPr>
              <w:t xml:space="preserve">Table </w:t>
            </w:r>
            <w:bookmarkEnd w:id="47"/>
            <w:r w:rsidRPr="008455DB">
              <w:rPr>
                <w:rFonts w:asciiTheme="minorHAnsi" w:hAnsiTheme="minorHAnsi" w:cstheme="minorHAnsi"/>
                <w:szCs w:val="22"/>
              </w:rPr>
              <w:t>4.3: VAT treatment of selected goods &amp; services</w:t>
            </w:r>
            <w:bookmarkEnd w:id="48"/>
          </w:p>
        </w:tc>
      </w:tr>
      <w:tr w:rsidR="00AC2F3D" w:rsidRPr="00074F9D" w14:paraId="5311A3AC" w14:textId="77777777" w:rsidTr="0008418F">
        <w:tblPrEx>
          <w:tblCellMar>
            <w:left w:w="70" w:type="dxa"/>
            <w:right w:w="70" w:type="dxa"/>
          </w:tblCellMar>
        </w:tblPrEx>
        <w:trPr>
          <w:trHeight w:val="3847"/>
          <w:jc w:val="center"/>
        </w:trPr>
        <w:tc>
          <w:tcPr>
            <w:tcW w:w="4601" w:type="dxa"/>
            <w:tcBorders>
              <w:top w:val="nil"/>
            </w:tcBorders>
          </w:tcPr>
          <w:tbl>
            <w:tblPr>
              <w:tblStyle w:val="PlainTable3"/>
              <w:tblW w:w="4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613"/>
              <w:gridCol w:w="613"/>
              <w:gridCol w:w="613"/>
              <w:gridCol w:w="613"/>
              <w:gridCol w:w="613"/>
              <w:gridCol w:w="613"/>
            </w:tblGrid>
            <w:tr w:rsidR="00AC2F3D" w:rsidRPr="00074F9D" w14:paraId="30E5AD0D" w14:textId="77777777" w:rsidTr="0008418F">
              <w:trPr>
                <w:cnfStyle w:val="100000000000" w:firstRow="1" w:lastRow="0" w:firstColumn="0" w:lastColumn="0" w:oddVBand="0" w:evenVBand="0" w:oddHBand="0" w:evenHBand="0" w:firstRowFirstColumn="0" w:firstRowLastColumn="0" w:lastRowFirstColumn="0" w:lastRowLastColumn="0"/>
                <w:cantSplit/>
                <w:trHeight w:val="1611"/>
              </w:trPr>
              <w:tc>
                <w:tcPr>
                  <w:cnfStyle w:val="001000000100" w:firstRow="0" w:lastRow="0" w:firstColumn="1" w:lastColumn="0" w:oddVBand="0" w:evenVBand="0" w:oddHBand="0" w:evenHBand="0" w:firstRowFirstColumn="1" w:firstRowLastColumn="0" w:lastRowFirstColumn="0" w:lastRowLastColumn="0"/>
                  <w:tcW w:w="0" w:type="dxa"/>
                  <w:tcBorders>
                    <w:bottom w:val="none" w:sz="0" w:space="0" w:color="auto"/>
                    <w:right w:val="none" w:sz="0" w:space="0" w:color="auto"/>
                  </w:tcBorders>
                  <w:noWrap/>
                  <w:textDirection w:val="btLr"/>
                  <w:vAlign w:val="center"/>
                  <w:hideMark/>
                </w:tcPr>
                <w:p w14:paraId="515A9FDB" w14:textId="067B87F6" w:rsidR="00AC2F3D" w:rsidRPr="00074F9D" w:rsidRDefault="00AC2F3D" w:rsidP="0008418F">
                  <w:pPr>
                    <w:ind w:left="113" w:right="113"/>
                    <w:jc w:val="center"/>
                    <w:rPr>
                      <w:rFonts w:eastAsia="Times New Roman" w:cstheme="minorHAnsi"/>
                      <w:color w:val="000000"/>
                      <w:sz w:val="16"/>
                      <w:szCs w:val="16"/>
                      <w:lang w:val="pl-PL" w:eastAsia="pl-PL"/>
                    </w:rPr>
                  </w:pPr>
                  <w:bookmarkStart w:id="49" w:name="OLE_LINK1"/>
                  <w:r>
                    <w:rPr>
                      <w:rFonts w:eastAsia="Times New Roman" w:cstheme="minorHAnsi"/>
                      <w:color w:val="000000"/>
                      <w:sz w:val="16"/>
                      <w:szCs w:val="16"/>
                      <w:lang w:val="pl-PL" w:eastAsia="pl-PL"/>
                    </w:rPr>
                    <w:t>Country</w:t>
                  </w:r>
                </w:p>
              </w:tc>
              <w:tc>
                <w:tcPr>
                  <w:tcW w:w="0" w:type="dxa"/>
                  <w:tcBorders>
                    <w:bottom w:val="none" w:sz="0" w:space="0" w:color="auto"/>
                  </w:tcBorders>
                  <w:textDirection w:val="btLr"/>
                  <w:vAlign w:val="center"/>
                  <w:hideMark/>
                </w:tcPr>
                <w:p w14:paraId="1CB380C2" w14:textId="77777777" w:rsidR="00AC2F3D" w:rsidRPr="00074F9D" w:rsidRDefault="00AC2F3D" w:rsidP="00074F9D">
                  <w:pPr>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16"/>
                      <w:szCs w:val="16"/>
                      <w:lang w:val="pl-PL" w:eastAsia="pl-PL"/>
                    </w:rPr>
                  </w:pPr>
                  <w:r w:rsidRPr="00074F9D">
                    <w:rPr>
                      <w:rFonts w:eastAsia="Times New Roman" w:cstheme="minorHAnsi"/>
                      <w:color w:val="000000"/>
                      <w:sz w:val="16"/>
                      <w:szCs w:val="16"/>
                      <w:lang w:val="pl-PL" w:eastAsia="pl-PL"/>
                    </w:rPr>
                    <w:t>Agricultural products</w:t>
                  </w:r>
                </w:p>
              </w:tc>
              <w:tc>
                <w:tcPr>
                  <w:tcW w:w="0" w:type="dxa"/>
                  <w:tcBorders>
                    <w:bottom w:val="none" w:sz="0" w:space="0" w:color="auto"/>
                  </w:tcBorders>
                  <w:textDirection w:val="btLr"/>
                  <w:vAlign w:val="center"/>
                  <w:hideMark/>
                </w:tcPr>
                <w:p w14:paraId="2D5F510B" w14:textId="148CAD5B" w:rsidR="00AC2F3D" w:rsidRPr="00074F9D" w:rsidRDefault="00AC2F3D" w:rsidP="00074F9D">
                  <w:pPr>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16"/>
                      <w:szCs w:val="16"/>
                      <w:lang w:val="pl-PL" w:eastAsia="pl-PL"/>
                    </w:rPr>
                  </w:pPr>
                  <w:r w:rsidRPr="00074F9D">
                    <w:rPr>
                      <w:rFonts w:eastAsia="Times New Roman" w:cstheme="minorHAnsi"/>
                      <w:color w:val="000000"/>
                      <w:sz w:val="16"/>
                      <w:szCs w:val="16"/>
                      <w:lang w:val="pl-PL" w:eastAsia="pl-PL"/>
                    </w:rPr>
                    <w:t>Food</w:t>
                  </w:r>
                  <w:r>
                    <w:rPr>
                      <w:rFonts w:eastAsia="Times New Roman" w:cstheme="minorHAnsi"/>
                      <w:color w:val="000000"/>
                      <w:sz w:val="16"/>
                      <w:szCs w:val="16"/>
                      <w:lang w:val="pl-PL" w:eastAsia="pl-PL"/>
                    </w:rPr>
                    <w:t xml:space="preserve"> </w:t>
                  </w:r>
                  <w:r w:rsidRPr="00074F9D">
                    <w:rPr>
                      <w:rFonts w:eastAsia="Times New Roman" w:cstheme="minorHAnsi"/>
                      <w:color w:val="000000"/>
                      <w:sz w:val="16"/>
                      <w:szCs w:val="16"/>
                      <w:lang w:val="pl-PL" w:eastAsia="pl-PL"/>
                    </w:rPr>
                    <w:t>stuffs</w:t>
                  </w:r>
                </w:p>
              </w:tc>
              <w:tc>
                <w:tcPr>
                  <w:tcW w:w="0" w:type="dxa"/>
                  <w:tcBorders>
                    <w:bottom w:val="none" w:sz="0" w:space="0" w:color="auto"/>
                  </w:tcBorders>
                  <w:textDirection w:val="btLr"/>
                  <w:vAlign w:val="center"/>
                  <w:hideMark/>
                </w:tcPr>
                <w:p w14:paraId="3CB4E02C" w14:textId="58B95C1C" w:rsidR="00AC2F3D" w:rsidRPr="00074F9D" w:rsidRDefault="00AC2F3D" w:rsidP="00074F9D">
                  <w:pPr>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16"/>
                      <w:szCs w:val="16"/>
                      <w:lang w:val="pl-PL" w:eastAsia="pl-PL"/>
                    </w:rPr>
                  </w:pPr>
                  <w:r w:rsidRPr="00074F9D">
                    <w:rPr>
                      <w:rFonts w:eastAsia="Times New Roman" w:cstheme="minorHAnsi"/>
                      <w:color w:val="000000"/>
                      <w:sz w:val="16"/>
                      <w:szCs w:val="16"/>
                      <w:lang w:val="pl-PL" w:eastAsia="pl-PL"/>
                    </w:rPr>
                    <w:t>Accomm</w:t>
                  </w:r>
                  <w:r w:rsidR="009E1044">
                    <w:rPr>
                      <w:rFonts w:eastAsia="Times New Roman" w:cstheme="minorHAnsi"/>
                      <w:color w:val="000000"/>
                      <w:sz w:val="16"/>
                      <w:szCs w:val="16"/>
                      <w:lang w:val="pl-PL" w:eastAsia="pl-PL"/>
                    </w:rPr>
                    <w:t>o</w:t>
                  </w:r>
                  <w:r w:rsidRPr="00074F9D">
                    <w:rPr>
                      <w:rFonts w:eastAsia="Times New Roman" w:cstheme="minorHAnsi"/>
                      <w:color w:val="000000"/>
                      <w:sz w:val="16"/>
                      <w:szCs w:val="16"/>
                      <w:lang w:val="pl-PL" w:eastAsia="pl-PL"/>
                    </w:rPr>
                    <w:t>dation and restaurants</w:t>
                  </w:r>
                </w:p>
              </w:tc>
              <w:tc>
                <w:tcPr>
                  <w:tcW w:w="0" w:type="dxa"/>
                  <w:tcBorders>
                    <w:bottom w:val="none" w:sz="0" w:space="0" w:color="auto"/>
                  </w:tcBorders>
                  <w:textDirection w:val="btLr"/>
                  <w:vAlign w:val="center"/>
                  <w:hideMark/>
                </w:tcPr>
                <w:p w14:paraId="0208D546" w14:textId="02DFC404" w:rsidR="00AC2F3D" w:rsidRPr="00074F9D" w:rsidRDefault="00AC2F3D" w:rsidP="00074F9D">
                  <w:pPr>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16"/>
                      <w:szCs w:val="16"/>
                      <w:lang w:eastAsia="pl-PL"/>
                    </w:rPr>
                  </w:pPr>
                  <w:r w:rsidRPr="00074F9D">
                    <w:rPr>
                      <w:rFonts w:eastAsia="Times New Roman" w:cstheme="minorHAnsi"/>
                      <w:color w:val="000000"/>
                      <w:sz w:val="16"/>
                      <w:szCs w:val="16"/>
                      <w:lang w:eastAsia="pl-PL"/>
                    </w:rPr>
                    <w:t xml:space="preserve">mining </w:t>
                  </w:r>
                  <w:r>
                    <w:rPr>
                      <w:rFonts w:eastAsia="Times New Roman" w:cstheme="minorHAnsi"/>
                      <w:color w:val="000000"/>
                      <w:sz w:val="16"/>
                      <w:szCs w:val="16"/>
                      <w:lang w:eastAsia="pl-PL"/>
                    </w:rPr>
                    <w:t>&amp;</w:t>
                  </w:r>
                  <w:r w:rsidRPr="00074F9D">
                    <w:rPr>
                      <w:rFonts w:eastAsia="Times New Roman" w:cstheme="minorHAnsi"/>
                      <w:color w:val="000000"/>
                      <w:sz w:val="16"/>
                      <w:szCs w:val="16"/>
                      <w:lang w:eastAsia="pl-PL"/>
                    </w:rPr>
                    <w:t xml:space="preserve"> drilling</w:t>
                  </w:r>
                  <w:r>
                    <w:rPr>
                      <w:rFonts w:eastAsia="Times New Roman" w:cstheme="minorHAnsi"/>
                      <w:color w:val="000000"/>
                      <w:sz w:val="16"/>
                      <w:szCs w:val="16"/>
                      <w:lang w:eastAsia="pl-PL"/>
                    </w:rPr>
                    <w:t xml:space="preserve"> PRODUCTS</w:t>
                  </w:r>
                </w:p>
              </w:tc>
              <w:tc>
                <w:tcPr>
                  <w:tcW w:w="0" w:type="dxa"/>
                  <w:tcBorders>
                    <w:bottom w:val="none" w:sz="0" w:space="0" w:color="auto"/>
                  </w:tcBorders>
                  <w:textDirection w:val="btLr"/>
                  <w:vAlign w:val="center"/>
                  <w:hideMark/>
                </w:tcPr>
                <w:p w14:paraId="27EA9761" w14:textId="77777777" w:rsidR="00AC2F3D" w:rsidRPr="00074F9D" w:rsidRDefault="00AC2F3D" w:rsidP="00074F9D">
                  <w:pPr>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16"/>
                      <w:szCs w:val="16"/>
                      <w:lang w:val="pl-PL" w:eastAsia="pl-PL"/>
                    </w:rPr>
                  </w:pPr>
                  <w:r w:rsidRPr="00074F9D">
                    <w:rPr>
                      <w:rFonts w:eastAsia="Times New Roman" w:cstheme="minorHAnsi"/>
                      <w:color w:val="000000"/>
                      <w:sz w:val="16"/>
                      <w:szCs w:val="16"/>
                      <w:lang w:val="pl-PL" w:eastAsia="pl-PL"/>
                    </w:rPr>
                    <w:t>Financial services</w:t>
                  </w:r>
                </w:p>
              </w:tc>
              <w:tc>
                <w:tcPr>
                  <w:tcW w:w="0" w:type="dxa"/>
                  <w:tcBorders>
                    <w:bottom w:val="none" w:sz="0" w:space="0" w:color="auto"/>
                  </w:tcBorders>
                  <w:textDirection w:val="btLr"/>
                  <w:vAlign w:val="center"/>
                  <w:hideMark/>
                </w:tcPr>
                <w:p w14:paraId="6DBE1983" w14:textId="77777777" w:rsidR="00AC2F3D" w:rsidRPr="00074F9D" w:rsidRDefault="00AC2F3D" w:rsidP="00074F9D">
                  <w:pPr>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16"/>
                      <w:szCs w:val="16"/>
                      <w:lang w:val="pl-PL" w:eastAsia="pl-PL"/>
                    </w:rPr>
                  </w:pPr>
                  <w:r w:rsidRPr="00074F9D">
                    <w:rPr>
                      <w:rFonts w:eastAsia="Times New Roman" w:cstheme="minorHAnsi"/>
                      <w:color w:val="000000"/>
                      <w:sz w:val="16"/>
                      <w:szCs w:val="16"/>
                      <w:lang w:val="pl-PL" w:eastAsia="pl-PL"/>
                    </w:rPr>
                    <w:t>Health and education</w:t>
                  </w:r>
                </w:p>
              </w:tc>
            </w:tr>
            <w:tr w:rsidR="0008418F" w:rsidRPr="00074F9D" w14:paraId="0E33FD4D" w14:textId="77777777" w:rsidTr="0008418F">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dxa"/>
                  <w:shd w:val="clear" w:color="auto" w:fill="D9E2F3" w:themeFill="accent1" w:themeFillTint="33"/>
                  <w:noWrap/>
                  <w:vAlign w:val="center"/>
                  <w:hideMark/>
                </w:tcPr>
                <w:p w14:paraId="762CAC4D" w14:textId="77777777" w:rsidR="00AC2F3D" w:rsidRPr="00074F9D" w:rsidRDefault="00AC2F3D" w:rsidP="00074F9D">
                  <w:pPr>
                    <w:jc w:val="center"/>
                    <w:rPr>
                      <w:rFonts w:eastAsia="Times New Roman" w:cstheme="minorHAnsi"/>
                      <w:color w:val="000000"/>
                      <w:sz w:val="18"/>
                      <w:szCs w:val="18"/>
                      <w:lang w:val="pl-PL" w:eastAsia="pl-PL"/>
                    </w:rPr>
                  </w:pPr>
                  <w:r w:rsidRPr="00074F9D">
                    <w:rPr>
                      <w:rFonts w:eastAsia="Times New Roman" w:cstheme="minorHAnsi"/>
                      <w:color w:val="000000"/>
                      <w:sz w:val="18"/>
                      <w:szCs w:val="18"/>
                      <w:lang w:val="pl-PL" w:eastAsia="pl-PL"/>
                    </w:rPr>
                    <w:t>IDN</w:t>
                  </w:r>
                </w:p>
              </w:tc>
              <w:tc>
                <w:tcPr>
                  <w:tcW w:w="0" w:type="dxa"/>
                  <w:shd w:val="clear" w:color="auto" w:fill="D9E2F3" w:themeFill="accent1" w:themeFillTint="33"/>
                  <w:noWrap/>
                  <w:vAlign w:val="center"/>
                  <w:hideMark/>
                </w:tcPr>
                <w:p w14:paraId="2ADB0B59"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r w:rsidRPr="00074F9D">
                    <w:rPr>
                      <w:rFonts w:eastAsia="Times New Roman" w:cstheme="minorHAnsi"/>
                      <w:color w:val="7030A0"/>
                      <w:sz w:val="20"/>
                      <w:szCs w:val="20"/>
                      <w:lang w:val="pl-PL" w:eastAsia="pl-PL"/>
                    </w:rPr>
                    <w:t xml:space="preserve"> </w:t>
                  </w:r>
                  <w:r w:rsidRPr="00074F9D">
                    <w:rPr>
                      <w:rFonts w:eastAsia="Times New Roman" w:cstheme="minorHAnsi"/>
                      <w:color w:val="000000" w:themeColor="text1"/>
                      <w:sz w:val="20"/>
                      <w:szCs w:val="20"/>
                      <w:lang w:val="pl-PL" w:eastAsia="pl-PL"/>
                    </w:rPr>
                    <w:t>/</w:t>
                  </w:r>
                  <w:r w:rsidRPr="00074F9D">
                    <w:rPr>
                      <w:rFonts w:eastAsia="Times New Roman" w:cstheme="minorHAnsi"/>
                      <w:color w:val="7030A0"/>
                      <w:sz w:val="20"/>
                      <w:szCs w:val="20"/>
                      <w:lang w:val="pl-PL" w:eastAsia="pl-PL"/>
                    </w:rPr>
                    <w:t>FRS</w:t>
                  </w:r>
                </w:p>
              </w:tc>
              <w:tc>
                <w:tcPr>
                  <w:tcW w:w="0" w:type="dxa"/>
                  <w:shd w:val="clear" w:color="auto" w:fill="D9E2F3" w:themeFill="accent1" w:themeFillTint="33"/>
                  <w:noWrap/>
                  <w:vAlign w:val="center"/>
                  <w:hideMark/>
                </w:tcPr>
                <w:p w14:paraId="304F1519"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00B050"/>
                      <w:sz w:val="20"/>
                      <w:szCs w:val="20"/>
                      <w:lang w:val="pl-PL" w:eastAsia="pl-PL"/>
                    </w:rPr>
                    <w:t>SR</w:t>
                  </w:r>
                </w:p>
              </w:tc>
              <w:tc>
                <w:tcPr>
                  <w:tcW w:w="0" w:type="dxa"/>
                  <w:shd w:val="clear" w:color="auto" w:fill="D9E2F3" w:themeFill="accent1" w:themeFillTint="33"/>
                  <w:noWrap/>
                  <w:vAlign w:val="center"/>
                  <w:hideMark/>
                </w:tcPr>
                <w:p w14:paraId="64E929A9"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c>
                <w:tcPr>
                  <w:tcW w:w="0" w:type="dxa"/>
                  <w:shd w:val="clear" w:color="auto" w:fill="D9E2F3" w:themeFill="accent1" w:themeFillTint="33"/>
                  <w:noWrap/>
                  <w:vAlign w:val="center"/>
                  <w:hideMark/>
                </w:tcPr>
                <w:p w14:paraId="5FF02078"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 xml:space="preserve">Ex </w:t>
                  </w:r>
                  <w:r w:rsidRPr="00074F9D">
                    <w:rPr>
                      <w:rFonts w:eastAsia="Times New Roman" w:cstheme="minorHAnsi"/>
                      <w:sz w:val="20"/>
                      <w:szCs w:val="20"/>
                      <w:lang w:val="pl-PL" w:eastAsia="pl-PL"/>
                    </w:rPr>
                    <w:t>/</w:t>
                  </w:r>
                  <w:r w:rsidRPr="00074F9D">
                    <w:rPr>
                      <w:rFonts w:eastAsia="Times New Roman" w:cstheme="minorHAnsi"/>
                      <w:color w:val="00B050"/>
                      <w:sz w:val="20"/>
                      <w:szCs w:val="20"/>
                      <w:lang w:val="pl-PL" w:eastAsia="pl-PL"/>
                    </w:rPr>
                    <w:t>SR</w:t>
                  </w:r>
                </w:p>
              </w:tc>
              <w:tc>
                <w:tcPr>
                  <w:tcW w:w="0" w:type="dxa"/>
                  <w:shd w:val="clear" w:color="auto" w:fill="D9E2F3" w:themeFill="accent1" w:themeFillTint="33"/>
                  <w:noWrap/>
                  <w:vAlign w:val="center"/>
                  <w:hideMark/>
                </w:tcPr>
                <w:p w14:paraId="1A1A80E6"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r w:rsidRPr="00074F9D">
                    <w:rPr>
                      <w:rFonts w:eastAsia="Times New Roman" w:cstheme="minorHAnsi"/>
                      <w:color w:val="7030A0"/>
                      <w:sz w:val="20"/>
                      <w:szCs w:val="20"/>
                      <w:lang w:val="pl-PL" w:eastAsia="pl-PL"/>
                    </w:rPr>
                    <w:t xml:space="preserve"> </w:t>
                  </w:r>
                  <w:r w:rsidRPr="00074F9D">
                    <w:rPr>
                      <w:rFonts w:eastAsia="Times New Roman" w:cstheme="minorHAnsi"/>
                      <w:color w:val="000000" w:themeColor="text1"/>
                      <w:sz w:val="20"/>
                      <w:szCs w:val="20"/>
                      <w:lang w:val="pl-PL" w:eastAsia="pl-PL"/>
                    </w:rPr>
                    <w:t>/</w:t>
                  </w:r>
                  <w:r w:rsidRPr="00074F9D">
                    <w:rPr>
                      <w:rFonts w:eastAsia="Times New Roman" w:cstheme="minorHAnsi"/>
                      <w:color w:val="7030A0"/>
                      <w:sz w:val="20"/>
                      <w:szCs w:val="20"/>
                      <w:lang w:val="pl-PL" w:eastAsia="pl-PL"/>
                    </w:rPr>
                    <w:t>FRS</w:t>
                  </w:r>
                </w:p>
              </w:tc>
              <w:tc>
                <w:tcPr>
                  <w:tcW w:w="0" w:type="dxa"/>
                  <w:shd w:val="clear" w:color="auto" w:fill="D9E2F3" w:themeFill="accent1" w:themeFillTint="33"/>
                  <w:noWrap/>
                  <w:vAlign w:val="center"/>
                  <w:hideMark/>
                </w:tcPr>
                <w:p w14:paraId="05CFC137"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r>
            <w:tr w:rsidR="00AC2F3D" w:rsidRPr="00074F9D" w14:paraId="2F8E1B4F" w14:textId="77777777" w:rsidTr="0008418F">
              <w:trPr>
                <w:trHeight w:val="29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noWrap/>
                  <w:vAlign w:val="center"/>
                  <w:hideMark/>
                </w:tcPr>
                <w:p w14:paraId="7B892DCA" w14:textId="77777777" w:rsidR="00AC2F3D" w:rsidRPr="00074F9D" w:rsidRDefault="00AC2F3D" w:rsidP="00074F9D">
                  <w:pPr>
                    <w:jc w:val="center"/>
                    <w:rPr>
                      <w:rFonts w:eastAsia="Times New Roman" w:cstheme="minorHAnsi"/>
                      <w:color w:val="000000"/>
                      <w:sz w:val="18"/>
                      <w:szCs w:val="18"/>
                      <w:lang w:val="pl-PL" w:eastAsia="pl-PL"/>
                    </w:rPr>
                  </w:pPr>
                  <w:r w:rsidRPr="00074F9D">
                    <w:rPr>
                      <w:rFonts w:eastAsia="Times New Roman" w:cstheme="minorHAnsi"/>
                      <w:color w:val="000000"/>
                      <w:sz w:val="18"/>
                      <w:szCs w:val="18"/>
                      <w:lang w:val="pl-PL" w:eastAsia="pl-PL"/>
                    </w:rPr>
                    <w:t>KHM</w:t>
                  </w:r>
                </w:p>
              </w:tc>
              <w:tc>
                <w:tcPr>
                  <w:tcW w:w="0" w:type="dxa"/>
                  <w:noWrap/>
                  <w:vAlign w:val="center"/>
                  <w:hideMark/>
                </w:tcPr>
                <w:p w14:paraId="58AE8EC6"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3BA82D74"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3DE487B8"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033769C0"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7FE09E4C"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6725C89D"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r>
            <w:tr w:rsidR="00AC2F3D" w:rsidRPr="00074F9D" w14:paraId="1C0745D8" w14:textId="77777777" w:rsidTr="0008418F">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noWrap/>
                  <w:vAlign w:val="center"/>
                  <w:hideMark/>
                </w:tcPr>
                <w:p w14:paraId="79BA6B3B" w14:textId="77777777" w:rsidR="00AC2F3D" w:rsidRPr="00074F9D" w:rsidRDefault="00AC2F3D" w:rsidP="00074F9D">
                  <w:pPr>
                    <w:jc w:val="center"/>
                    <w:rPr>
                      <w:rFonts w:eastAsia="Times New Roman" w:cstheme="minorHAnsi"/>
                      <w:color w:val="000000"/>
                      <w:sz w:val="18"/>
                      <w:szCs w:val="18"/>
                      <w:lang w:val="pl-PL" w:eastAsia="pl-PL"/>
                    </w:rPr>
                  </w:pPr>
                  <w:r w:rsidRPr="00074F9D">
                    <w:rPr>
                      <w:rFonts w:eastAsia="Times New Roman" w:cstheme="minorHAnsi"/>
                      <w:color w:val="000000"/>
                      <w:sz w:val="18"/>
                      <w:szCs w:val="18"/>
                      <w:lang w:val="pl-PL" w:eastAsia="pl-PL"/>
                    </w:rPr>
                    <w:t>LAO</w:t>
                  </w:r>
                </w:p>
              </w:tc>
              <w:tc>
                <w:tcPr>
                  <w:tcW w:w="0" w:type="dxa"/>
                  <w:noWrap/>
                  <w:vAlign w:val="center"/>
                  <w:hideMark/>
                </w:tcPr>
                <w:p w14:paraId="7FB0A5D9"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36D779EE"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036D824C"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1B2C4121"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0BCB4637"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10515A70"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r>
            <w:tr w:rsidR="00AC2F3D" w:rsidRPr="00074F9D" w14:paraId="52CAC4D2" w14:textId="77777777" w:rsidTr="0008418F">
              <w:trPr>
                <w:trHeight w:val="29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noWrap/>
                  <w:vAlign w:val="center"/>
                  <w:hideMark/>
                </w:tcPr>
                <w:p w14:paraId="5E0F2A10" w14:textId="77777777" w:rsidR="00AC2F3D" w:rsidRPr="00074F9D" w:rsidRDefault="00AC2F3D" w:rsidP="00074F9D">
                  <w:pPr>
                    <w:jc w:val="center"/>
                    <w:rPr>
                      <w:rFonts w:eastAsia="Times New Roman" w:cstheme="minorHAnsi"/>
                      <w:color w:val="000000"/>
                      <w:sz w:val="18"/>
                      <w:szCs w:val="18"/>
                      <w:lang w:val="pl-PL" w:eastAsia="pl-PL"/>
                    </w:rPr>
                  </w:pPr>
                  <w:r w:rsidRPr="00074F9D">
                    <w:rPr>
                      <w:rFonts w:eastAsia="Times New Roman" w:cstheme="minorHAnsi"/>
                      <w:color w:val="000000"/>
                      <w:sz w:val="18"/>
                      <w:szCs w:val="18"/>
                      <w:lang w:val="pl-PL" w:eastAsia="pl-PL"/>
                    </w:rPr>
                    <w:t>PHL</w:t>
                  </w:r>
                </w:p>
              </w:tc>
              <w:tc>
                <w:tcPr>
                  <w:tcW w:w="0" w:type="dxa"/>
                  <w:noWrap/>
                  <w:vAlign w:val="center"/>
                  <w:hideMark/>
                </w:tcPr>
                <w:p w14:paraId="06CD834E"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1532F27F"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5E8DBD97"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7EAF2052"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1F77DB28"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541F60A0"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r>
            <w:tr w:rsidR="00AC2F3D" w:rsidRPr="00074F9D" w14:paraId="5F678186" w14:textId="77777777" w:rsidTr="0008418F">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noWrap/>
                  <w:vAlign w:val="center"/>
                  <w:hideMark/>
                </w:tcPr>
                <w:p w14:paraId="47ED9F4E" w14:textId="77777777" w:rsidR="00AC2F3D" w:rsidRPr="00074F9D" w:rsidRDefault="00AC2F3D" w:rsidP="00074F9D">
                  <w:pPr>
                    <w:jc w:val="center"/>
                    <w:rPr>
                      <w:rFonts w:eastAsia="Times New Roman" w:cstheme="minorHAnsi"/>
                      <w:color w:val="000000"/>
                      <w:sz w:val="18"/>
                      <w:szCs w:val="18"/>
                      <w:lang w:val="pl-PL" w:eastAsia="pl-PL"/>
                    </w:rPr>
                  </w:pPr>
                  <w:r w:rsidRPr="00074F9D">
                    <w:rPr>
                      <w:rFonts w:eastAsia="Times New Roman" w:cstheme="minorHAnsi"/>
                      <w:color w:val="000000"/>
                      <w:sz w:val="18"/>
                      <w:szCs w:val="18"/>
                      <w:lang w:val="pl-PL" w:eastAsia="pl-PL"/>
                    </w:rPr>
                    <w:t>THA</w:t>
                  </w:r>
                </w:p>
              </w:tc>
              <w:tc>
                <w:tcPr>
                  <w:tcW w:w="0" w:type="dxa"/>
                  <w:noWrap/>
                  <w:vAlign w:val="center"/>
                  <w:hideMark/>
                </w:tcPr>
                <w:p w14:paraId="02054636"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1F63350D"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3BF6E661"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09F0D9A1"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77D9A66A"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73D221CC" w14:textId="77777777" w:rsidR="00AC2F3D" w:rsidRPr="00074F9D" w:rsidRDefault="00AC2F3D" w:rsidP="00074F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FF0000"/>
                      <w:sz w:val="20"/>
                      <w:szCs w:val="20"/>
                      <w:lang w:val="pl-PL" w:eastAsia="pl-PL"/>
                    </w:rPr>
                    <w:t>Ex</w:t>
                  </w:r>
                </w:p>
              </w:tc>
            </w:tr>
            <w:tr w:rsidR="00AC2F3D" w:rsidRPr="00074F9D" w14:paraId="22FD8645" w14:textId="77777777" w:rsidTr="0008418F">
              <w:trPr>
                <w:trHeight w:val="29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noWrap/>
                  <w:vAlign w:val="center"/>
                  <w:hideMark/>
                </w:tcPr>
                <w:p w14:paraId="20E0D99C" w14:textId="77777777" w:rsidR="00AC2F3D" w:rsidRPr="00074F9D" w:rsidRDefault="00AC2F3D" w:rsidP="00074F9D">
                  <w:pPr>
                    <w:jc w:val="center"/>
                    <w:rPr>
                      <w:rFonts w:eastAsia="Times New Roman" w:cstheme="minorHAnsi"/>
                      <w:color w:val="000000"/>
                      <w:sz w:val="18"/>
                      <w:szCs w:val="18"/>
                      <w:lang w:val="pl-PL" w:eastAsia="pl-PL"/>
                    </w:rPr>
                  </w:pPr>
                  <w:r w:rsidRPr="00074F9D">
                    <w:rPr>
                      <w:rFonts w:eastAsia="Times New Roman" w:cstheme="minorHAnsi"/>
                      <w:color w:val="000000"/>
                      <w:sz w:val="18"/>
                      <w:szCs w:val="18"/>
                      <w:lang w:val="pl-PL" w:eastAsia="pl-PL"/>
                    </w:rPr>
                    <w:t>VNM</w:t>
                  </w:r>
                </w:p>
              </w:tc>
              <w:tc>
                <w:tcPr>
                  <w:tcW w:w="0" w:type="dxa"/>
                  <w:noWrap/>
                  <w:vAlign w:val="center"/>
                  <w:hideMark/>
                </w:tcPr>
                <w:p w14:paraId="6D08E6AC"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C000"/>
                      <w:sz w:val="20"/>
                      <w:szCs w:val="20"/>
                      <w:lang w:val="pl-PL" w:eastAsia="pl-PL"/>
                    </w:rPr>
                    <w:t>RR</w:t>
                  </w:r>
                </w:p>
              </w:tc>
              <w:tc>
                <w:tcPr>
                  <w:tcW w:w="0" w:type="dxa"/>
                  <w:noWrap/>
                  <w:vAlign w:val="center"/>
                  <w:hideMark/>
                </w:tcPr>
                <w:p w14:paraId="09864CBF"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003B0366"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00B050"/>
                      <w:sz w:val="20"/>
                      <w:szCs w:val="20"/>
                      <w:lang w:val="pl-PL" w:eastAsia="pl-PL"/>
                    </w:rPr>
                    <w:t>SR</w:t>
                  </w:r>
                </w:p>
              </w:tc>
              <w:tc>
                <w:tcPr>
                  <w:tcW w:w="0" w:type="dxa"/>
                  <w:noWrap/>
                  <w:vAlign w:val="center"/>
                  <w:hideMark/>
                </w:tcPr>
                <w:p w14:paraId="72FE0285"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B050"/>
                      <w:sz w:val="20"/>
                      <w:szCs w:val="20"/>
                      <w:lang w:val="pl-PL" w:eastAsia="pl-PL"/>
                    </w:rPr>
                  </w:pPr>
                  <w:r w:rsidRPr="00074F9D">
                    <w:rPr>
                      <w:rFonts w:eastAsia="Times New Roman" w:cstheme="minorHAnsi"/>
                      <w:color w:val="00B050"/>
                      <w:sz w:val="20"/>
                      <w:szCs w:val="20"/>
                      <w:lang w:val="pl-PL" w:eastAsia="pl-PL"/>
                    </w:rPr>
                    <w:t xml:space="preserve">SR </w:t>
                  </w:r>
                  <w:r w:rsidRPr="00074F9D">
                    <w:rPr>
                      <w:rFonts w:eastAsia="Times New Roman" w:cstheme="minorHAnsi"/>
                      <w:sz w:val="20"/>
                      <w:szCs w:val="20"/>
                      <w:lang w:val="pl-PL" w:eastAsia="pl-PL"/>
                    </w:rPr>
                    <w:t>/</w:t>
                  </w:r>
                  <w:r w:rsidRPr="00074F9D">
                    <w:rPr>
                      <w:rFonts w:eastAsia="Times New Roman" w:cstheme="minorHAnsi"/>
                      <w:color w:val="FFC000"/>
                      <w:sz w:val="20"/>
                      <w:szCs w:val="20"/>
                      <w:lang w:val="pl-PL" w:eastAsia="pl-PL"/>
                    </w:rPr>
                    <w:t>RR</w:t>
                  </w:r>
                </w:p>
              </w:tc>
              <w:tc>
                <w:tcPr>
                  <w:tcW w:w="0" w:type="dxa"/>
                  <w:noWrap/>
                  <w:vAlign w:val="center"/>
                  <w:hideMark/>
                </w:tcPr>
                <w:p w14:paraId="15B39770"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c>
                <w:tcPr>
                  <w:tcW w:w="0" w:type="dxa"/>
                  <w:noWrap/>
                  <w:vAlign w:val="center"/>
                  <w:hideMark/>
                </w:tcPr>
                <w:p w14:paraId="25C573F0" w14:textId="77777777" w:rsidR="00AC2F3D" w:rsidRPr="00074F9D" w:rsidRDefault="00AC2F3D" w:rsidP="00074F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FF0000"/>
                      <w:sz w:val="20"/>
                      <w:szCs w:val="20"/>
                      <w:lang w:val="pl-PL" w:eastAsia="pl-PL"/>
                    </w:rPr>
                  </w:pPr>
                  <w:r w:rsidRPr="00074F9D">
                    <w:rPr>
                      <w:rFonts w:eastAsia="Times New Roman" w:cstheme="minorHAnsi"/>
                      <w:color w:val="FF0000"/>
                      <w:sz w:val="20"/>
                      <w:szCs w:val="20"/>
                      <w:lang w:val="pl-PL" w:eastAsia="pl-PL"/>
                    </w:rPr>
                    <w:t>Ex</w:t>
                  </w:r>
                </w:p>
              </w:tc>
            </w:tr>
            <w:bookmarkEnd w:id="49"/>
          </w:tbl>
          <w:p w14:paraId="7314D4DD" w14:textId="77777777" w:rsidR="00AC2F3D" w:rsidRPr="00074F9D" w:rsidRDefault="00AC2F3D" w:rsidP="00074F9D">
            <w:pPr>
              <w:jc w:val="both"/>
              <w:rPr>
                <w:rFonts w:cstheme="minorHAnsi"/>
              </w:rPr>
            </w:pPr>
          </w:p>
        </w:tc>
      </w:tr>
      <w:tr w:rsidR="00AC2F3D" w:rsidRPr="00074F9D" w14:paraId="4B430112" w14:textId="77777777" w:rsidTr="0008418F">
        <w:tblPrEx>
          <w:tblCellMar>
            <w:left w:w="70" w:type="dxa"/>
            <w:right w:w="70" w:type="dxa"/>
          </w:tblCellMar>
        </w:tblPrEx>
        <w:trPr>
          <w:trHeight w:val="1345"/>
          <w:jc w:val="center"/>
        </w:trPr>
        <w:tc>
          <w:tcPr>
            <w:tcW w:w="4601" w:type="dxa"/>
          </w:tcPr>
          <w:p w14:paraId="66C0E269" w14:textId="17676E0B" w:rsidR="00AC2F3D" w:rsidRPr="00074F9D" w:rsidRDefault="00AC2F3D" w:rsidP="00074F9D">
            <w:pPr>
              <w:keepNext/>
              <w:ind w:right="144"/>
              <w:rPr>
                <w:rFonts w:asciiTheme="minorHAnsi" w:hAnsiTheme="minorHAnsi" w:cstheme="minorHAnsi"/>
                <w:bCs/>
                <w:color w:val="000000" w:themeColor="text1"/>
                <w:sz w:val="18"/>
                <w:szCs w:val="18"/>
              </w:rPr>
            </w:pPr>
            <w:r w:rsidRPr="0008418F">
              <w:rPr>
                <w:rFonts w:cstheme="minorHAnsi"/>
                <w:bCs/>
                <w:i/>
                <w:iCs/>
                <w:color w:val="000000" w:themeColor="text1"/>
                <w:sz w:val="18"/>
                <w:szCs w:val="18"/>
              </w:rPr>
              <w:t>Source</w:t>
            </w:r>
            <w:proofErr w:type="gramStart"/>
            <w:r w:rsidRPr="00317A7A">
              <w:rPr>
                <w:rFonts w:asciiTheme="minorHAnsi" w:hAnsiTheme="minorHAnsi" w:cstheme="minorHAnsi"/>
                <w:bCs/>
                <w:color w:val="000000" w:themeColor="text1"/>
                <w:sz w:val="18"/>
                <w:szCs w:val="18"/>
              </w:rPr>
              <w:t>:</w:t>
            </w:r>
            <w:r w:rsidRPr="00074F9D">
              <w:rPr>
                <w:rFonts w:asciiTheme="minorHAnsi" w:hAnsiTheme="minorHAnsi" w:cstheme="minorHAnsi"/>
                <w:bCs/>
                <w:color w:val="000000" w:themeColor="text1"/>
                <w:sz w:val="18"/>
                <w:szCs w:val="18"/>
              </w:rPr>
              <w:t xml:space="preserve">  World</w:t>
            </w:r>
            <w:proofErr w:type="gramEnd"/>
            <w:r w:rsidRPr="00074F9D">
              <w:rPr>
                <w:rFonts w:asciiTheme="minorHAnsi" w:hAnsiTheme="minorHAnsi" w:cstheme="minorHAnsi"/>
                <w:bCs/>
                <w:color w:val="000000" w:themeColor="text1"/>
                <w:sz w:val="18"/>
                <w:szCs w:val="18"/>
              </w:rPr>
              <w:t xml:space="preserve"> Bank staff </w:t>
            </w:r>
            <w:r>
              <w:rPr>
                <w:rFonts w:asciiTheme="minorHAnsi" w:hAnsiTheme="minorHAnsi" w:cstheme="minorHAnsi"/>
                <w:bCs/>
                <w:color w:val="000000" w:themeColor="text1"/>
                <w:sz w:val="18"/>
                <w:szCs w:val="18"/>
              </w:rPr>
              <w:t>analysis.</w:t>
            </w:r>
          </w:p>
          <w:p w14:paraId="10BAC9B0" w14:textId="44ACD219" w:rsidR="00AC2F3D" w:rsidRPr="00074F9D" w:rsidRDefault="00AC2F3D" w:rsidP="00074F9D">
            <w:pPr>
              <w:keepNext/>
              <w:ind w:right="144"/>
              <w:rPr>
                <w:rFonts w:asciiTheme="minorHAnsi" w:hAnsiTheme="minorHAnsi" w:cstheme="minorHAnsi"/>
                <w:bCs/>
                <w:color w:val="000000" w:themeColor="text1"/>
                <w:sz w:val="18"/>
                <w:szCs w:val="18"/>
              </w:rPr>
            </w:pPr>
            <w:r w:rsidRPr="0008418F">
              <w:rPr>
                <w:rFonts w:cstheme="minorHAnsi"/>
                <w:bCs/>
                <w:i/>
                <w:iCs/>
                <w:color w:val="000000" w:themeColor="text1"/>
                <w:sz w:val="18"/>
                <w:szCs w:val="18"/>
              </w:rPr>
              <w:t>Note</w:t>
            </w:r>
            <w:r w:rsidRPr="00317A7A">
              <w:rPr>
                <w:rFonts w:asciiTheme="minorHAnsi" w:hAnsiTheme="minorHAnsi" w:cstheme="minorHAnsi"/>
                <w:bCs/>
                <w:color w:val="000000" w:themeColor="text1"/>
                <w:sz w:val="18"/>
                <w:szCs w:val="18"/>
              </w:rPr>
              <w:t>:</w:t>
            </w:r>
            <w:r w:rsidRPr="00074F9D">
              <w:rPr>
                <w:rFonts w:asciiTheme="minorHAnsi" w:hAnsiTheme="minorHAnsi" w:cstheme="minorHAnsi"/>
                <w:bCs/>
                <w:color w:val="000000" w:themeColor="text1"/>
                <w:sz w:val="18"/>
                <w:szCs w:val="18"/>
              </w:rPr>
              <w:t xml:space="preserve"> </w:t>
            </w:r>
            <w:r w:rsidRPr="00074F9D">
              <w:rPr>
                <w:rFonts w:asciiTheme="minorHAnsi" w:hAnsiTheme="minorHAnsi" w:cstheme="minorHAnsi"/>
                <w:b/>
                <w:color w:val="FF0000"/>
                <w:sz w:val="18"/>
                <w:szCs w:val="18"/>
              </w:rPr>
              <w:t>Ex</w:t>
            </w:r>
            <w:r w:rsidRPr="00074F9D">
              <w:rPr>
                <w:rFonts w:asciiTheme="minorHAnsi" w:hAnsiTheme="minorHAnsi" w:cstheme="minorHAnsi"/>
                <w:bCs/>
                <w:color w:val="FF0000"/>
                <w:sz w:val="18"/>
                <w:szCs w:val="18"/>
              </w:rPr>
              <w:t xml:space="preserve"> </w:t>
            </w:r>
            <w:r w:rsidRPr="00074F9D">
              <w:rPr>
                <w:rFonts w:asciiTheme="minorHAnsi" w:hAnsiTheme="minorHAnsi" w:cstheme="minorHAnsi"/>
                <w:bCs/>
                <w:color w:val="000000" w:themeColor="text1"/>
                <w:sz w:val="18"/>
                <w:szCs w:val="18"/>
              </w:rPr>
              <w:t xml:space="preserve">= exemption without </w:t>
            </w:r>
            <w:proofErr w:type="gramStart"/>
            <w:r w:rsidRPr="00074F9D">
              <w:rPr>
                <w:rFonts w:asciiTheme="minorHAnsi" w:hAnsiTheme="minorHAnsi" w:cstheme="minorHAnsi"/>
                <w:bCs/>
                <w:color w:val="000000" w:themeColor="text1"/>
                <w:sz w:val="18"/>
                <w:szCs w:val="18"/>
              </w:rPr>
              <w:t>right</w:t>
            </w:r>
            <w:proofErr w:type="gramEnd"/>
            <w:r w:rsidRPr="00074F9D">
              <w:rPr>
                <w:rFonts w:asciiTheme="minorHAnsi" w:hAnsiTheme="minorHAnsi" w:cstheme="minorHAnsi"/>
                <w:bCs/>
                <w:color w:val="000000" w:themeColor="text1"/>
                <w:sz w:val="18"/>
                <w:szCs w:val="18"/>
              </w:rPr>
              <w:t xml:space="preserve"> to deduct/nontaxability, </w:t>
            </w:r>
            <w:r w:rsidRPr="00074F9D">
              <w:rPr>
                <w:rFonts w:asciiTheme="minorHAnsi" w:hAnsiTheme="minorHAnsi" w:cstheme="minorHAnsi"/>
                <w:b/>
                <w:color w:val="7030A0"/>
                <w:sz w:val="18"/>
                <w:szCs w:val="18"/>
              </w:rPr>
              <w:t>FRS</w:t>
            </w:r>
            <w:r w:rsidRPr="00074F9D">
              <w:rPr>
                <w:rFonts w:asciiTheme="minorHAnsi" w:hAnsiTheme="minorHAnsi" w:cstheme="minorHAnsi"/>
                <w:bCs/>
                <w:color w:val="7030A0"/>
                <w:sz w:val="18"/>
                <w:szCs w:val="18"/>
              </w:rPr>
              <w:t xml:space="preserve"> </w:t>
            </w:r>
            <w:r w:rsidRPr="00074F9D">
              <w:rPr>
                <w:rFonts w:asciiTheme="minorHAnsi" w:hAnsiTheme="minorHAnsi" w:cstheme="minorHAnsi"/>
                <w:bCs/>
                <w:color w:val="000000" w:themeColor="text1"/>
                <w:sz w:val="18"/>
                <w:szCs w:val="18"/>
              </w:rPr>
              <w:t>= flat</w:t>
            </w:r>
            <w:r>
              <w:rPr>
                <w:rFonts w:asciiTheme="minorHAnsi" w:hAnsiTheme="minorHAnsi" w:cstheme="minorHAnsi"/>
                <w:bCs/>
                <w:color w:val="000000" w:themeColor="text1"/>
                <w:sz w:val="18"/>
                <w:szCs w:val="18"/>
              </w:rPr>
              <w:t>-</w:t>
            </w:r>
            <w:r w:rsidRPr="00074F9D">
              <w:rPr>
                <w:rFonts w:asciiTheme="minorHAnsi" w:hAnsiTheme="minorHAnsi" w:cstheme="minorHAnsi"/>
                <w:bCs/>
                <w:color w:val="000000" w:themeColor="text1"/>
                <w:sz w:val="18"/>
                <w:szCs w:val="18"/>
              </w:rPr>
              <w:t xml:space="preserve">rate </w:t>
            </w:r>
            <w:proofErr w:type="gramStart"/>
            <w:r w:rsidRPr="00074F9D">
              <w:rPr>
                <w:rFonts w:asciiTheme="minorHAnsi" w:hAnsiTheme="minorHAnsi" w:cstheme="minorHAnsi"/>
                <w:bCs/>
                <w:color w:val="000000" w:themeColor="text1"/>
                <w:sz w:val="18"/>
                <w:szCs w:val="18"/>
              </w:rPr>
              <w:t>scheme (</w:t>
            </w:r>
            <w:r>
              <w:rPr>
                <w:rFonts w:asciiTheme="minorHAnsi" w:hAnsiTheme="minorHAnsi" w:cstheme="minorHAnsi"/>
                <w:bCs/>
                <w:color w:val="000000" w:themeColor="text1"/>
                <w:sz w:val="18"/>
                <w:szCs w:val="18"/>
              </w:rPr>
              <w:t>‘</w:t>
            </w:r>
            <w:proofErr w:type="gramEnd"/>
            <w:r w:rsidRPr="00074F9D">
              <w:rPr>
                <w:rFonts w:asciiTheme="minorHAnsi" w:hAnsiTheme="minorHAnsi" w:cstheme="minorHAnsi"/>
                <w:bCs/>
                <w:color w:val="000000" w:themeColor="text1"/>
                <w:sz w:val="18"/>
                <w:szCs w:val="18"/>
              </w:rPr>
              <w:t>final</w:t>
            </w:r>
            <w:r>
              <w:rPr>
                <w:rFonts w:asciiTheme="minorHAnsi" w:hAnsiTheme="minorHAnsi" w:cstheme="minorHAnsi"/>
                <w:bCs/>
                <w:color w:val="000000" w:themeColor="text1"/>
                <w:sz w:val="18"/>
                <w:szCs w:val="18"/>
              </w:rPr>
              <w:t>’</w:t>
            </w:r>
            <w:r w:rsidRPr="00074F9D">
              <w:rPr>
                <w:rFonts w:asciiTheme="minorHAnsi" w:hAnsiTheme="minorHAnsi" w:cstheme="minorHAnsi"/>
                <w:bCs/>
                <w:color w:val="000000" w:themeColor="text1"/>
                <w:sz w:val="18"/>
                <w:szCs w:val="18"/>
              </w:rPr>
              <w:t xml:space="preserve"> VAT), </w:t>
            </w:r>
            <w:r w:rsidRPr="00074F9D">
              <w:rPr>
                <w:rFonts w:asciiTheme="minorHAnsi" w:hAnsiTheme="minorHAnsi" w:cstheme="minorHAnsi"/>
                <w:b/>
                <w:color w:val="FFC000" w:themeColor="accent4"/>
                <w:sz w:val="18"/>
                <w:szCs w:val="18"/>
              </w:rPr>
              <w:t>RR</w:t>
            </w:r>
            <w:r w:rsidRPr="00074F9D">
              <w:rPr>
                <w:rFonts w:asciiTheme="minorHAnsi" w:hAnsiTheme="minorHAnsi" w:cstheme="minorHAnsi"/>
                <w:bCs/>
                <w:color w:val="FFC000" w:themeColor="accent4"/>
                <w:sz w:val="18"/>
                <w:szCs w:val="18"/>
              </w:rPr>
              <w:t xml:space="preserve"> </w:t>
            </w:r>
            <w:r w:rsidRPr="00074F9D">
              <w:rPr>
                <w:rFonts w:asciiTheme="minorHAnsi" w:hAnsiTheme="minorHAnsi" w:cstheme="minorHAnsi"/>
                <w:bCs/>
                <w:color w:val="000000" w:themeColor="text1"/>
                <w:sz w:val="18"/>
                <w:szCs w:val="18"/>
              </w:rPr>
              <w:t xml:space="preserve">= reduced rate, and </w:t>
            </w:r>
            <w:r w:rsidRPr="00074F9D">
              <w:rPr>
                <w:rFonts w:asciiTheme="minorHAnsi" w:hAnsiTheme="minorHAnsi" w:cstheme="minorHAnsi"/>
                <w:b/>
                <w:color w:val="00B050"/>
                <w:sz w:val="18"/>
                <w:szCs w:val="18"/>
              </w:rPr>
              <w:t>SR</w:t>
            </w:r>
            <w:r w:rsidRPr="00074F9D">
              <w:rPr>
                <w:rFonts w:asciiTheme="minorHAnsi" w:hAnsiTheme="minorHAnsi" w:cstheme="minorHAnsi"/>
                <w:bCs/>
                <w:color w:val="00B050"/>
                <w:sz w:val="18"/>
                <w:szCs w:val="18"/>
              </w:rPr>
              <w:t xml:space="preserve"> </w:t>
            </w:r>
            <w:r w:rsidRPr="00074F9D">
              <w:rPr>
                <w:rFonts w:asciiTheme="minorHAnsi" w:hAnsiTheme="minorHAnsi" w:cstheme="minorHAnsi"/>
                <w:bCs/>
                <w:color w:val="000000" w:themeColor="text1"/>
                <w:sz w:val="18"/>
                <w:szCs w:val="18"/>
              </w:rPr>
              <w:t>= standard rate. * Exempted</w:t>
            </w:r>
            <w:r>
              <w:rPr>
                <w:rFonts w:asciiTheme="minorHAnsi" w:hAnsiTheme="minorHAnsi" w:cstheme="minorHAnsi"/>
                <w:bCs/>
                <w:color w:val="000000" w:themeColor="text1"/>
                <w:sz w:val="18"/>
                <w:szCs w:val="18"/>
              </w:rPr>
              <w:t>;</w:t>
            </w:r>
            <w:r w:rsidRPr="00074F9D">
              <w:rPr>
                <w:rFonts w:asciiTheme="minorHAnsi" w:hAnsiTheme="minorHAnsi" w:cstheme="minorHAnsi"/>
                <w:bCs/>
                <w:color w:val="000000" w:themeColor="text1"/>
                <w:sz w:val="18"/>
                <w:szCs w:val="18"/>
              </w:rPr>
              <w:t xml:space="preserve"> </w:t>
            </w:r>
            <w:r>
              <w:rPr>
                <w:rFonts w:asciiTheme="minorHAnsi" w:hAnsiTheme="minorHAnsi" w:cstheme="minorHAnsi"/>
                <w:bCs/>
                <w:color w:val="000000" w:themeColor="text1"/>
                <w:sz w:val="18"/>
                <w:szCs w:val="18"/>
              </w:rPr>
              <w:t>instead</w:t>
            </w:r>
            <w:r>
              <w:rPr>
                <w:rFonts w:cstheme="minorHAnsi"/>
                <w:bCs/>
                <w:color w:val="000000" w:themeColor="text1"/>
                <w:sz w:val="18"/>
                <w:szCs w:val="18"/>
              </w:rPr>
              <w:t>,</w:t>
            </w:r>
            <w:r>
              <w:rPr>
                <w:rFonts w:asciiTheme="minorHAnsi" w:hAnsiTheme="minorHAnsi" w:cstheme="minorHAnsi"/>
                <w:bCs/>
                <w:color w:val="000000" w:themeColor="text1"/>
                <w:sz w:val="18"/>
                <w:szCs w:val="18"/>
              </w:rPr>
              <w:t xml:space="preserve"> </w:t>
            </w:r>
            <w:r w:rsidRPr="00074F9D">
              <w:rPr>
                <w:rFonts w:asciiTheme="minorHAnsi" w:hAnsiTheme="minorHAnsi" w:cstheme="minorHAnsi"/>
                <w:bCs/>
                <w:color w:val="000000" w:themeColor="text1"/>
                <w:sz w:val="18"/>
                <w:szCs w:val="18"/>
              </w:rPr>
              <w:t xml:space="preserve">subject to final consumption </w:t>
            </w:r>
            <w:proofErr w:type="gramStart"/>
            <w:r w:rsidRPr="00074F9D">
              <w:rPr>
                <w:rFonts w:asciiTheme="minorHAnsi" w:hAnsiTheme="minorHAnsi" w:cstheme="minorHAnsi"/>
                <w:bCs/>
                <w:color w:val="000000" w:themeColor="text1"/>
                <w:sz w:val="18"/>
                <w:szCs w:val="18"/>
              </w:rPr>
              <w:t>tax,</w:t>
            </w:r>
            <w:proofErr w:type="gramEnd"/>
            <w:r w:rsidRPr="00074F9D">
              <w:rPr>
                <w:rFonts w:asciiTheme="minorHAnsi" w:hAnsiTheme="minorHAnsi" w:cstheme="minorHAnsi"/>
                <w:bCs/>
                <w:color w:val="000000" w:themeColor="text1"/>
                <w:sz w:val="18"/>
                <w:szCs w:val="18"/>
              </w:rPr>
              <w:t xml:space="preserve"> collected by district</w:t>
            </w:r>
            <w:r>
              <w:rPr>
                <w:rFonts w:asciiTheme="minorHAnsi" w:hAnsiTheme="minorHAnsi" w:cstheme="minorHAnsi"/>
                <w:bCs/>
                <w:color w:val="000000" w:themeColor="text1"/>
                <w:sz w:val="18"/>
                <w:szCs w:val="18"/>
              </w:rPr>
              <w:t>s</w:t>
            </w:r>
            <w:r w:rsidRPr="00074F9D">
              <w:rPr>
                <w:rFonts w:asciiTheme="minorHAnsi" w:hAnsiTheme="minorHAnsi" w:cstheme="minorHAnsi"/>
                <w:bCs/>
                <w:color w:val="000000" w:themeColor="text1"/>
                <w:sz w:val="18"/>
                <w:szCs w:val="18"/>
              </w:rPr>
              <w:t xml:space="preserve"> governments</w:t>
            </w:r>
            <w:r>
              <w:rPr>
                <w:rFonts w:asciiTheme="minorHAnsi" w:hAnsiTheme="minorHAnsi" w:cstheme="minorHAnsi"/>
                <w:bCs/>
                <w:color w:val="000000" w:themeColor="text1"/>
                <w:sz w:val="18"/>
                <w:szCs w:val="18"/>
              </w:rPr>
              <w:t>.</w:t>
            </w:r>
          </w:p>
        </w:tc>
      </w:tr>
    </w:tbl>
    <w:p w14:paraId="0ECD4129" w14:textId="33671EBD" w:rsidR="009E64DA" w:rsidRPr="00EC36CD" w:rsidRDefault="009E64DA" w:rsidP="004E7BFC">
      <w:pPr>
        <w:pStyle w:val="ListParagraph"/>
        <w:numPr>
          <w:ilvl w:val="0"/>
          <w:numId w:val="12"/>
        </w:numPr>
        <w:spacing w:before="120"/>
        <w:ind w:left="0" w:firstLine="0"/>
        <w:contextualSpacing w:val="0"/>
        <w:jc w:val="both"/>
        <w:rPr>
          <w:color w:val="000000" w:themeColor="text1"/>
        </w:rPr>
      </w:pPr>
      <w:r w:rsidRPr="00613C68">
        <w:rPr>
          <w:b/>
          <w:bCs/>
          <w:color w:val="000000" w:themeColor="text1"/>
        </w:rPr>
        <w:t>Exemptions</w:t>
      </w:r>
      <w:r>
        <w:rPr>
          <w:b/>
          <w:bCs/>
          <w:color w:val="000000" w:themeColor="text1"/>
        </w:rPr>
        <w:t xml:space="preserve"> erode the VAT base and create a cascading effect by breaking VAT chains. </w:t>
      </w:r>
      <w:r>
        <w:rPr>
          <w:color w:val="000000" w:themeColor="text1"/>
        </w:rPr>
        <w:t xml:space="preserve">The downside of the exemption for the firm is that VAT paid on inputs cannot be credited. </w:t>
      </w:r>
      <w:r w:rsidR="00203D98">
        <w:rPr>
          <w:color w:val="000000" w:themeColor="text1"/>
        </w:rPr>
        <w:t>W</w:t>
      </w:r>
      <w:r>
        <w:rPr>
          <w:color w:val="000000" w:themeColor="text1"/>
        </w:rPr>
        <w:t xml:space="preserve">hen exemptions occur at the intermediate stage, </w:t>
      </w:r>
      <w:r w:rsidR="00203D98">
        <w:rPr>
          <w:color w:val="000000" w:themeColor="text1"/>
        </w:rPr>
        <w:t xml:space="preserve">therefore, </w:t>
      </w:r>
      <w:r>
        <w:rPr>
          <w:color w:val="000000" w:themeColor="text1"/>
        </w:rPr>
        <w:t>the price charged by downstream firms (using the exempt input) will rise to cover their increased costs, tax on output increases too (see A</w:t>
      </w:r>
      <w:r w:rsidR="00203D98">
        <w:rPr>
          <w:color w:val="000000" w:themeColor="text1"/>
        </w:rPr>
        <w:t>ppendix</w:t>
      </w:r>
      <w:r>
        <w:rPr>
          <w:color w:val="000000" w:themeColor="text1"/>
        </w:rPr>
        <w:t xml:space="preserve"> 2). When exemptions occur at the final stage, the result is a loss of revenue because value added at the final stage escapes tax. </w:t>
      </w:r>
      <w:r w:rsidR="00203D98">
        <w:rPr>
          <w:color w:val="000000" w:themeColor="text1"/>
        </w:rPr>
        <w:t>S</w:t>
      </w:r>
      <w:r>
        <w:rPr>
          <w:color w:val="000000" w:themeColor="text1"/>
        </w:rPr>
        <w:t xml:space="preserve">ellers of exempt products will </w:t>
      </w:r>
      <w:r w:rsidR="00203D98">
        <w:rPr>
          <w:color w:val="000000" w:themeColor="text1"/>
        </w:rPr>
        <w:t xml:space="preserve">also </w:t>
      </w:r>
      <w:r>
        <w:rPr>
          <w:color w:val="000000" w:themeColor="text1"/>
        </w:rPr>
        <w:t xml:space="preserve">have the incentive to do a vertical integration, so that they can self-supply the input to avoid incurring unrecoverable input VAT. </w:t>
      </w:r>
      <w:r w:rsidRPr="00BB348E">
        <w:rPr>
          <w:color w:val="000000" w:themeColor="text1"/>
        </w:rPr>
        <w:t>When</w:t>
      </w:r>
      <w:r>
        <w:rPr>
          <w:color w:val="000000" w:themeColor="text1"/>
        </w:rPr>
        <w:t xml:space="preserve"> exemptions are extensively </w:t>
      </w:r>
      <w:proofErr w:type="gramStart"/>
      <w:r>
        <w:rPr>
          <w:color w:val="000000" w:themeColor="text1"/>
        </w:rPr>
        <w:t>used</w:t>
      </w:r>
      <w:proofErr w:type="gramEnd"/>
      <w:r>
        <w:rPr>
          <w:color w:val="000000" w:themeColor="text1"/>
        </w:rPr>
        <w:t xml:space="preserve"> they will complicate the VAT system and increase the compliance and administrative </w:t>
      </w:r>
      <w:r w:rsidRPr="00866461">
        <w:rPr>
          <w:color w:val="000000" w:themeColor="text1"/>
        </w:rPr>
        <w:t>costs</w:t>
      </w:r>
      <w:r>
        <w:rPr>
          <w:color w:val="000000" w:themeColor="text1"/>
        </w:rPr>
        <w:t xml:space="preserve"> borne by businesses</w:t>
      </w:r>
      <w:r w:rsidRPr="00866461">
        <w:rPr>
          <w:color w:val="000000" w:themeColor="text1"/>
        </w:rPr>
        <w:t xml:space="preserve">. </w:t>
      </w:r>
      <w:r w:rsidRPr="00BB348E">
        <w:rPr>
          <w:color w:val="000000" w:themeColor="text1"/>
        </w:rPr>
        <w:t xml:space="preserve">For example, </w:t>
      </w:r>
      <w:r>
        <w:rPr>
          <w:color w:val="000000" w:themeColor="text1"/>
        </w:rPr>
        <w:t>when</w:t>
      </w:r>
      <w:r w:rsidRPr="00BB348E">
        <w:rPr>
          <w:color w:val="000000" w:themeColor="text1"/>
        </w:rPr>
        <w:t xml:space="preserve"> businesses use their inputs for exempt and nonexempt production</w:t>
      </w:r>
      <w:r>
        <w:rPr>
          <w:color w:val="000000" w:themeColor="text1"/>
        </w:rPr>
        <w:t>,</w:t>
      </w:r>
      <w:r w:rsidRPr="00BB348E">
        <w:rPr>
          <w:color w:val="000000" w:themeColor="text1"/>
        </w:rPr>
        <w:t xml:space="preserve"> they need to track and allocate the value of their inputs separately to file the VAT refund claim. </w:t>
      </w:r>
    </w:p>
    <w:p w14:paraId="7E806EE2" w14:textId="328798BC" w:rsidR="00FD48D0" w:rsidRDefault="00604783" w:rsidP="007860FD">
      <w:pPr>
        <w:pStyle w:val="ListParagraph"/>
        <w:numPr>
          <w:ilvl w:val="0"/>
          <w:numId w:val="12"/>
        </w:numPr>
        <w:spacing w:before="120"/>
        <w:ind w:left="0" w:firstLine="0"/>
        <w:contextualSpacing w:val="0"/>
        <w:jc w:val="both"/>
        <w:rPr>
          <w:color w:val="000000" w:themeColor="text1"/>
        </w:rPr>
      </w:pPr>
      <w:r w:rsidRPr="00BB46D2">
        <w:rPr>
          <w:b/>
          <w:bCs/>
          <w:color w:val="000000" w:themeColor="text1"/>
        </w:rPr>
        <w:t>While the incidence of VAT is neutral across the consumption distribution</w:t>
      </w:r>
      <w:r w:rsidR="00F43F4D" w:rsidRPr="00BB46D2">
        <w:rPr>
          <w:b/>
          <w:bCs/>
          <w:color w:val="000000" w:themeColor="text1"/>
        </w:rPr>
        <w:t xml:space="preserve"> </w:t>
      </w:r>
      <w:r w:rsidR="00F43F4D" w:rsidRPr="00F567D6">
        <w:rPr>
          <w:b/>
          <w:color w:val="000000" w:themeColor="text1"/>
        </w:rPr>
        <w:t>(Figure 4.</w:t>
      </w:r>
      <w:r w:rsidR="000F1DC0">
        <w:rPr>
          <w:b/>
          <w:color w:val="000000" w:themeColor="text1"/>
        </w:rPr>
        <w:t>7</w:t>
      </w:r>
      <w:r w:rsidR="00F43F4D" w:rsidRPr="00F567D6">
        <w:rPr>
          <w:b/>
          <w:color w:val="000000" w:themeColor="text1"/>
        </w:rPr>
        <w:t>)</w:t>
      </w:r>
      <w:r w:rsidRPr="00BB46D2">
        <w:rPr>
          <w:b/>
          <w:bCs/>
          <w:color w:val="000000" w:themeColor="text1"/>
        </w:rPr>
        <w:t>, VAT exemptions disproportionately benefit richer households</w:t>
      </w:r>
      <w:r w:rsidR="00F43F4D" w:rsidRPr="00BB46D2">
        <w:rPr>
          <w:b/>
          <w:bCs/>
          <w:color w:val="000000" w:themeColor="text1"/>
        </w:rPr>
        <w:t xml:space="preserve"> </w:t>
      </w:r>
      <w:r w:rsidR="00F43F4D" w:rsidRPr="00F567D6">
        <w:rPr>
          <w:b/>
          <w:color w:val="000000" w:themeColor="text1"/>
        </w:rPr>
        <w:t>(Figure 4.</w:t>
      </w:r>
      <w:r w:rsidR="000F1DC0">
        <w:rPr>
          <w:b/>
          <w:color w:val="000000" w:themeColor="text1"/>
        </w:rPr>
        <w:t>8</w:t>
      </w:r>
      <w:r w:rsidR="00F43F4D" w:rsidRPr="00F567D6">
        <w:rPr>
          <w:b/>
          <w:color w:val="000000" w:themeColor="text1"/>
        </w:rPr>
        <w:t>)</w:t>
      </w:r>
      <w:r w:rsidRPr="00BB46D2">
        <w:rPr>
          <w:b/>
          <w:bCs/>
          <w:color w:val="000000" w:themeColor="text1"/>
        </w:rPr>
        <w:t xml:space="preserve">. </w:t>
      </w:r>
      <w:r w:rsidRPr="00BB46D2">
        <w:rPr>
          <w:color w:val="000000" w:themeColor="text1"/>
        </w:rPr>
        <w:t xml:space="preserve">In 2019, the World Bank estimated VAT’s fiscal incidence, which measures the extent to which the tax burden is split among households </w:t>
      </w:r>
      <w:r w:rsidR="00241375" w:rsidRPr="00BB46D2">
        <w:rPr>
          <w:color w:val="000000" w:themeColor="text1"/>
        </w:rPr>
        <w:t xml:space="preserve">with </w:t>
      </w:r>
      <w:r w:rsidRPr="00BB46D2">
        <w:rPr>
          <w:color w:val="000000" w:themeColor="text1"/>
        </w:rPr>
        <w:t>different level</w:t>
      </w:r>
      <w:r w:rsidR="00241375" w:rsidRPr="00BB46D2">
        <w:rPr>
          <w:color w:val="000000" w:themeColor="text1"/>
        </w:rPr>
        <w:t>s</w:t>
      </w:r>
      <w:r w:rsidRPr="00BB46D2">
        <w:rPr>
          <w:color w:val="000000" w:themeColor="text1"/>
        </w:rPr>
        <w:t xml:space="preserve"> of consumption.</w:t>
      </w:r>
      <w:r w:rsidRPr="00BB46D2">
        <w:rPr>
          <w:color w:val="000000" w:themeColor="text1"/>
          <w:vertAlign w:val="superscript"/>
        </w:rPr>
        <w:footnoteReference w:id="95"/>
      </w:r>
      <w:r w:rsidRPr="00BB46D2">
        <w:rPr>
          <w:color w:val="000000" w:themeColor="text1"/>
        </w:rPr>
        <w:t xml:space="preserve"> </w:t>
      </w:r>
      <w:r w:rsidR="00203D98">
        <w:rPr>
          <w:color w:val="000000" w:themeColor="text1"/>
        </w:rPr>
        <w:t>Most households across the income deciles</w:t>
      </w:r>
      <w:r w:rsidRPr="00BB46D2">
        <w:rPr>
          <w:color w:val="000000" w:themeColor="text1"/>
        </w:rPr>
        <w:t xml:space="preserve"> pay </w:t>
      </w:r>
      <w:r w:rsidR="00CB262B">
        <w:rPr>
          <w:color w:val="000000" w:themeColor="text1"/>
        </w:rPr>
        <w:t>about</w:t>
      </w:r>
      <w:r w:rsidRPr="00BB46D2">
        <w:rPr>
          <w:color w:val="000000" w:themeColor="text1"/>
        </w:rPr>
        <w:t xml:space="preserve"> 7 percent of their market income for VAT</w:t>
      </w:r>
      <w:r w:rsidR="00203D98">
        <w:rPr>
          <w:rFonts w:cstheme="minorHAnsi"/>
          <w:color w:val="000000" w:themeColor="text1"/>
        </w:rPr>
        <w:t>–</w:t>
      </w:r>
      <w:r w:rsidR="00B92D50">
        <w:rPr>
          <w:color w:val="000000" w:themeColor="text1"/>
        </w:rPr>
        <w:t xml:space="preserve">suggesting </w:t>
      </w:r>
      <w:r w:rsidR="00203D98">
        <w:rPr>
          <w:color w:val="000000" w:themeColor="text1"/>
        </w:rPr>
        <w:t xml:space="preserve">that </w:t>
      </w:r>
      <w:r w:rsidR="00E46783">
        <w:rPr>
          <w:color w:val="000000" w:themeColor="text1"/>
        </w:rPr>
        <w:t>the incidence of VAT</w:t>
      </w:r>
      <w:r w:rsidR="0070379B">
        <w:rPr>
          <w:color w:val="000000" w:themeColor="text1"/>
        </w:rPr>
        <w:t xml:space="preserve"> in Indonesia is </w:t>
      </w:r>
      <w:r w:rsidR="004E65E0">
        <w:rPr>
          <w:color w:val="000000" w:themeColor="text1"/>
        </w:rPr>
        <w:lastRenderedPageBreak/>
        <w:t>broadly neutral</w:t>
      </w:r>
      <w:r w:rsidR="00507C04">
        <w:rPr>
          <w:color w:val="000000" w:themeColor="text1"/>
        </w:rPr>
        <w:t xml:space="preserve"> </w:t>
      </w:r>
      <w:r w:rsidR="00A9764C">
        <w:rPr>
          <w:color w:val="000000" w:themeColor="text1"/>
        </w:rPr>
        <w:t xml:space="preserve">to weakly progressive </w:t>
      </w:r>
      <w:r w:rsidR="008B6D4B">
        <w:rPr>
          <w:color w:val="000000" w:themeColor="text1"/>
        </w:rPr>
        <w:t>across</w:t>
      </w:r>
      <w:r w:rsidR="00A224C6">
        <w:rPr>
          <w:color w:val="000000" w:themeColor="text1"/>
        </w:rPr>
        <w:t xml:space="preserve"> the income distribution</w:t>
      </w:r>
      <w:r w:rsidRPr="00BB46D2">
        <w:rPr>
          <w:color w:val="000000" w:themeColor="text1"/>
        </w:rPr>
        <w:t>.</w:t>
      </w:r>
      <w:r w:rsidRPr="00BB46D2">
        <w:rPr>
          <w:color w:val="000000" w:themeColor="text1"/>
          <w:vertAlign w:val="superscript"/>
        </w:rPr>
        <w:footnoteReference w:id="96"/>
      </w:r>
      <w:r w:rsidRPr="00BB46D2">
        <w:rPr>
          <w:color w:val="000000" w:themeColor="text1"/>
        </w:rPr>
        <w:t xml:space="preserve"> </w:t>
      </w:r>
      <w:r w:rsidR="007860FD" w:rsidRPr="007860FD">
        <w:rPr>
          <w:color w:val="000000" w:themeColor="text1"/>
        </w:rPr>
        <w:t>On the other hand</w:t>
      </w:r>
      <w:r w:rsidRPr="007860FD">
        <w:rPr>
          <w:color w:val="000000" w:themeColor="text1"/>
        </w:rPr>
        <w:t xml:space="preserve">, about </w:t>
      </w:r>
      <w:r w:rsidR="00203D98">
        <w:rPr>
          <w:color w:val="000000" w:themeColor="text1"/>
        </w:rPr>
        <w:t>one-</w:t>
      </w:r>
      <w:r w:rsidRPr="007860FD">
        <w:rPr>
          <w:color w:val="000000" w:themeColor="text1"/>
        </w:rPr>
        <w:t>half</w:t>
      </w:r>
      <w:r w:rsidR="00203D98">
        <w:rPr>
          <w:color w:val="000000" w:themeColor="text1"/>
        </w:rPr>
        <w:t xml:space="preserve"> of</w:t>
      </w:r>
      <w:r w:rsidRPr="007860FD">
        <w:rPr>
          <w:color w:val="000000" w:themeColor="text1"/>
        </w:rPr>
        <w:t xml:space="preserve"> the value of VAT exemptions accrue to the top 30 percent </w:t>
      </w:r>
      <w:r w:rsidR="00203D98">
        <w:rPr>
          <w:color w:val="000000" w:themeColor="text1"/>
        </w:rPr>
        <w:t xml:space="preserve">of </w:t>
      </w:r>
      <w:r w:rsidRPr="007860FD">
        <w:rPr>
          <w:color w:val="000000" w:themeColor="text1"/>
        </w:rPr>
        <w:t xml:space="preserve">households (Figure </w:t>
      </w:r>
      <w:r w:rsidR="00DC4B9D" w:rsidRPr="007860FD">
        <w:rPr>
          <w:color w:val="000000" w:themeColor="text1"/>
        </w:rPr>
        <w:t>4.</w:t>
      </w:r>
      <w:r w:rsidR="00C6011E">
        <w:rPr>
          <w:color w:val="000000" w:themeColor="text1"/>
        </w:rPr>
        <w:t>8</w:t>
      </w:r>
      <w:r w:rsidRPr="007860FD">
        <w:rPr>
          <w:color w:val="000000" w:themeColor="text1"/>
        </w:rPr>
        <w:t xml:space="preserve">). </w:t>
      </w:r>
    </w:p>
    <w:p w14:paraId="7F15314E" w14:textId="538DBB40" w:rsidR="007B7749" w:rsidRPr="0008418F" w:rsidRDefault="00604783" w:rsidP="007860FD">
      <w:pPr>
        <w:pStyle w:val="ListParagraph"/>
        <w:numPr>
          <w:ilvl w:val="0"/>
          <w:numId w:val="12"/>
        </w:numPr>
        <w:spacing w:before="120"/>
        <w:ind w:left="0" w:firstLine="0"/>
        <w:contextualSpacing w:val="0"/>
        <w:jc w:val="both"/>
        <w:rPr>
          <w:color w:val="000000" w:themeColor="text1"/>
        </w:rPr>
      </w:pPr>
      <w:r w:rsidRPr="0008418F">
        <w:rPr>
          <w:b/>
          <w:bCs/>
          <w:color w:val="000000" w:themeColor="text1"/>
        </w:rPr>
        <w:t xml:space="preserve">Al-Rikabi and </w:t>
      </w:r>
      <w:proofErr w:type="spellStart"/>
      <w:r w:rsidRPr="0008418F">
        <w:rPr>
          <w:b/>
          <w:bCs/>
          <w:color w:val="000000" w:themeColor="text1"/>
        </w:rPr>
        <w:t>Guardarucci</w:t>
      </w:r>
      <w:proofErr w:type="spellEnd"/>
      <w:r w:rsidRPr="0008418F">
        <w:rPr>
          <w:b/>
          <w:bCs/>
          <w:color w:val="000000" w:themeColor="text1"/>
        </w:rPr>
        <w:t xml:space="preserve"> </w:t>
      </w:r>
      <w:r w:rsidR="00483E31" w:rsidRPr="0008418F">
        <w:rPr>
          <w:b/>
          <w:bCs/>
          <w:color w:val="000000" w:themeColor="text1"/>
        </w:rPr>
        <w:t>(</w:t>
      </w:r>
      <w:r w:rsidR="00525612" w:rsidRPr="0008418F">
        <w:rPr>
          <w:b/>
          <w:bCs/>
          <w:color w:val="000000" w:themeColor="text1"/>
        </w:rPr>
        <w:t>F</w:t>
      </w:r>
      <w:r w:rsidR="00790098" w:rsidRPr="0008418F">
        <w:rPr>
          <w:b/>
          <w:bCs/>
          <w:color w:val="000000" w:themeColor="text1"/>
        </w:rPr>
        <w:t>orthcoming</w:t>
      </w:r>
      <w:r w:rsidRPr="0008418F">
        <w:rPr>
          <w:b/>
          <w:bCs/>
          <w:color w:val="000000" w:themeColor="text1"/>
        </w:rPr>
        <w:t xml:space="preserve">) </w:t>
      </w:r>
      <w:r w:rsidR="00FD48D0" w:rsidRPr="0008418F">
        <w:rPr>
          <w:b/>
          <w:bCs/>
          <w:color w:val="000000" w:themeColor="text1"/>
        </w:rPr>
        <w:t>find that</w:t>
      </w:r>
      <w:r w:rsidRPr="0008418F">
        <w:rPr>
          <w:b/>
          <w:bCs/>
          <w:color w:val="000000" w:themeColor="text1"/>
        </w:rPr>
        <w:t xml:space="preserve"> VAT exemptions are mainly captured by mega-large firms</w:t>
      </w:r>
      <w:r w:rsidR="00FD48D0" w:rsidRPr="0008418F">
        <w:rPr>
          <w:rFonts w:cstheme="minorHAnsi"/>
          <w:b/>
          <w:bCs/>
          <w:color w:val="000000" w:themeColor="text1"/>
        </w:rPr>
        <w:t>–</w:t>
      </w:r>
      <w:r w:rsidR="006238E9" w:rsidRPr="0008418F">
        <w:rPr>
          <w:b/>
          <w:bCs/>
          <w:color w:val="000000" w:themeColor="text1"/>
        </w:rPr>
        <w:t>those with sales above R</w:t>
      </w:r>
      <w:r w:rsidR="0004266E" w:rsidRPr="0008418F">
        <w:rPr>
          <w:b/>
          <w:bCs/>
          <w:color w:val="000000" w:themeColor="text1"/>
        </w:rPr>
        <w:t>p</w:t>
      </w:r>
      <w:r w:rsidR="006238E9" w:rsidRPr="0008418F">
        <w:rPr>
          <w:b/>
          <w:bCs/>
          <w:color w:val="000000" w:themeColor="text1"/>
        </w:rPr>
        <w:t xml:space="preserve"> 50 billion</w:t>
      </w:r>
      <w:r w:rsidR="00C56ADC" w:rsidRPr="0008418F">
        <w:rPr>
          <w:b/>
          <w:bCs/>
          <w:color w:val="000000" w:themeColor="text1"/>
        </w:rPr>
        <w:t xml:space="preserve"> </w:t>
      </w:r>
      <w:r w:rsidR="006921A2" w:rsidRPr="0008418F">
        <w:rPr>
          <w:b/>
          <w:bCs/>
          <w:color w:val="000000" w:themeColor="text1"/>
        </w:rPr>
        <w:t>(the top</w:t>
      </w:r>
      <w:r w:rsidR="00B70FD1" w:rsidRPr="0008418F">
        <w:rPr>
          <w:b/>
          <w:bCs/>
          <w:color w:val="000000" w:themeColor="text1"/>
        </w:rPr>
        <w:t xml:space="preserve"> 1 to 2 percent) </w:t>
      </w:r>
      <w:r w:rsidR="00C56ADC" w:rsidRPr="0008418F">
        <w:rPr>
          <w:b/>
          <w:bCs/>
          <w:color w:val="000000" w:themeColor="text1"/>
        </w:rPr>
        <w:t xml:space="preserve">and whose sales are largely concentrated </w:t>
      </w:r>
      <w:r w:rsidR="00D0656E" w:rsidRPr="0008418F">
        <w:rPr>
          <w:b/>
          <w:bCs/>
          <w:color w:val="000000" w:themeColor="text1"/>
        </w:rPr>
        <w:t xml:space="preserve">in the higher income </w:t>
      </w:r>
      <w:r w:rsidR="00DC676D" w:rsidRPr="0008418F">
        <w:rPr>
          <w:b/>
          <w:bCs/>
          <w:color w:val="000000" w:themeColor="text1"/>
        </w:rPr>
        <w:t>deciles</w:t>
      </w:r>
      <w:r w:rsidRPr="0008418F">
        <w:rPr>
          <w:b/>
          <w:bCs/>
          <w:color w:val="000000" w:themeColor="text1"/>
        </w:rPr>
        <w:t>.</w:t>
      </w:r>
      <w:r w:rsidR="00472288" w:rsidRPr="007860FD">
        <w:rPr>
          <w:color w:val="000000" w:themeColor="text1"/>
        </w:rPr>
        <w:t xml:space="preserve"> This implies </w:t>
      </w:r>
      <w:r w:rsidR="009D0EC2" w:rsidRPr="007860FD">
        <w:rPr>
          <w:rFonts w:cstheme="minorHAnsi"/>
        </w:rPr>
        <w:t>rationalizing VAT exemptions is likely progressive in the Indonesian context.</w:t>
      </w:r>
      <w:r w:rsidR="00EF73DD">
        <w:rPr>
          <w:rFonts w:cstheme="minorHAnsi"/>
        </w:rPr>
        <w:t xml:space="preserve"> Despite this justification,</w:t>
      </w:r>
      <w:r w:rsidR="0050308D">
        <w:rPr>
          <w:rFonts w:cstheme="minorHAnsi"/>
        </w:rPr>
        <w:t xml:space="preserve"> rationalizing </w:t>
      </w:r>
      <w:r w:rsidR="00963A83">
        <w:rPr>
          <w:rFonts w:cstheme="minorHAnsi"/>
        </w:rPr>
        <w:t xml:space="preserve">VAT exemptions will still impact </w:t>
      </w:r>
      <w:r w:rsidR="000A2A88">
        <w:rPr>
          <w:rFonts w:cstheme="minorHAnsi"/>
        </w:rPr>
        <w:t>poorer households more significantly</w:t>
      </w:r>
      <w:r w:rsidR="003415D7">
        <w:rPr>
          <w:rFonts w:cstheme="minorHAnsi"/>
        </w:rPr>
        <w:t>.</w:t>
      </w:r>
      <w:r w:rsidR="000A2A88">
        <w:rPr>
          <w:rFonts w:cstheme="minorHAnsi"/>
        </w:rPr>
        <w:t xml:space="preserve"> </w:t>
      </w:r>
      <w:r w:rsidR="005F1977">
        <w:rPr>
          <w:rFonts w:cstheme="minorHAnsi"/>
        </w:rPr>
        <w:t xml:space="preserve">Based on an internal World Bank analysis using SUSENAS March 2019 data, </w:t>
      </w:r>
      <w:r w:rsidR="00673836">
        <w:rPr>
          <w:rFonts w:cstheme="minorHAnsi"/>
        </w:rPr>
        <w:t xml:space="preserve">the </w:t>
      </w:r>
      <w:r w:rsidR="00807F90">
        <w:rPr>
          <w:rFonts w:cstheme="minorHAnsi"/>
        </w:rPr>
        <w:t>full remova</w:t>
      </w:r>
      <w:r w:rsidR="001068C5">
        <w:rPr>
          <w:rFonts w:cstheme="minorHAnsi"/>
        </w:rPr>
        <w:t>l</w:t>
      </w:r>
      <w:r w:rsidR="00807F90">
        <w:rPr>
          <w:rFonts w:cstheme="minorHAnsi"/>
        </w:rPr>
        <w:t xml:space="preserve"> of VAT ex</w:t>
      </w:r>
      <w:r w:rsidR="001068C5">
        <w:rPr>
          <w:rFonts w:cstheme="minorHAnsi"/>
        </w:rPr>
        <w:t xml:space="preserve">emptions </w:t>
      </w:r>
      <w:r w:rsidR="009C6043">
        <w:rPr>
          <w:rFonts w:cstheme="minorHAnsi"/>
        </w:rPr>
        <w:t xml:space="preserve">will </w:t>
      </w:r>
      <w:r w:rsidR="007C57E0">
        <w:rPr>
          <w:rFonts w:cstheme="minorHAnsi"/>
        </w:rPr>
        <w:t xml:space="preserve">further </w:t>
      </w:r>
      <w:r w:rsidR="00827A9E">
        <w:rPr>
          <w:rFonts w:cstheme="minorHAnsi"/>
        </w:rPr>
        <w:t>increase</w:t>
      </w:r>
      <w:r w:rsidR="008401A4">
        <w:rPr>
          <w:rFonts w:cstheme="minorHAnsi"/>
        </w:rPr>
        <w:t xml:space="preserve"> the burden on the poor: </w:t>
      </w:r>
      <w:r w:rsidR="003033F3">
        <w:rPr>
          <w:rFonts w:cstheme="minorHAnsi"/>
        </w:rPr>
        <w:t xml:space="preserve">the additional </w:t>
      </w:r>
      <w:r w:rsidR="004F27FE">
        <w:rPr>
          <w:rFonts w:cstheme="minorHAnsi"/>
        </w:rPr>
        <w:t xml:space="preserve">VAT payment </w:t>
      </w:r>
      <w:r w:rsidR="00B34F40">
        <w:rPr>
          <w:rFonts w:cstheme="minorHAnsi"/>
        </w:rPr>
        <w:t xml:space="preserve">on the bottom 40 percent will increase </w:t>
      </w:r>
      <w:r w:rsidR="000F4D30">
        <w:rPr>
          <w:rFonts w:cstheme="minorHAnsi"/>
        </w:rPr>
        <w:t>by 2</w:t>
      </w:r>
      <w:r w:rsidR="002A7C53">
        <w:rPr>
          <w:rFonts w:cstheme="minorHAnsi"/>
        </w:rPr>
        <w:t xml:space="preserve"> percentage points, relative to the market income.</w:t>
      </w:r>
      <w:r w:rsidR="004E7AC8">
        <w:rPr>
          <w:rFonts w:cstheme="minorHAnsi"/>
        </w:rPr>
        <w:t xml:space="preserve"> Targeted social assistance may</w:t>
      </w:r>
      <w:r w:rsidR="00FD48D0">
        <w:rPr>
          <w:rFonts w:cstheme="minorHAnsi"/>
        </w:rPr>
        <w:t>, therefore,</w:t>
      </w:r>
      <w:r w:rsidR="004E7AC8">
        <w:rPr>
          <w:rFonts w:cstheme="minorHAnsi"/>
        </w:rPr>
        <w:t xml:space="preserve"> be needed to protect the poor and vulnerable when implement</w:t>
      </w:r>
      <w:r w:rsidR="00FD48D0">
        <w:rPr>
          <w:rFonts w:cstheme="minorHAnsi"/>
        </w:rPr>
        <w:t>ing</w:t>
      </w:r>
      <w:r w:rsidR="004E7AC8">
        <w:rPr>
          <w:rFonts w:cstheme="minorHAnsi"/>
        </w:rPr>
        <w:t xml:space="preserve"> such reform. </w:t>
      </w:r>
    </w:p>
    <w:tbl>
      <w:tblPr>
        <w:tblStyle w:val="TableGrid5"/>
        <w:tblW w:w="971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4855"/>
      </w:tblGrid>
      <w:tr w:rsidR="00203D98" w:rsidRPr="00B14D49" w14:paraId="62013BFD" w14:textId="77777777" w:rsidTr="0008418F">
        <w:tc>
          <w:tcPr>
            <w:tcW w:w="4860" w:type="dxa"/>
          </w:tcPr>
          <w:p w14:paraId="6B4E472A" w14:textId="77777777" w:rsidR="00203D98" w:rsidRPr="0008418F" w:rsidRDefault="00203D98" w:rsidP="0008418F">
            <w:pPr>
              <w:pStyle w:val="ListParagraph"/>
              <w:spacing w:before="120" w:after="120"/>
              <w:ind w:left="150"/>
              <w:jc w:val="both"/>
              <w:rPr>
                <w:rFonts w:asciiTheme="minorHAnsi" w:eastAsiaTheme="minorHAnsi" w:hAnsiTheme="minorHAnsi" w:cstheme="minorHAnsi"/>
                <w:b/>
                <w:color w:val="0C4DA2"/>
                <w:sz w:val="22"/>
                <w:szCs w:val="22"/>
              </w:rPr>
            </w:pPr>
            <w:r w:rsidRPr="0008418F">
              <w:rPr>
                <w:rFonts w:cstheme="minorHAnsi"/>
                <w:b/>
                <w:noProof/>
                <w:color w:val="0C4DA2"/>
              </w:rPr>
              <mc:AlternateContent>
                <mc:Choice Requires="wps">
                  <w:drawing>
                    <wp:anchor distT="0" distB="0" distL="114300" distR="114300" simplePos="0" relativeHeight="251658247" behindDoc="0" locked="0" layoutInCell="1" allowOverlap="1" wp14:anchorId="13237E22" wp14:editId="53AA8EAE">
                      <wp:simplePos x="0" y="0"/>
                      <wp:positionH relativeFrom="column">
                        <wp:posOffset>1837690</wp:posOffset>
                      </wp:positionH>
                      <wp:positionV relativeFrom="paragraph">
                        <wp:posOffset>-19365264</wp:posOffset>
                      </wp:positionV>
                      <wp:extent cx="584200" cy="247650"/>
                      <wp:effectExtent l="0" t="0" r="0" b="0"/>
                      <wp:wrapNone/>
                      <wp:docPr id="113508399" name="Text Box 113508399"/>
                      <wp:cNvGraphicFramePr/>
                      <a:graphic xmlns:a="http://schemas.openxmlformats.org/drawingml/2006/main">
                        <a:graphicData uri="http://schemas.microsoft.com/office/word/2010/wordprocessingShape">
                          <wps:wsp>
                            <wps:cNvSpPr txBox="1"/>
                            <wps:spPr>
                              <a:xfrm>
                                <a:off x="0" y="0"/>
                                <a:ext cx="584200" cy="247650"/>
                              </a:xfrm>
                              <a:prstGeom prst="rect">
                                <a:avLst/>
                              </a:prstGeom>
                              <a:noFill/>
                              <a:ln w="6350">
                                <a:noFill/>
                              </a:ln>
                            </wps:spPr>
                            <wps:txbx>
                              <w:txbxContent>
                                <w:p w14:paraId="72E23669" w14:textId="77777777" w:rsidR="00203D98" w:rsidRPr="009333B6" w:rsidRDefault="00203D98" w:rsidP="00203D98">
                                  <w:pPr>
                                    <w:rPr>
                                      <w:rFonts w:ascii="Arial" w:hAnsi="Arial" w:cs="Arial"/>
                                      <w:sz w:val="16"/>
                                      <w:szCs w:val="16"/>
                                    </w:rPr>
                                  </w:pPr>
                                  <w:r>
                                    <w:rPr>
                                      <w:rFonts w:ascii="Arial" w:hAnsi="Arial" w:cs="Arial"/>
                                      <w:sz w:val="16"/>
                                      <w:szCs w:val="16"/>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37E22" id="Text Box 113508399" o:spid="_x0000_s1030" type="#_x0000_t202" style="position:absolute;left:0;text-align:left;margin-left:144.7pt;margin-top:-1524.8pt;width:46pt;height:19.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" filled="f" stroked="f" strokeweight=".5pt">
                      <v:textbox>
                        <w:txbxContent>
                          <w:p w14:paraId="72E23669" w14:textId="77777777" w:rsidR="00203D98" w:rsidRPr="009333B6" w:rsidRDefault="00203D98" w:rsidP="00203D98">
                            <w:pPr>
                              <w:rPr>
                                <w:rFonts w:ascii="Arial" w:hAnsi="Arial" w:cs="Arial"/>
                                <w:sz w:val="16"/>
                                <w:szCs w:val="16"/>
                              </w:rPr>
                            </w:pPr>
                            <w:r>
                              <w:rPr>
                                <w:rFonts w:ascii="Arial" w:hAnsi="Arial" w:cs="Arial"/>
                                <w:sz w:val="16"/>
                                <w:szCs w:val="16"/>
                              </w:rPr>
                              <w:t>Baseline</w:t>
                            </w:r>
                          </w:p>
                        </w:txbxContent>
                      </v:textbox>
                    </v:shape>
                  </w:pict>
                </mc:Fallback>
              </mc:AlternateContent>
            </w:r>
            <w:r w:rsidRPr="0008418F">
              <w:rPr>
                <w:rFonts w:cstheme="minorHAnsi"/>
                <w:b/>
                <w:color w:val="0C4DA2"/>
              </w:rPr>
              <w:t>Figure 4.7: VAT payment relative incidence by consumption decile</w:t>
            </w:r>
          </w:p>
          <w:p w14:paraId="350CFB30" w14:textId="2CBDB1A3" w:rsidR="00203D98" w:rsidRPr="00B14D49" w:rsidRDefault="00203D98" w:rsidP="0008418F">
            <w:pPr>
              <w:pStyle w:val="ListParagraph"/>
              <w:spacing w:before="120" w:after="120"/>
              <w:ind w:left="150"/>
              <w:jc w:val="both"/>
              <w:rPr>
                <w:rFonts w:asciiTheme="minorHAnsi" w:eastAsiaTheme="minorHAnsi" w:hAnsiTheme="minorHAnsi" w:cstheme="minorHAnsi"/>
                <w:i/>
                <w:color w:val="000000" w:themeColor="text1"/>
                <w:sz w:val="22"/>
                <w:szCs w:val="22"/>
              </w:rPr>
            </w:pPr>
            <w:r w:rsidRPr="00B14D49">
              <w:rPr>
                <w:rFonts w:asciiTheme="minorHAnsi" w:eastAsiaTheme="minorHAnsi" w:hAnsiTheme="minorHAnsi" w:cstheme="minorHAnsi"/>
                <w:i/>
                <w:color w:val="000000" w:themeColor="text1"/>
                <w:sz w:val="22"/>
                <w:szCs w:val="22"/>
              </w:rPr>
              <w:t>(percentage of market income)</w:t>
            </w:r>
          </w:p>
        </w:tc>
        <w:tc>
          <w:tcPr>
            <w:tcW w:w="4855" w:type="dxa"/>
          </w:tcPr>
          <w:p w14:paraId="4E0D2DB0" w14:textId="77777777" w:rsidR="00203D98" w:rsidRPr="0008418F" w:rsidRDefault="00203D98" w:rsidP="0008418F">
            <w:pPr>
              <w:pStyle w:val="ListParagraph"/>
              <w:spacing w:before="120" w:after="120"/>
              <w:ind w:left="150"/>
              <w:jc w:val="both"/>
              <w:rPr>
                <w:rFonts w:asciiTheme="minorHAnsi" w:eastAsiaTheme="minorHAnsi" w:hAnsiTheme="minorHAnsi" w:cstheme="minorHAnsi"/>
                <w:b/>
                <w:color w:val="0C4DA2"/>
                <w:sz w:val="22"/>
                <w:szCs w:val="22"/>
              </w:rPr>
            </w:pPr>
            <w:r w:rsidRPr="0008418F">
              <w:rPr>
                <w:rFonts w:cstheme="minorHAnsi"/>
                <w:b/>
                <w:color w:val="0C4DA2"/>
              </w:rPr>
              <w:t>Figure 4.</w:t>
            </w:r>
            <w:r w:rsidRPr="0008418F">
              <w:rPr>
                <w:rFonts w:cstheme="minorHAnsi"/>
                <w:b/>
                <w:color w:val="0C4DA2"/>
              </w:rPr>
              <w:fldChar w:fldCharType="begin"/>
            </w:r>
            <w:r w:rsidRPr="0008418F">
              <w:rPr>
                <w:rFonts w:cstheme="minorHAnsi"/>
                <w:b/>
                <w:color w:val="0C4DA2"/>
              </w:rPr>
              <w:instrText xml:space="preserve"> SEQ Figure \* ARABIC \s 1 </w:instrText>
            </w:r>
            <w:r w:rsidRPr="0008418F">
              <w:rPr>
                <w:rFonts w:cstheme="minorHAnsi"/>
                <w:b/>
                <w:color w:val="0C4DA2"/>
              </w:rPr>
              <w:fldChar w:fldCharType="separate"/>
            </w:r>
            <w:r w:rsidRPr="0008418F">
              <w:rPr>
                <w:rFonts w:cstheme="minorHAnsi"/>
                <w:b/>
                <w:color w:val="0C4DA2"/>
              </w:rPr>
              <w:t>8</w:t>
            </w:r>
            <w:r w:rsidRPr="0008418F">
              <w:rPr>
                <w:rFonts w:cstheme="minorHAnsi"/>
                <w:color w:val="0C4DA2"/>
              </w:rPr>
              <w:fldChar w:fldCharType="end"/>
            </w:r>
            <w:r w:rsidRPr="0008418F">
              <w:rPr>
                <w:rFonts w:cstheme="minorHAnsi"/>
                <w:b/>
                <w:color w:val="0C4DA2"/>
              </w:rPr>
              <w:t xml:space="preserve">: </w:t>
            </w:r>
            <w:r w:rsidRPr="0008418F">
              <w:rPr>
                <w:rFonts w:cstheme="minorHAnsi"/>
                <w:b/>
                <w:bCs/>
                <w:color w:val="0C4DA2"/>
              </w:rPr>
              <w:t>Consumption of VAT-exempt goods &amp; services, by consumption decile (2019)</w:t>
            </w:r>
          </w:p>
          <w:p w14:paraId="6A9E9D30" w14:textId="4861C8BB" w:rsidR="00203D98" w:rsidRPr="00B14D49" w:rsidRDefault="00203D98" w:rsidP="0008418F">
            <w:pPr>
              <w:pStyle w:val="ListParagraph"/>
              <w:spacing w:before="120" w:after="120"/>
              <w:ind w:left="150"/>
              <w:jc w:val="both"/>
              <w:rPr>
                <w:rFonts w:asciiTheme="minorHAnsi" w:eastAsiaTheme="minorHAnsi" w:hAnsiTheme="minorHAnsi" w:cstheme="minorHAnsi"/>
                <w:i/>
                <w:color w:val="000000" w:themeColor="text1"/>
                <w:sz w:val="22"/>
                <w:szCs w:val="22"/>
              </w:rPr>
            </w:pPr>
            <w:r w:rsidRPr="00B14D49">
              <w:rPr>
                <w:rFonts w:asciiTheme="minorHAnsi" w:eastAsiaTheme="minorHAnsi" w:hAnsiTheme="minorHAnsi" w:cstheme="minorHAnsi"/>
                <w:i/>
                <w:color w:val="000000" w:themeColor="text1"/>
                <w:sz w:val="22"/>
                <w:szCs w:val="22"/>
              </w:rPr>
              <w:t>(percentage of consumption)</w:t>
            </w:r>
          </w:p>
        </w:tc>
      </w:tr>
      <w:tr w:rsidR="00203D98" w:rsidRPr="00B14D49" w14:paraId="768D2473" w14:textId="77777777" w:rsidTr="0008418F">
        <w:trPr>
          <w:trHeight w:val="2625"/>
        </w:trPr>
        <w:tc>
          <w:tcPr>
            <w:tcW w:w="4860" w:type="dxa"/>
            <w:shd w:val="clear" w:color="auto" w:fill="auto"/>
          </w:tcPr>
          <w:p w14:paraId="646734EC" w14:textId="02BE338F" w:rsidR="00203D98" w:rsidRPr="00B14D49" w:rsidRDefault="00A32559" w:rsidP="0008418F">
            <w:pPr>
              <w:pStyle w:val="ListParagraph"/>
              <w:spacing w:before="120" w:after="120"/>
              <w:ind w:left="60"/>
              <w:rPr>
                <w:rFonts w:asciiTheme="minorHAnsi" w:eastAsiaTheme="minorHAnsi" w:hAnsiTheme="minorHAnsi" w:cstheme="minorHAnsi"/>
                <w:b/>
                <w:color w:val="000000" w:themeColor="text1"/>
                <w:sz w:val="22"/>
                <w:szCs w:val="22"/>
              </w:rPr>
            </w:pPr>
            <w:r>
              <w:rPr>
                <w:noProof/>
              </w:rPr>
              <w:drawing>
                <wp:inline distT="0" distB="0" distL="0" distR="0" wp14:anchorId="0573C37C" wp14:editId="451F1B2D">
                  <wp:extent cx="2948940" cy="1979295"/>
                  <wp:effectExtent l="0" t="0" r="3810" b="1905"/>
                  <wp:docPr id="796672918" name="Chart 1">
                    <a:extLst xmlns:a="http://schemas.openxmlformats.org/drawingml/2006/main">
                      <a:ext uri="{FF2B5EF4-FFF2-40B4-BE49-F238E27FC236}">
                        <a16:creationId xmlns:a16="http://schemas.microsoft.com/office/drawing/2014/main" id="{16C1B2E2-C200-4968-936D-B1854C8F7577}"/>
                      </a:ext>
                      <a:ext uri="{147F2762-F138-4A5C-976F-8EAC2B608ADB}">
                        <a16:predDERef xmlns:a16="http://schemas.microsoft.com/office/drawing/2014/main" pred="{81158E64-9D18-4FBE-A6E2-8C030E91A4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c>
          <w:tcPr>
            <w:tcW w:w="4855" w:type="dxa"/>
            <w:shd w:val="clear" w:color="auto" w:fill="auto"/>
          </w:tcPr>
          <w:p w14:paraId="66661DAB" w14:textId="3AFFD891" w:rsidR="00203D98" w:rsidRPr="00B14D49" w:rsidRDefault="00CB041D" w:rsidP="0008418F">
            <w:pPr>
              <w:pStyle w:val="ListParagraph"/>
              <w:spacing w:before="120" w:after="120"/>
              <w:ind w:left="151"/>
              <w:rPr>
                <w:rFonts w:asciiTheme="minorHAnsi" w:eastAsiaTheme="minorHAnsi" w:hAnsiTheme="minorHAnsi" w:cstheme="minorHAnsi"/>
                <w:b/>
                <w:color w:val="000000" w:themeColor="text1"/>
                <w:sz w:val="22"/>
                <w:szCs w:val="22"/>
              </w:rPr>
            </w:pPr>
            <w:r>
              <w:rPr>
                <w:noProof/>
              </w:rPr>
              <w:drawing>
                <wp:inline distT="0" distB="0" distL="0" distR="0" wp14:anchorId="2C25BBFD" wp14:editId="3EA997A0">
                  <wp:extent cx="2945765" cy="1990090"/>
                  <wp:effectExtent l="0" t="0" r="6985" b="0"/>
                  <wp:docPr id="2042976097" name="Chart 1">
                    <a:extLst xmlns:a="http://schemas.openxmlformats.org/drawingml/2006/main">
                      <a:ext uri="{FF2B5EF4-FFF2-40B4-BE49-F238E27FC236}">
                        <a16:creationId xmlns:a16="http://schemas.microsoft.com/office/drawing/2014/main" id="{34D79300-0D9B-4AC7-98FB-31B283E8B6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r w:rsidR="00203D98" w:rsidRPr="00B14D49" w14:paraId="10832B5E" w14:textId="77777777" w:rsidTr="0008418F">
        <w:trPr>
          <w:trHeight w:val="233"/>
        </w:trPr>
        <w:tc>
          <w:tcPr>
            <w:tcW w:w="4860" w:type="dxa"/>
          </w:tcPr>
          <w:p w14:paraId="1FBC4F3C" w14:textId="25FB03AB" w:rsidR="00203D98" w:rsidRPr="0008418F" w:rsidRDefault="00203D98" w:rsidP="0008418F">
            <w:pPr>
              <w:pStyle w:val="ListParagraph"/>
              <w:spacing w:after="120"/>
              <w:ind w:left="150"/>
              <w:jc w:val="both"/>
              <w:rPr>
                <w:rFonts w:asciiTheme="minorHAnsi" w:eastAsiaTheme="minorHAnsi" w:hAnsiTheme="minorHAnsi" w:cstheme="minorHAnsi"/>
                <w:bCs/>
                <w:color w:val="000000" w:themeColor="text1"/>
                <w:sz w:val="18"/>
                <w:szCs w:val="18"/>
              </w:rPr>
            </w:pPr>
            <w:r w:rsidRPr="0008418F">
              <w:rPr>
                <w:rFonts w:cstheme="minorHAnsi"/>
                <w:bCs/>
                <w:i/>
                <w:iCs/>
                <w:color w:val="000000" w:themeColor="text1"/>
                <w:sz w:val="18"/>
                <w:szCs w:val="18"/>
              </w:rPr>
              <w:t>Source</w:t>
            </w:r>
            <w:r w:rsidRPr="0008418F">
              <w:rPr>
                <w:rFonts w:cstheme="minorHAnsi"/>
                <w:bCs/>
                <w:color w:val="000000" w:themeColor="text1"/>
                <w:sz w:val="18"/>
                <w:szCs w:val="18"/>
              </w:rPr>
              <w:t xml:space="preserve">: </w:t>
            </w:r>
            <w:r w:rsidR="000949D8">
              <w:rPr>
                <w:rFonts w:cstheme="minorHAnsi"/>
                <w:bCs/>
                <w:color w:val="000000" w:themeColor="text1"/>
                <w:sz w:val="18"/>
                <w:szCs w:val="18"/>
              </w:rPr>
              <w:t xml:space="preserve">Indonesia Poverty Assessment (World Bank, 2023) based on SUSENAS </w:t>
            </w:r>
            <w:r w:rsidR="00442381">
              <w:rPr>
                <w:rFonts w:cstheme="minorHAnsi"/>
                <w:bCs/>
                <w:color w:val="000000" w:themeColor="text1"/>
                <w:sz w:val="18"/>
                <w:szCs w:val="18"/>
              </w:rPr>
              <w:t>(</w:t>
            </w:r>
            <w:r w:rsidR="00442381" w:rsidRPr="00442381">
              <w:rPr>
                <w:rFonts w:cstheme="minorHAnsi"/>
                <w:bCs/>
                <w:color w:val="000000" w:themeColor="text1"/>
                <w:sz w:val="18"/>
                <w:szCs w:val="18"/>
              </w:rPr>
              <w:t>Indonesia’s National Socio-Economic Survey</w:t>
            </w:r>
            <w:r w:rsidR="00442381">
              <w:rPr>
                <w:rFonts w:cstheme="minorHAnsi"/>
                <w:bCs/>
                <w:color w:val="000000" w:themeColor="text1"/>
                <w:sz w:val="18"/>
                <w:szCs w:val="18"/>
              </w:rPr>
              <w:t>)</w:t>
            </w:r>
          </w:p>
        </w:tc>
        <w:tc>
          <w:tcPr>
            <w:tcW w:w="4855" w:type="dxa"/>
          </w:tcPr>
          <w:p w14:paraId="1638633A" w14:textId="0B09E619" w:rsidR="00203D98" w:rsidRPr="0008418F" w:rsidRDefault="00203D98" w:rsidP="0008418F">
            <w:pPr>
              <w:pStyle w:val="ListParagraph"/>
              <w:spacing w:before="120" w:after="120"/>
              <w:ind w:left="151"/>
              <w:rPr>
                <w:rFonts w:asciiTheme="minorHAnsi" w:eastAsiaTheme="minorHAnsi" w:hAnsiTheme="minorHAnsi" w:cstheme="minorHAnsi"/>
                <w:bCs/>
                <w:color w:val="000000" w:themeColor="text1"/>
                <w:sz w:val="18"/>
                <w:szCs w:val="18"/>
              </w:rPr>
            </w:pPr>
            <w:r w:rsidRPr="0008418F">
              <w:rPr>
                <w:rFonts w:cstheme="minorHAnsi"/>
                <w:bCs/>
                <w:i/>
                <w:iCs/>
                <w:color w:val="000000" w:themeColor="text1"/>
                <w:sz w:val="18"/>
                <w:szCs w:val="18"/>
              </w:rPr>
              <w:t>Source</w:t>
            </w:r>
            <w:r w:rsidRPr="0008418F">
              <w:rPr>
                <w:rFonts w:cstheme="minorHAnsi"/>
                <w:bCs/>
                <w:color w:val="000000" w:themeColor="text1"/>
                <w:sz w:val="18"/>
                <w:szCs w:val="18"/>
              </w:rPr>
              <w:t xml:space="preserve">: </w:t>
            </w:r>
            <w:r w:rsidR="005D67F9">
              <w:rPr>
                <w:rFonts w:cstheme="minorHAnsi"/>
                <w:bCs/>
                <w:color w:val="000000" w:themeColor="text1"/>
                <w:sz w:val="18"/>
                <w:szCs w:val="18"/>
              </w:rPr>
              <w:t>Indonesia Poverty Assessment (World Bank, 2023) based on SUSENAS</w:t>
            </w:r>
          </w:p>
          <w:p w14:paraId="0C4364EA" w14:textId="77777777" w:rsidR="00203D98" w:rsidRPr="00B14D49" w:rsidRDefault="00203D98" w:rsidP="0008418F">
            <w:pPr>
              <w:pStyle w:val="ListParagraph"/>
              <w:spacing w:before="120" w:after="120"/>
              <w:ind w:left="151"/>
              <w:rPr>
                <w:rFonts w:asciiTheme="minorHAnsi" w:eastAsiaTheme="minorHAnsi" w:hAnsiTheme="minorHAnsi" w:cstheme="minorHAnsi"/>
                <w:bCs/>
                <w:color w:val="000000" w:themeColor="text1"/>
                <w:sz w:val="22"/>
                <w:szCs w:val="22"/>
              </w:rPr>
            </w:pPr>
            <w:r w:rsidRPr="0008418F">
              <w:rPr>
                <w:rFonts w:cstheme="minorHAnsi"/>
                <w:bCs/>
                <w:i/>
                <w:iCs/>
                <w:color w:val="000000" w:themeColor="text1"/>
                <w:sz w:val="18"/>
                <w:szCs w:val="18"/>
              </w:rPr>
              <w:t>Note</w:t>
            </w:r>
            <w:r w:rsidRPr="0008418F">
              <w:rPr>
                <w:rFonts w:cstheme="minorHAnsi"/>
                <w:bCs/>
                <w:color w:val="000000" w:themeColor="text1"/>
                <w:sz w:val="18"/>
                <w:szCs w:val="18"/>
              </w:rPr>
              <w:t>: Consumption in this analysis excludes that subject to district tax.</w:t>
            </w:r>
          </w:p>
        </w:tc>
      </w:tr>
    </w:tbl>
    <w:p w14:paraId="55297D76" w14:textId="117A6640" w:rsidR="00CC45BA" w:rsidRPr="00B10EEC" w:rsidRDefault="00CC45BA" w:rsidP="00CC45BA">
      <w:pPr>
        <w:pStyle w:val="Heading2"/>
        <w:rPr>
          <w:rFonts w:asciiTheme="minorHAnsi" w:hAnsiTheme="minorHAnsi" w:cstheme="minorHAnsi"/>
          <w:color w:val="4472C4" w:themeColor="accent1"/>
          <w:sz w:val="24"/>
          <w:szCs w:val="24"/>
        </w:rPr>
      </w:pPr>
      <w:bookmarkStart w:id="50" w:name="_Toc177819049"/>
      <w:r>
        <w:rPr>
          <w:rFonts w:asciiTheme="minorHAnsi" w:hAnsiTheme="minorHAnsi" w:cstheme="minorHAnsi"/>
          <w:color w:val="4472C4" w:themeColor="accent1"/>
          <w:sz w:val="24"/>
          <w:szCs w:val="24"/>
        </w:rPr>
        <w:t xml:space="preserve">Other </w:t>
      </w:r>
      <w:r w:rsidR="006A699C">
        <w:rPr>
          <w:rFonts w:asciiTheme="minorHAnsi" w:hAnsiTheme="minorHAnsi" w:cstheme="minorHAnsi"/>
          <w:color w:val="4472C4" w:themeColor="accent1"/>
          <w:sz w:val="24"/>
          <w:szCs w:val="24"/>
        </w:rPr>
        <w:t xml:space="preserve">categories of VAT </w:t>
      </w:r>
      <w:r w:rsidR="001042E5">
        <w:rPr>
          <w:rFonts w:asciiTheme="minorHAnsi" w:hAnsiTheme="minorHAnsi" w:cstheme="minorHAnsi"/>
          <w:color w:val="4472C4" w:themeColor="accent1"/>
          <w:sz w:val="24"/>
          <w:szCs w:val="24"/>
        </w:rPr>
        <w:t xml:space="preserve">preferential </w:t>
      </w:r>
      <w:r w:rsidR="006A699C">
        <w:rPr>
          <w:rFonts w:asciiTheme="minorHAnsi" w:hAnsiTheme="minorHAnsi" w:cstheme="minorHAnsi"/>
          <w:color w:val="4472C4" w:themeColor="accent1"/>
          <w:sz w:val="24"/>
          <w:szCs w:val="24"/>
        </w:rPr>
        <w:t>treatment</w:t>
      </w:r>
      <w:bookmarkEnd w:id="50"/>
    </w:p>
    <w:p w14:paraId="1E62FE71" w14:textId="07C97AD9" w:rsidR="00794691" w:rsidRPr="000E2D47" w:rsidRDefault="00C40FC1" w:rsidP="00F32330">
      <w:pPr>
        <w:pStyle w:val="ListParagraph"/>
        <w:numPr>
          <w:ilvl w:val="0"/>
          <w:numId w:val="12"/>
        </w:numPr>
        <w:spacing w:before="120"/>
        <w:ind w:left="0" w:firstLine="0"/>
        <w:contextualSpacing w:val="0"/>
        <w:jc w:val="both"/>
      </w:pPr>
      <w:r>
        <w:rPr>
          <w:b/>
          <w:bCs/>
        </w:rPr>
        <w:t xml:space="preserve">Indonesia’s </w:t>
      </w:r>
      <w:r w:rsidRPr="00681A74">
        <w:rPr>
          <w:b/>
          <w:bCs/>
        </w:rPr>
        <w:t xml:space="preserve">VAT regime provides </w:t>
      </w:r>
      <w:r w:rsidR="006D69B5">
        <w:rPr>
          <w:b/>
          <w:bCs/>
        </w:rPr>
        <w:t xml:space="preserve">a </w:t>
      </w:r>
      <w:r w:rsidRPr="00681A74">
        <w:rPr>
          <w:b/>
          <w:bCs/>
        </w:rPr>
        <w:t>zero</w:t>
      </w:r>
      <w:r w:rsidR="006D69B5">
        <w:rPr>
          <w:b/>
          <w:bCs/>
        </w:rPr>
        <w:t xml:space="preserve"> </w:t>
      </w:r>
      <w:r w:rsidRPr="00681A74">
        <w:rPr>
          <w:b/>
          <w:bCs/>
        </w:rPr>
        <w:t xml:space="preserve">rate on exports </w:t>
      </w:r>
      <w:r w:rsidR="00C246CC">
        <w:rPr>
          <w:b/>
          <w:bCs/>
        </w:rPr>
        <w:t xml:space="preserve">(including exports </w:t>
      </w:r>
      <w:r w:rsidRPr="00681A74">
        <w:rPr>
          <w:b/>
          <w:bCs/>
        </w:rPr>
        <w:t>of services</w:t>
      </w:r>
      <w:r w:rsidR="002B0643">
        <w:rPr>
          <w:b/>
          <w:bCs/>
        </w:rPr>
        <w:t>)</w:t>
      </w:r>
      <w:r w:rsidR="00B24747">
        <w:rPr>
          <w:b/>
          <w:bCs/>
        </w:rPr>
        <w:t xml:space="preserve">, consistent with </w:t>
      </w:r>
      <w:r w:rsidR="005054C2">
        <w:rPr>
          <w:b/>
          <w:bCs/>
        </w:rPr>
        <w:t>international best practice</w:t>
      </w:r>
      <w:r w:rsidRPr="00681A74">
        <w:rPr>
          <w:b/>
          <w:bCs/>
        </w:rPr>
        <w:t>.</w:t>
      </w:r>
      <w:r>
        <w:t xml:space="preserve"> Following the destination principle, exports are “zero-rated” which means the rate of tax applied to sales is zero, </w:t>
      </w:r>
      <w:r w:rsidR="00FD48D0">
        <w:t>al</w:t>
      </w:r>
      <w:r>
        <w:t xml:space="preserve">though credit is still given for taxes paid on inputs. Unlike exemptions, zero-rated exports will be </w:t>
      </w:r>
      <w:proofErr w:type="gramStart"/>
      <w:r>
        <w:t>due</w:t>
      </w:r>
      <w:proofErr w:type="gramEnd"/>
      <w:r>
        <w:t xml:space="preserve"> a full refund of </w:t>
      </w:r>
      <w:r w:rsidR="00324180">
        <w:t xml:space="preserve">VAT </w:t>
      </w:r>
      <w:r>
        <w:t xml:space="preserve">paid on </w:t>
      </w:r>
      <w:proofErr w:type="gramStart"/>
      <w:r>
        <w:t>inputs</w:t>
      </w:r>
      <w:proofErr w:type="gramEnd"/>
      <w:r>
        <w:t>. With zero</w:t>
      </w:r>
      <w:r w:rsidR="006D69B5">
        <w:t xml:space="preserve"> </w:t>
      </w:r>
      <w:r>
        <w:t xml:space="preserve">rating, exports will leave the </w:t>
      </w:r>
      <w:proofErr w:type="gramStart"/>
      <w:r>
        <w:t>origin country</w:t>
      </w:r>
      <w:proofErr w:type="gramEnd"/>
      <w:r>
        <w:t xml:space="preserve"> free of any domestic VAT. The coverage of zero-rated exports of services is defined in MoF Regulation PMK 32/2019 (previously, PMK 70/2010). In the previous regulation, the zero</w:t>
      </w:r>
      <w:r w:rsidR="006D69B5">
        <w:t xml:space="preserve"> </w:t>
      </w:r>
      <w:r>
        <w:t xml:space="preserve">rating was only limited to three types of services: manufacturing and processing, repairing, and construction services. The current regulation expands the list of eligible services to also include, among others: IT services, data connectivity services, and various </w:t>
      </w:r>
      <w:proofErr w:type="gramStart"/>
      <w:r>
        <w:t>consultation  services</w:t>
      </w:r>
      <w:proofErr w:type="gramEnd"/>
      <w:r w:rsidR="00FD48D0">
        <w:rPr>
          <w:rFonts w:cstheme="minorHAnsi"/>
        </w:rPr>
        <w:t>–</w:t>
      </w:r>
      <w:r w:rsidR="00FD48D0">
        <w:t>such as human resources, engineering, and accounting</w:t>
      </w:r>
      <w:r>
        <w:t>.</w:t>
      </w:r>
    </w:p>
    <w:p w14:paraId="3FAADB6F" w14:textId="3113EE83" w:rsidR="00FD48D0" w:rsidRDefault="00C40FC1" w:rsidP="00BF4E2E">
      <w:pPr>
        <w:pStyle w:val="ListParagraph"/>
        <w:numPr>
          <w:ilvl w:val="0"/>
          <w:numId w:val="12"/>
        </w:numPr>
        <w:spacing w:before="120"/>
        <w:ind w:left="0" w:firstLine="0"/>
        <w:contextualSpacing w:val="0"/>
        <w:jc w:val="both"/>
        <w:rPr>
          <w:color w:val="000000" w:themeColor="text1"/>
        </w:rPr>
      </w:pPr>
      <w:r w:rsidRPr="00671367">
        <w:rPr>
          <w:b/>
          <w:color w:val="000000" w:themeColor="text1"/>
        </w:rPr>
        <w:t xml:space="preserve">The administration </w:t>
      </w:r>
      <w:r w:rsidR="000E79B6">
        <w:rPr>
          <w:b/>
          <w:color w:val="000000" w:themeColor="text1"/>
        </w:rPr>
        <w:t>extends</w:t>
      </w:r>
      <w:r w:rsidR="000B4326">
        <w:rPr>
          <w:b/>
          <w:color w:val="000000" w:themeColor="text1"/>
        </w:rPr>
        <w:t xml:space="preserve"> VAT</w:t>
      </w:r>
      <w:r w:rsidR="000E79B6">
        <w:rPr>
          <w:b/>
          <w:color w:val="000000" w:themeColor="text1"/>
        </w:rPr>
        <w:t xml:space="preserve"> zero</w:t>
      </w:r>
      <w:r w:rsidR="006D69B5">
        <w:rPr>
          <w:b/>
          <w:color w:val="000000" w:themeColor="text1"/>
        </w:rPr>
        <w:t xml:space="preserve"> </w:t>
      </w:r>
      <w:r w:rsidR="000E79B6">
        <w:rPr>
          <w:b/>
          <w:color w:val="000000" w:themeColor="text1"/>
        </w:rPr>
        <w:t xml:space="preserve">rating </w:t>
      </w:r>
      <w:r w:rsidR="000B4326">
        <w:rPr>
          <w:b/>
          <w:color w:val="000000" w:themeColor="text1"/>
        </w:rPr>
        <w:t xml:space="preserve">to </w:t>
      </w:r>
      <w:r w:rsidRPr="00BF4E2E">
        <w:rPr>
          <w:b/>
          <w:color w:val="000000" w:themeColor="text1"/>
        </w:rPr>
        <w:t xml:space="preserve">certain imports and domestic consumption in strategic sectors. </w:t>
      </w:r>
      <w:r w:rsidRPr="00BF4E2E">
        <w:rPr>
          <w:color w:val="000000" w:themeColor="text1"/>
        </w:rPr>
        <w:t xml:space="preserve">This includes, among others, products used by the upstream </w:t>
      </w:r>
      <w:r w:rsidR="00490DD4">
        <w:rPr>
          <w:color w:val="000000" w:themeColor="text1"/>
        </w:rPr>
        <w:t>oil and gas</w:t>
      </w:r>
      <w:r w:rsidRPr="00BF4E2E">
        <w:rPr>
          <w:color w:val="000000" w:themeColor="text1"/>
        </w:rPr>
        <w:t xml:space="preserve"> or geothermal contractors; products used by certain coal mining contracts</w:t>
      </w:r>
      <w:r w:rsidR="005D6C24">
        <w:rPr>
          <w:color w:val="000000" w:themeColor="text1"/>
        </w:rPr>
        <w:t xml:space="preserve">; and </w:t>
      </w:r>
      <w:r w:rsidR="005D6C24" w:rsidRPr="00BF4E2E">
        <w:rPr>
          <w:color w:val="000000" w:themeColor="text1"/>
        </w:rPr>
        <w:t>imports of transportation vehicles (</w:t>
      </w:r>
      <w:r w:rsidR="00490DD4">
        <w:rPr>
          <w:color w:val="000000" w:themeColor="text1"/>
        </w:rPr>
        <w:t>for example</w:t>
      </w:r>
      <w:r w:rsidR="005D6C24" w:rsidRPr="00BF4E2E">
        <w:rPr>
          <w:color w:val="000000" w:themeColor="text1"/>
        </w:rPr>
        <w:t>, ships, aircraft, trains) to be used by the armed forces</w:t>
      </w:r>
      <w:r w:rsidRPr="00BF4E2E">
        <w:rPr>
          <w:color w:val="000000" w:themeColor="text1"/>
        </w:rPr>
        <w:t>. While its legal term refers to “</w:t>
      </w:r>
      <w:proofErr w:type="spellStart"/>
      <w:r w:rsidRPr="00BF4E2E">
        <w:rPr>
          <w:color w:val="000000" w:themeColor="text1"/>
        </w:rPr>
        <w:t>noncollected</w:t>
      </w:r>
      <w:proofErr w:type="spellEnd"/>
      <w:r w:rsidRPr="00BF4E2E">
        <w:rPr>
          <w:color w:val="000000" w:themeColor="text1"/>
        </w:rPr>
        <w:t xml:space="preserve"> facilities</w:t>
      </w:r>
      <w:r w:rsidR="004F4319" w:rsidRPr="00BF4E2E">
        <w:rPr>
          <w:color w:val="000000" w:themeColor="text1"/>
        </w:rPr>
        <w:t>”</w:t>
      </w:r>
      <w:r w:rsidRPr="00BF4E2E">
        <w:rPr>
          <w:color w:val="000000" w:themeColor="text1"/>
        </w:rPr>
        <w:t>, this category of treatment is effectively a zero-rate</w:t>
      </w:r>
      <w:r w:rsidR="00490DD4">
        <w:rPr>
          <w:rFonts w:cstheme="minorHAnsi"/>
          <w:color w:val="000000" w:themeColor="text1"/>
        </w:rPr>
        <w:t>–</w:t>
      </w:r>
      <w:r w:rsidRPr="00BF4E2E">
        <w:rPr>
          <w:color w:val="000000" w:themeColor="text1"/>
        </w:rPr>
        <w:t>output</w:t>
      </w:r>
      <w:r w:rsidR="00341B06" w:rsidRPr="00BF4E2E">
        <w:rPr>
          <w:color w:val="000000" w:themeColor="text1"/>
        </w:rPr>
        <w:t xml:space="preserve"> </w:t>
      </w:r>
      <w:r w:rsidRPr="00BF4E2E">
        <w:rPr>
          <w:color w:val="000000" w:themeColor="text1"/>
        </w:rPr>
        <w:t>taxes</w:t>
      </w:r>
      <w:r w:rsidR="00341B06" w:rsidRPr="00BF4E2E">
        <w:rPr>
          <w:color w:val="000000" w:themeColor="text1"/>
        </w:rPr>
        <w:t xml:space="preserve"> </w:t>
      </w:r>
      <w:r w:rsidRPr="00BF4E2E">
        <w:rPr>
          <w:color w:val="000000" w:themeColor="text1"/>
        </w:rPr>
        <w:t xml:space="preserve">are not </w:t>
      </w:r>
      <w:r w:rsidRPr="00BF4E2E">
        <w:rPr>
          <w:color w:val="000000" w:themeColor="text1"/>
        </w:rPr>
        <w:lastRenderedPageBreak/>
        <w:t xml:space="preserve">collected </w:t>
      </w:r>
      <w:r w:rsidR="0094272E" w:rsidRPr="00BF4E2E">
        <w:rPr>
          <w:color w:val="000000" w:themeColor="text1"/>
        </w:rPr>
        <w:t xml:space="preserve">but </w:t>
      </w:r>
      <w:r w:rsidRPr="00BF4E2E">
        <w:rPr>
          <w:color w:val="000000" w:themeColor="text1"/>
        </w:rPr>
        <w:t xml:space="preserve">input taxes can be credited. Table </w:t>
      </w:r>
      <w:r w:rsidR="00D01B87" w:rsidRPr="00BF4E2E">
        <w:rPr>
          <w:color w:val="000000" w:themeColor="text1"/>
        </w:rPr>
        <w:t>4.</w:t>
      </w:r>
      <w:r w:rsidR="00AC2F3D">
        <w:rPr>
          <w:color w:val="000000" w:themeColor="text1"/>
        </w:rPr>
        <w:t>4</w:t>
      </w:r>
      <w:r w:rsidRPr="00BF4E2E">
        <w:rPr>
          <w:color w:val="000000" w:themeColor="text1"/>
        </w:rPr>
        <w:t xml:space="preserve"> summarizes six categories of treatment in Indonesia’s VAT regime.</w:t>
      </w:r>
    </w:p>
    <w:p w14:paraId="13747089" w14:textId="77777777" w:rsidR="00FD48D0" w:rsidRPr="0008418F" w:rsidRDefault="00FD48D0" w:rsidP="0008418F">
      <w:pPr>
        <w:pStyle w:val="ListParagraph"/>
        <w:ind w:left="714" w:hanging="357"/>
        <w:contextualSpacing w:val="0"/>
        <w:jc w:val="both"/>
        <w:rPr>
          <w:b/>
          <w:color w:val="0C4DA2"/>
        </w:rPr>
      </w:pPr>
      <w:r w:rsidRPr="0008418F">
        <w:rPr>
          <w:b/>
          <w:color w:val="0C4DA2"/>
        </w:rPr>
        <w:t>Table 4.4: Different categories of VAT treatments in Indonesia</w:t>
      </w:r>
    </w:p>
    <w:tbl>
      <w:tblPr>
        <w:tblW w:w="8740"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866"/>
        <w:gridCol w:w="1684"/>
        <w:gridCol w:w="2450"/>
        <w:gridCol w:w="1740"/>
      </w:tblGrid>
      <w:tr w:rsidR="00FD48D0" w:rsidRPr="00FD48D0" w14:paraId="3F5BF855" w14:textId="77777777" w:rsidTr="009C141D">
        <w:trPr>
          <w:trHeight w:val="740"/>
        </w:trPr>
        <w:tc>
          <w:tcPr>
            <w:tcW w:w="2880" w:type="dxa"/>
            <w:tcBorders>
              <w:top w:val="single" w:sz="4" w:space="0" w:color="auto"/>
              <w:left w:val="single" w:sz="4" w:space="0" w:color="auto"/>
              <w:bottom w:val="single" w:sz="4" w:space="0" w:color="auto"/>
              <w:right w:val="single" w:sz="4" w:space="0" w:color="auto"/>
            </w:tcBorders>
            <w:shd w:val="clear" w:color="auto" w:fill="auto"/>
            <w:hideMark/>
          </w:tcPr>
          <w:p w14:paraId="750DF8BB" w14:textId="77777777" w:rsidR="00FD48D0" w:rsidRPr="00FD48D0" w:rsidRDefault="00FD48D0" w:rsidP="00FD48D0">
            <w:pPr>
              <w:pStyle w:val="ListParagraph"/>
              <w:spacing w:before="120"/>
              <w:jc w:val="both"/>
              <w:rPr>
                <w:b/>
                <w:color w:val="000000" w:themeColor="text1"/>
              </w:rPr>
            </w:pPr>
            <w:r w:rsidRPr="00FD48D0">
              <w:rPr>
                <w:b/>
                <w:color w:val="000000" w:themeColor="text1"/>
              </w:rPr>
              <w:t>Categories</w:t>
            </w:r>
          </w:p>
        </w:tc>
        <w:tc>
          <w:tcPr>
            <w:tcW w:w="1660" w:type="dxa"/>
            <w:tcBorders>
              <w:top w:val="single" w:sz="4" w:space="0" w:color="auto"/>
              <w:left w:val="single" w:sz="4" w:space="0" w:color="auto"/>
              <w:bottom w:val="single" w:sz="4" w:space="0" w:color="auto"/>
              <w:right w:val="single" w:sz="4" w:space="0" w:color="auto"/>
            </w:tcBorders>
            <w:shd w:val="clear" w:color="auto" w:fill="auto"/>
            <w:hideMark/>
          </w:tcPr>
          <w:p w14:paraId="340C0A48" w14:textId="77777777" w:rsidR="00FD48D0" w:rsidRPr="00FD48D0" w:rsidRDefault="00FD48D0" w:rsidP="00FD48D0">
            <w:pPr>
              <w:pStyle w:val="ListParagraph"/>
              <w:spacing w:before="120"/>
              <w:jc w:val="both"/>
              <w:rPr>
                <w:b/>
                <w:color w:val="000000" w:themeColor="text1"/>
              </w:rPr>
            </w:pPr>
            <w:r w:rsidRPr="00FD48D0">
              <w:rPr>
                <w:b/>
                <w:color w:val="000000" w:themeColor="text1"/>
              </w:rPr>
              <w:t>Present in the VAT system?</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4CF338CF" w14:textId="77777777" w:rsidR="00FD48D0" w:rsidRPr="00FD48D0" w:rsidRDefault="00FD48D0" w:rsidP="00FD48D0">
            <w:pPr>
              <w:pStyle w:val="ListParagraph"/>
              <w:spacing w:before="120"/>
              <w:jc w:val="both"/>
              <w:rPr>
                <w:b/>
                <w:color w:val="000000" w:themeColor="text1"/>
              </w:rPr>
            </w:pPr>
            <w:r w:rsidRPr="00FD48D0">
              <w:rPr>
                <w:b/>
                <w:color w:val="000000" w:themeColor="text1"/>
              </w:rPr>
              <w:t>Incur output VAT liability?</w:t>
            </w:r>
          </w:p>
        </w:tc>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29D73012" w14:textId="77777777" w:rsidR="00FD48D0" w:rsidRPr="00FD48D0" w:rsidRDefault="00FD48D0" w:rsidP="00FD48D0">
            <w:pPr>
              <w:pStyle w:val="ListParagraph"/>
              <w:spacing w:before="120"/>
              <w:jc w:val="both"/>
              <w:rPr>
                <w:b/>
                <w:color w:val="000000" w:themeColor="text1"/>
              </w:rPr>
            </w:pPr>
            <w:proofErr w:type="gramStart"/>
            <w:r w:rsidRPr="00FD48D0">
              <w:rPr>
                <w:b/>
                <w:color w:val="000000" w:themeColor="text1"/>
              </w:rPr>
              <w:t>Can</w:t>
            </w:r>
            <w:proofErr w:type="gramEnd"/>
            <w:r w:rsidRPr="00FD48D0">
              <w:rPr>
                <w:b/>
                <w:color w:val="000000" w:themeColor="text1"/>
              </w:rPr>
              <w:t xml:space="preserve"> claim input tax credit?</w:t>
            </w:r>
          </w:p>
        </w:tc>
      </w:tr>
      <w:tr w:rsidR="00FD48D0" w:rsidRPr="00FD48D0" w14:paraId="783D7999" w14:textId="77777777" w:rsidTr="0008418F">
        <w:trPr>
          <w:trHeight w:val="310"/>
        </w:trPr>
        <w:tc>
          <w:tcPr>
            <w:tcW w:w="2880" w:type="dxa"/>
            <w:tcBorders>
              <w:top w:val="single" w:sz="4" w:space="0" w:color="auto"/>
              <w:left w:val="single" w:sz="4" w:space="0" w:color="auto"/>
              <w:bottom w:val="single" w:sz="4" w:space="0" w:color="auto"/>
              <w:right w:val="single" w:sz="4" w:space="0" w:color="auto"/>
            </w:tcBorders>
            <w:shd w:val="clear" w:color="auto" w:fill="auto"/>
            <w:hideMark/>
          </w:tcPr>
          <w:p w14:paraId="4652ADE5" w14:textId="77777777" w:rsidR="00FD48D0" w:rsidRPr="00FD48D0" w:rsidRDefault="00FD48D0" w:rsidP="0008418F">
            <w:pPr>
              <w:pStyle w:val="ListParagraph"/>
              <w:ind w:left="318" w:firstLine="0"/>
              <w:contextualSpacing w:val="0"/>
              <w:rPr>
                <w:color w:val="000000" w:themeColor="text1"/>
              </w:rPr>
            </w:pPr>
            <w:r w:rsidRPr="00FD48D0">
              <w:rPr>
                <w:color w:val="000000" w:themeColor="text1"/>
              </w:rPr>
              <w:t>VAT payable, standard rate</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6CE5FBF0" w14:textId="77777777" w:rsidR="00FD48D0" w:rsidRPr="00FD48D0" w:rsidRDefault="00FD48D0" w:rsidP="0008418F">
            <w:pPr>
              <w:pStyle w:val="ListParagraph"/>
              <w:spacing w:before="120"/>
              <w:jc w:val="right"/>
              <w:rPr>
                <w:color w:val="000000" w:themeColor="text1"/>
              </w:rPr>
            </w:pPr>
            <w:r w:rsidRPr="00FD48D0">
              <w:rPr>
                <w:color w:val="000000" w:themeColor="text1"/>
              </w:rPr>
              <w:t>Yes</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4DFF068B" w14:textId="64B1D2DB" w:rsidR="00FD48D0" w:rsidRPr="00FD48D0" w:rsidRDefault="00FD48D0" w:rsidP="0008418F">
            <w:pPr>
              <w:pStyle w:val="ListParagraph"/>
              <w:spacing w:before="120"/>
              <w:ind w:firstLine="0"/>
              <w:jc w:val="right"/>
              <w:rPr>
                <w:color w:val="000000" w:themeColor="text1"/>
              </w:rPr>
            </w:pPr>
            <w:r w:rsidRPr="00FD48D0">
              <w:rPr>
                <w:color w:val="000000" w:themeColor="text1"/>
              </w:rPr>
              <w:t>Yes, nonzero in value</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4BAAF31D" w14:textId="77777777" w:rsidR="00FD48D0" w:rsidRPr="00FD48D0" w:rsidRDefault="00FD48D0" w:rsidP="0008418F">
            <w:pPr>
              <w:pStyle w:val="ListParagraph"/>
              <w:spacing w:before="120"/>
              <w:jc w:val="right"/>
              <w:rPr>
                <w:color w:val="000000" w:themeColor="text1"/>
              </w:rPr>
            </w:pPr>
            <w:r w:rsidRPr="00FD48D0">
              <w:rPr>
                <w:color w:val="000000" w:themeColor="text1"/>
              </w:rPr>
              <w:t>Yes</w:t>
            </w:r>
          </w:p>
        </w:tc>
      </w:tr>
      <w:tr w:rsidR="00FD48D0" w:rsidRPr="00FD48D0" w14:paraId="0F26EBCE" w14:textId="77777777" w:rsidTr="0008418F">
        <w:trPr>
          <w:trHeight w:val="290"/>
        </w:trPr>
        <w:tc>
          <w:tcPr>
            <w:tcW w:w="2880" w:type="dxa"/>
            <w:tcBorders>
              <w:top w:val="single" w:sz="4" w:space="0" w:color="auto"/>
              <w:left w:val="single" w:sz="4" w:space="0" w:color="auto"/>
              <w:bottom w:val="single" w:sz="4" w:space="0" w:color="auto"/>
              <w:right w:val="single" w:sz="4" w:space="0" w:color="auto"/>
            </w:tcBorders>
            <w:shd w:val="clear" w:color="auto" w:fill="auto"/>
          </w:tcPr>
          <w:p w14:paraId="696EC928" w14:textId="77777777" w:rsidR="00FD48D0" w:rsidRPr="00FD48D0" w:rsidRDefault="00FD48D0" w:rsidP="0008418F">
            <w:pPr>
              <w:pStyle w:val="ListParagraph"/>
              <w:ind w:left="318" w:firstLine="0"/>
              <w:contextualSpacing w:val="0"/>
              <w:rPr>
                <w:color w:val="000000" w:themeColor="text1"/>
              </w:rPr>
            </w:pPr>
            <w:r w:rsidRPr="00FD48D0">
              <w:rPr>
                <w:color w:val="000000" w:themeColor="text1"/>
              </w:rPr>
              <w:t>VAT payable, final regime or FRS</w:t>
            </w:r>
          </w:p>
        </w:tc>
        <w:tc>
          <w:tcPr>
            <w:tcW w:w="1660" w:type="dxa"/>
            <w:tcBorders>
              <w:top w:val="single" w:sz="4" w:space="0" w:color="auto"/>
              <w:left w:val="single" w:sz="4" w:space="0" w:color="auto"/>
              <w:bottom w:val="single" w:sz="4" w:space="0" w:color="auto"/>
              <w:right w:val="single" w:sz="4" w:space="0" w:color="auto"/>
            </w:tcBorders>
            <w:shd w:val="clear" w:color="auto" w:fill="auto"/>
            <w:noWrap/>
          </w:tcPr>
          <w:p w14:paraId="5A27F6FF" w14:textId="77777777" w:rsidR="00FD48D0" w:rsidRPr="00FD48D0" w:rsidRDefault="00FD48D0" w:rsidP="0008418F">
            <w:pPr>
              <w:pStyle w:val="ListParagraph"/>
              <w:spacing w:before="120"/>
              <w:jc w:val="right"/>
              <w:rPr>
                <w:color w:val="000000" w:themeColor="text1"/>
              </w:rPr>
            </w:pPr>
            <w:r w:rsidRPr="00FD48D0">
              <w:rPr>
                <w:color w:val="000000" w:themeColor="text1"/>
              </w:rPr>
              <w:t>Yes</w:t>
            </w:r>
          </w:p>
        </w:tc>
        <w:tc>
          <w:tcPr>
            <w:tcW w:w="2460" w:type="dxa"/>
            <w:tcBorders>
              <w:top w:val="single" w:sz="4" w:space="0" w:color="auto"/>
              <w:left w:val="single" w:sz="4" w:space="0" w:color="auto"/>
              <w:bottom w:val="single" w:sz="4" w:space="0" w:color="auto"/>
              <w:right w:val="single" w:sz="4" w:space="0" w:color="auto"/>
            </w:tcBorders>
            <w:shd w:val="clear" w:color="auto" w:fill="auto"/>
          </w:tcPr>
          <w:p w14:paraId="4A3B6AF4" w14:textId="14F30F67" w:rsidR="00FD48D0" w:rsidRPr="00FD48D0" w:rsidRDefault="00FD48D0" w:rsidP="0008418F">
            <w:pPr>
              <w:pStyle w:val="ListParagraph"/>
              <w:spacing w:before="120"/>
              <w:ind w:firstLine="0"/>
              <w:jc w:val="right"/>
              <w:rPr>
                <w:color w:val="000000" w:themeColor="text1"/>
              </w:rPr>
            </w:pPr>
            <w:r w:rsidRPr="00FD48D0">
              <w:rPr>
                <w:color w:val="000000" w:themeColor="text1"/>
              </w:rPr>
              <w:t>Yes, nonzero in value</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482F612" w14:textId="77777777" w:rsidR="00FD48D0" w:rsidRPr="00FD48D0" w:rsidRDefault="00FD48D0" w:rsidP="0008418F">
            <w:pPr>
              <w:pStyle w:val="ListParagraph"/>
              <w:spacing w:before="120"/>
              <w:jc w:val="right"/>
              <w:rPr>
                <w:color w:val="000000" w:themeColor="text1"/>
              </w:rPr>
            </w:pPr>
            <w:r w:rsidRPr="00FD48D0">
              <w:rPr>
                <w:color w:val="000000" w:themeColor="text1"/>
              </w:rPr>
              <w:t>No</w:t>
            </w:r>
          </w:p>
        </w:tc>
      </w:tr>
      <w:tr w:rsidR="00FD48D0" w:rsidRPr="00FD48D0" w14:paraId="47072407" w14:textId="77777777" w:rsidTr="0008418F">
        <w:trPr>
          <w:trHeight w:val="290"/>
        </w:trPr>
        <w:tc>
          <w:tcPr>
            <w:tcW w:w="2880" w:type="dxa"/>
            <w:tcBorders>
              <w:top w:val="single" w:sz="4" w:space="0" w:color="auto"/>
              <w:left w:val="single" w:sz="4" w:space="0" w:color="auto"/>
              <w:bottom w:val="single" w:sz="4" w:space="0" w:color="auto"/>
              <w:right w:val="single" w:sz="4" w:space="0" w:color="auto"/>
            </w:tcBorders>
            <w:shd w:val="clear" w:color="auto" w:fill="auto"/>
            <w:hideMark/>
          </w:tcPr>
          <w:p w14:paraId="6330FA73" w14:textId="77777777" w:rsidR="00FD48D0" w:rsidRPr="00FD48D0" w:rsidRDefault="00FD48D0" w:rsidP="0008418F">
            <w:pPr>
              <w:pStyle w:val="ListParagraph"/>
              <w:ind w:left="318" w:firstLine="0"/>
              <w:contextualSpacing w:val="0"/>
              <w:rPr>
                <w:color w:val="000000" w:themeColor="text1"/>
              </w:rPr>
            </w:pPr>
            <w:r w:rsidRPr="00FD48D0">
              <w:rPr>
                <w:color w:val="000000" w:themeColor="text1"/>
              </w:rPr>
              <w:t>Zero-rated</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69050BF4" w14:textId="77777777" w:rsidR="00FD48D0" w:rsidRPr="00FD48D0" w:rsidRDefault="00FD48D0" w:rsidP="0008418F">
            <w:pPr>
              <w:pStyle w:val="ListParagraph"/>
              <w:spacing w:before="120"/>
              <w:jc w:val="right"/>
              <w:rPr>
                <w:color w:val="000000" w:themeColor="text1"/>
              </w:rPr>
            </w:pPr>
            <w:r w:rsidRPr="00FD48D0">
              <w:rPr>
                <w:color w:val="000000" w:themeColor="text1"/>
              </w:rPr>
              <w:t>Yes</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01A88B5A" w14:textId="77777777" w:rsidR="00FD48D0" w:rsidRPr="00FD48D0" w:rsidRDefault="00FD48D0" w:rsidP="0008418F">
            <w:pPr>
              <w:pStyle w:val="ListParagraph"/>
              <w:spacing w:before="120"/>
              <w:ind w:firstLine="0"/>
              <w:jc w:val="right"/>
              <w:rPr>
                <w:color w:val="000000" w:themeColor="text1"/>
              </w:rPr>
            </w:pPr>
            <w:r w:rsidRPr="00FD48D0">
              <w:rPr>
                <w:color w:val="000000" w:themeColor="text1"/>
              </w:rPr>
              <w:t>Yes, zero in value</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39F6AAE7" w14:textId="77777777" w:rsidR="00FD48D0" w:rsidRPr="00FD48D0" w:rsidRDefault="00FD48D0" w:rsidP="0008418F">
            <w:pPr>
              <w:pStyle w:val="ListParagraph"/>
              <w:spacing w:before="120"/>
              <w:jc w:val="right"/>
              <w:rPr>
                <w:color w:val="000000" w:themeColor="text1"/>
              </w:rPr>
            </w:pPr>
            <w:r w:rsidRPr="00FD48D0">
              <w:rPr>
                <w:color w:val="000000" w:themeColor="text1"/>
              </w:rPr>
              <w:t>Yes</w:t>
            </w:r>
          </w:p>
        </w:tc>
      </w:tr>
      <w:tr w:rsidR="00FD48D0" w:rsidRPr="00FD48D0" w14:paraId="6BDB9C15" w14:textId="77777777" w:rsidTr="0008418F">
        <w:trPr>
          <w:trHeight w:val="290"/>
        </w:trPr>
        <w:tc>
          <w:tcPr>
            <w:tcW w:w="2880" w:type="dxa"/>
            <w:tcBorders>
              <w:top w:val="single" w:sz="4" w:space="0" w:color="auto"/>
              <w:left w:val="single" w:sz="4" w:space="0" w:color="auto"/>
              <w:bottom w:val="single" w:sz="4" w:space="0" w:color="auto"/>
              <w:right w:val="single" w:sz="4" w:space="0" w:color="auto"/>
            </w:tcBorders>
            <w:shd w:val="clear" w:color="auto" w:fill="auto"/>
            <w:hideMark/>
          </w:tcPr>
          <w:p w14:paraId="77FE0A1D" w14:textId="4BA28EDA" w:rsidR="00FD48D0" w:rsidRPr="00FD48D0" w:rsidRDefault="00FD48D0" w:rsidP="0008418F">
            <w:pPr>
              <w:pStyle w:val="ListParagraph"/>
              <w:ind w:left="318" w:firstLine="0"/>
              <w:contextualSpacing w:val="0"/>
              <w:rPr>
                <w:color w:val="000000" w:themeColor="text1"/>
              </w:rPr>
            </w:pPr>
            <w:r w:rsidRPr="00FD48D0">
              <w:rPr>
                <w:color w:val="000000" w:themeColor="text1"/>
              </w:rPr>
              <w:t xml:space="preserve">VAT </w:t>
            </w:r>
            <w:proofErr w:type="spellStart"/>
            <w:r w:rsidRPr="00FD48D0">
              <w:rPr>
                <w:color w:val="000000" w:themeColor="text1"/>
              </w:rPr>
              <w:t>noncollected</w:t>
            </w:r>
            <w:proofErr w:type="spellEnd"/>
          </w:p>
          <w:p w14:paraId="67D6F81D" w14:textId="77777777" w:rsidR="00FD48D0" w:rsidRPr="00FD48D0" w:rsidRDefault="00FD48D0" w:rsidP="0008418F">
            <w:pPr>
              <w:pStyle w:val="ListParagraph"/>
              <w:ind w:left="318" w:firstLine="0"/>
              <w:contextualSpacing w:val="0"/>
              <w:rPr>
                <w:i/>
                <w:color w:val="000000" w:themeColor="text1"/>
              </w:rPr>
            </w:pPr>
            <w:r w:rsidRPr="00FD48D0">
              <w:rPr>
                <w:i/>
                <w:color w:val="000000" w:themeColor="text1"/>
              </w:rPr>
              <w:t>(effectively, zero-rated)</w:t>
            </w:r>
          </w:p>
        </w:tc>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14:paraId="3CF95ADC" w14:textId="77777777" w:rsidR="00FD48D0" w:rsidRPr="00FD48D0" w:rsidRDefault="00FD48D0" w:rsidP="0008418F">
            <w:pPr>
              <w:pStyle w:val="ListParagraph"/>
              <w:spacing w:before="120"/>
              <w:jc w:val="right"/>
              <w:rPr>
                <w:color w:val="000000" w:themeColor="text1"/>
              </w:rPr>
            </w:pPr>
            <w:r w:rsidRPr="00FD48D0">
              <w:rPr>
                <w:color w:val="000000" w:themeColor="text1"/>
              </w:rPr>
              <w:t>Yes</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451F7A18" w14:textId="364F1005" w:rsidR="00FD48D0" w:rsidRPr="00FD48D0" w:rsidRDefault="00FD48D0" w:rsidP="0008418F">
            <w:pPr>
              <w:pStyle w:val="ListParagraph"/>
              <w:spacing w:before="120"/>
              <w:ind w:left="0"/>
              <w:jc w:val="right"/>
              <w:rPr>
                <w:color w:val="000000" w:themeColor="text1"/>
              </w:rPr>
            </w:pPr>
            <w:proofErr w:type="gramStart"/>
            <w:r w:rsidRPr="00FD48D0">
              <w:rPr>
                <w:color w:val="000000" w:themeColor="text1"/>
              </w:rPr>
              <w:t>Yes</w:t>
            </w:r>
            <w:proofErr w:type="gramEnd"/>
            <w:r w:rsidRPr="00FD48D0">
              <w:rPr>
                <w:color w:val="000000" w:themeColor="text1"/>
              </w:rPr>
              <w:t xml:space="preserve"> but not collected</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639BD231" w14:textId="77777777" w:rsidR="00FD48D0" w:rsidRPr="00FD48D0" w:rsidRDefault="00FD48D0" w:rsidP="0008418F">
            <w:pPr>
              <w:pStyle w:val="ListParagraph"/>
              <w:spacing w:before="120"/>
              <w:jc w:val="right"/>
              <w:rPr>
                <w:color w:val="000000" w:themeColor="text1"/>
              </w:rPr>
            </w:pPr>
            <w:r w:rsidRPr="00FD48D0">
              <w:rPr>
                <w:color w:val="000000" w:themeColor="text1"/>
              </w:rPr>
              <w:t>Yes</w:t>
            </w:r>
          </w:p>
        </w:tc>
      </w:tr>
      <w:tr w:rsidR="00FD48D0" w:rsidRPr="00FD48D0" w14:paraId="0C155687" w14:textId="77777777" w:rsidTr="0008418F">
        <w:trPr>
          <w:trHeight w:val="290"/>
        </w:trPr>
        <w:tc>
          <w:tcPr>
            <w:tcW w:w="2880" w:type="dxa"/>
            <w:tcBorders>
              <w:top w:val="single" w:sz="4" w:space="0" w:color="auto"/>
              <w:left w:val="single" w:sz="4" w:space="0" w:color="auto"/>
              <w:bottom w:val="single" w:sz="4" w:space="0" w:color="auto"/>
              <w:right w:val="single" w:sz="4" w:space="0" w:color="auto"/>
            </w:tcBorders>
            <w:shd w:val="clear" w:color="000000" w:fill="auto"/>
            <w:hideMark/>
          </w:tcPr>
          <w:p w14:paraId="62FFBC40" w14:textId="77777777" w:rsidR="00FD48D0" w:rsidRPr="00FD48D0" w:rsidRDefault="00FD48D0" w:rsidP="0008418F">
            <w:pPr>
              <w:pStyle w:val="ListParagraph"/>
              <w:ind w:left="318" w:firstLine="0"/>
              <w:contextualSpacing w:val="0"/>
              <w:rPr>
                <w:color w:val="000000" w:themeColor="text1"/>
              </w:rPr>
            </w:pPr>
            <w:r w:rsidRPr="00FD48D0">
              <w:rPr>
                <w:color w:val="000000" w:themeColor="text1"/>
              </w:rPr>
              <w:t>VAT exempt*</w:t>
            </w:r>
          </w:p>
        </w:tc>
        <w:tc>
          <w:tcPr>
            <w:tcW w:w="1660" w:type="dxa"/>
            <w:tcBorders>
              <w:top w:val="single" w:sz="4" w:space="0" w:color="auto"/>
              <w:left w:val="single" w:sz="4" w:space="0" w:color="auto"/>
              <w:bottom w:val="single" w:sz="4" w:space="0" w:color="auto"/>
              <w:right w:val="single" w:sz="4" w:space="0" w:color="auto"/>
            </w:tcBorders>
            <w:shd w:val="clear" w:color="000000" w:fill="auto"/>
            <w:hideMark/>
          </w:tcPr>
          <w:p w14:paraId="07E5CF60" w14:textId="77777777" w:rsidR="00FD48D0" w:rsidRPr="00FD48D0" w:rsidRDefault="00FD48D0" w:rsidP="0008418F">
            <w:pPr>
              <w:pStyle w:val="ListParagraph"/>
              <w:spacing w:before="120"/>
              <w:jc w:val="right"/>
              <w:rPr>
                <w:color w:val="000000" w:themeColor="text1"/>
              </w:rPr>
            </w:pPr>
            <w:r w:rsidRPr="00FD48D0">
              <w:rPr>
                <w:color w:val="000000" w:themeColor="text1"/>
              </w:rPr>
              <w:t>Yes</w:t>
            </w:r>
          </w:p>
        </w:tc>
        <w:tc>
          <w:tcPr>
            <w:tcW w:w="2460" w:type="dxa"/>
            <w:tcBorders>
              <w:top w:val="single" w:sz="4" w:space="0" w:color="auto"/>
              <w:left w:val="single" w:sz="4" w:space="0" w:color="auto"/>
              <w:bottom w:val="single" w:sz="4" w:space="0" w:color="auto"/>
              <w:right w:val="single" w:sz="4" w:space="0" w:color="auto"/>
            </w:tcBorders>
            <w:shd w:val="clear" w:color="000000" w:fill="auto"/>
            <w:hideMark/>
          </w:tcPr>
          <w:p w14:paraId="16514D7A" w14:textId="77777777" w:rsidR="00FD48D0" w:rsidRPr="00FD48D0" w:rsidRDefault="00FD48D0" w:rsidP="0008418F">
            <w:pPr>
              <w:pStyle w:val="ListParagraph"/>
              <w:spacing w:before="120"/>
              <w:jc w:val="right"/>
              <w:rPr>
                <w:color w:val="000000" w:themeColor="text1"/>
              </w:rPr>
            </w:pPr>
            <w:r w:rsidRPr="00FD48D0">
              <w:rPr>
                <w:color w:val="000000" w:themeColor="text1"/>
              </w:rPr>
              <w:t>No</w:t>
            </w:r>
          </w:p>
        </w:tc>
        <w:tc>
          <w:tcPr>
            <w:tcW w:w="1740" w:type="dxa"/>
            <w:tcBorders>
              <w:top w:val="single" w:sz="4" w:space="0" w:color="auto"/>
              <w:left w:val="single" w:sz="4" w:space="0" w:color="auto"/>
              <w:bottom w:val="single" w:sz="4" w:space="0" w:color="auto"/>
              <w:right w:val="single" w:sz="4" w:space="0" w:color="auto"/>
            </w:tcBorders>
            <w:shd w:val="clear" w:color="000000" w:fill="auto"/>
            <w:hideMark/>
          </w:tcPr>
          <w:p w14:paraId="4815EC41" w14:textId="77777777" w:rsidR="00FD48D0" w:rsidRPr="00FD48D0" w:rsidRDefault="00FD48D0" w:rsidP="0008418F">
            <w:pPr>
              <w:pStyle w:val="ListParagraph"/>
              <w:spacing w:before="120"/>
              <w:jc w:val="right"/>
              <w:rPr>
                <w:color w:val="000000" w:themeColor="text1"/>
              </w:rPr>
            </w:pPr>
            <w:r w:rsidRPr="00FD48D0">
              <w:rPr>
                <w:color w:val="000000" w:themeColor="text1"/>
              </w:rPr>
              <w:t>No</w:t>
            </w:r>
          </w:p>
        </w:tc>
      </w:tr>
      <w:tr w:rsidR="00FD48D0" w:rsidRPr="00FD48D0" w14:paraId="7B9C1E8E" w14:textId="77777777" w:rsidTr="0008418F">
        <w:trPr>
          <w:trHeight w:val="290"/>
        </w:trPr>
        <w:tc>
          <w:tcPr>
            <w:tcW w:w="2880" w:type="dxa"/>
            <w:tcBorders>
              <w:top w:val="single" w:sz="4" w:space="0" w:color="auto"/>
              <w:left w:val="single" w:sz="4" w:space="0" w:color="auto"/>
              <w:bottom w:val="single" w:sz="4" w:space="0" w:color="auto"/>
              <w:right w:val="single" w:sz="4" w:space="0" w:color="auto"/>
            </w:tcBorders>
            <w:shd w:val="clear" w:color="auto" w:fill="auto"/>
            <w:hideMark/>
          </w:tcPr>
          <w:p w14:paraId="29A53583" w14:textId="12266CF5" w:rsidR="00FD48D0" w:rsidRPr="00FD48D0" w:rsidRDefault="00FD48D0" w:rsidP="0008418F">
            <w:pPr>
              <w:pStyle w:val="ListParagraph"/>
              <w:ind w:left="318" w:firstLine="0"/>
              <w:contextualSpacing w:val="0"/>
              <w:rPr>
                <w:color w:val="000000" w:themeColor="text1"/>
              </w:rPr>
            </w:pPr>
            <w:r w:rsidRPr="00FD48D0">
              <w:rPr>
                <w:color w:val="000000" w:themeColor="text1"/>
              </w:rPr>
              <w:t>VAT nontaxable**</w:t>
            </w:r>
          </w:p>
        </w:tc>
        <w:tc>
          <w:tcPr>
            <w:tcW w:w="1660" w:type="dxa"/>
            <w:tcBorders>
              <w:top w:val="single" w:sz="4" w:space="0" w:color="auto"/>
              <w:left w:val="single" w:sz="4" w:space="0" w:color="auto"/>
              <w:bottom w:val="single" w:sz="4" w:space="0" w:color="auto"/>
              <w:right w:val="single" w:sz="4" w:space="0" w:color="auto"/>
            </w:tcBorders>
            <w:shd w:val="clear" w:color="auto" w:fill="auto"/>
            <w:hideMark/>
          </w:tcPr>
          <w:p w14:paraId="4202AC78" w14:textId="77777777" w:rsidR="00FD48D0" w:rsidRPr="00FD48D0" w:rsidRDefault="00FD48D0" w:rsidP="0008418F">
            <w:pPr>
              <w:pStyle w:val="ListParagraph"/>
              <w:spacing w:before="120"/>
              <w:jc w:val="right"/>
              <w:rPr>
                <w:color w:val="000000" w:themeColor="text1"/>
              </w:rPr>
            </w:pPr>
            <w:r w:rsidRPr="00FD48D0">
              <w:rPr>
                <w:color w:val="000000" w:themeColor="text1"/>
              </w:rPr>
              <w:t>No</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7B9F552D" w14:textId="77777777" w:rsidR="00FD48D0" w:rsidRPr="00FD48D0" w:rsidRDefault="00FD48D0" w:rsidP="0008418F">
            <w:pPr>
              <w:pStyle w:val="ListParagraph"/>
              <w:spacing w:before="120"/>
              <w:jc w:val="right"/>
              <w:rPr>
                <w:color w:val="000000" w:themeColor="text1"/>
              </w:rPr>
            </w:pPr>
            <w:r w:rsidRPr="00FD48D0">
              <w:rPr>
                <w:color w:val="000000" w:themeColor="text1"/>
              </w:rPr>
              <w:t>No</w:t>
            </w:r>
          </w:p>
        </w:tc>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2A939A88" w14:textId="77777777" w:rsidR="00FD48D0" w:rsidRPr="00FD48D0" w:rsidRDefault="00FD48D0" w:rsidP="0008418F">
            <w:pPr>
              <w:pStyle w:val="ListParagraph"/>
              <w:spacing w:before="120"/>
              <w:jc w:val="right"/>
              <w:rPr>
                <w:color w:val="000000" w:themeColor="text1"/>
              </w:rPr>
            </w:pPr>
            <w:r w:rsidRPr="00FD48D0">
              <w:rPr>
                <w:color w:val="000000" w:themeColor="text1"/>
              </w:rPr>
              <w:t>No</w:t>
            </w:r>
          </w:p>
        </w:tc>
      </w:tr>
      <w:tr w:rsidR="00FD48D0" w:rsidRPr="00FD48D0" w14:paraId="59D18797" w14:textId="77777777" w:rsidTr="009C141D">
        <w:trPr>
          <w:trHeight w:val="290"/>
        </w:trPr>
        <w:tc>
          <w:tcPr>
            <w:tcW w:w="8740" w:type="dxa"/>
            <w:gridSpan w:val="4"/>
            <w:tcBorders>
              <w:top w:val="single" w:sz="4" w:space="0" w:color="auto"/>
              <w:left w:val="nil"/>
              <w:bottom w:val="nil"/>
              <w:right w:val="nil"/>
            </w:tcBorders>
            <w:shd w:val="clear" w:color="auto" w:fill="auto"/>
            <w:vAlign w:val="center"/>
          </w:tcPr>
          <w:p w14:paraId="2F4D34E8" w14:textId="77777777" w:rsidR="00FD48D0" w:rsidRPr="0008418F" w:rsidRDefault="00FD48D0" w:rsidP="0008418F">
            <w:pPr>
              <w:pStyle w:val="ListParagraph"/>
              <w:spacing w:after="0"/>
              <w:ind w:left="34" w:firstLine="0"/>
              <w:contextualSpacing w:val="0"/>
              <w:jc w:val="both"/>
              <w:rPr>
                <w:color w:val="000000" w:themeColor="text1"/>
                <w:sz w:val="18"/>
                <w:szCs w:val="18"/>
              </w:rPr>
            </w:pPr>
            <w:r w:rsidRPr="0008418F">
              <w:rPr>
                <w:i/>
                <w:iCs/>
                <w:color w:val="000000" w:themeColor="text1"/>
                <w:sz w:val="18"/>
                <w:szCs w:val="18"/>
              </w:rPr>
              <w:t>Source</w:t>
            </w:r>
            <w:r w:rsidRPr="0008418F">
              <w:rPr>
                <w:color w:val="000000" w:themeColor="text1"/>
                <w:sz w:val="18"/>
                <w:szCs w:val="18"/>
              </w:rPr>
              <w:t>: World Bank staff analysis, based on Government Regulation No. 44/2022.</w:t>
            </w:r>
          </w:p>
          <w:p w14:paraId="7C18ADD4" w14:textId="16B758BF" w:rsidR="00FD48D0" w:rsidRPr="00FD48D0" w:rsidRDefault="00FD48D0" w:rsidP="0008418F">
            <w:pPr>
              <w:pStyle w:val="ListParagraph"/>
              <w:spacing w:after="0"/>
              <w:ind w:left="34" w:firstLine="0"/>
              <w:contextualSpacing w:val="0"/>
              <w:jc w:val="both"/>
              <w:rPr>
                <w:color w:val="000000" w:themeColor="text1"/>
              </w:rPr>
            </w:pPr>
            <w:r w:rsidRPr="0008418F">
              <w:rPr>
                <w:i/>
                <w:iCs/>
                <w:color w:val="000000" w:themeColor="text1"/>
                <w:sz w:val="18"/>
                <w:szCs w:val="18"/>
              </w:rPr>
              <w:t>Note</w:t>
            </w:r>
            <w:r w:rsidRPr="0008418F">
              <w:rPr>
                <w:color w:val="000000" w:themeColor="text1"/>
                <w:sz w:val="18"/>
                <w:szCs w:val="18"/>
              </w:rPr>
              <w:t>: * When an activity is classified as ’VAT exempt’ and the firm’s annual turnover exceeds the registration threshold, it becomes VAT-registered. Firms in that activity</w:t>
            </w:r>
            <w:r w:rsidR="00490DD4">
              <w:rPr>
                <w:color w:val="000000" w:themeColor="text1"/>
                <w:sz w:val="18"/>
                <w:szCs w:val="18"/>
              </w:rPr>
              <w:t>, therefore,</w:t>
            </w:r>
            <w:r w:rsidRPr="0008418F">
              <w:rPr>
                <w:color w:val="000000" w:themeColor="text1"/>
                <w:sz w:val="18"/>
                <w:szCs w:val="18"/>
              </w:rPr>
              <w:t xml:space="preserve"> need to issue tax invoices but incur no tax liability.</w:t>
            </w:r>
            <w:r w:rsidR="00490DD4">
              <w:rPr>
                <w:color w:val="000000" w:themeColor="text1"/>
                <w:sz w:val="18"/>
                <w:szCs w:val="18"/>
              </w:rPr>
              <w:t xml:space="preserve"> </w:t>
            </w:r>
            <w:r w:rsidRPr="0008418F">
              <w:rPr>
                <w:color w:val="000000" w:themeColor="text1"/>
                <w:sz w:val="18"/>
                <w:szCs w:val="18"/>
              </w:rPr>
              <w:t>** Coverage of VAT nontaxable goods &amp; services is defined by VAT Laws and implementing regulations. For example, consumptions that are subject to subnational taxation are categorized as ‘VAT nontaxable’.</w:t>
            </w:r>
          </w:p>
        </w:tc>
      </w:tr>
    </w:tbl>
    <w:p w14:paraId="716E8A25" w14:textId="5057672F" w:rsidR="00B92E63" w:rsidRPr="00413EAA" w:rsidRDefault="00DA119E" w:rsidP="003F0569">
      <w:pPr>
        <w:pStyle w:val="ListParagraph"/>
        <w:numPr>
          <w:ilvl w:val="0"/>
          <w:numId w:val="12"/>
        </w:numPr>
        <w:spacing w:before="120"/>
        <w:ind w:left="0" w:firstLine="0"/>
        <w:contextualSpacing w:val="0"/>
        <w:jc w:val="both"/>
        <w:rPr>
          <w:color w:val="000000" w:themeColor="text1"/>
        </w:rPr>
      </w:pPr>
      <w:r w:rsidRPr="00413EAA">
        <w:rPr>
          <w:b/>
          <w:bCs/>
          <w:color w:val="000000" w:themeColor="text1"/>
        </w:rPr>
        <w:t>Preferential VAT treatments</w:t>
      </w:r>
      <w:r w:rsidR="00455E98" w:rsidRPr="00413EAA">
        <w:rPr>
          <w:b/>
          <w:bCs/>
          <w:color w:val="000000" w:themeColor="text1"/>
        </w:rPr>
        <w:t xml:space="preserve"> (exemptions and zero</w:t>
      </w:r>
      <w:r w:rsidR="006D69B5">
        <w:rPr>
          <w:b/>
          <w:bCs/>
          <w:color w:val="000000" w:themeColor="text1"/>
        </w:rPr>
        <w:t xml:space="preserve"> </w:t>
      </w:r>
      <w:r w:rsidR="00455E98" w:rsidRPr="00413EAA">
        <w:rPr>
          <w:b/>
          <w:bCs/>
          <w:color w:val="000000" w:themeColor="text1"/>
        </w:rPr>
        <w:t>rating)</w:t>
      </w:r>
      <w:r w:rsidR="00CF382B" w:rsidRPr="00413EAA">
        <w:rPr>
          <w:b/>
          <w:bCs/>
          <w:color w:val="000000" w:themeColor="text1"/>
        </w:rPr>
        <w:t xml:space="preserve"> c</w:t>
      </w:r>
      <w:r w:rsidR="00C760D6" w:rsidRPr="00413EAA">
        <w:rPr>
          <w:b/>
          <w:bCs/>
          <w:color w:val="000000" w:themeColor="text1"/>
        </w:rPr>
        <w:t xml:space="preserve">reate pressure </w:t>
      </w:r>
      <w:r w:rsidR="00413EAA" w:rsidRPr="0008418F">
        <w:rPr>
          <w:b/>
          <w:bCs/>
          <w:color w:val="000000" w:themeColor="text1"/>
        </w:rPr>
        <w:t>to</w:t>
      </w:r>
      <w:r w:rsidR="00C760D6" w:rsidRPr="00413EAA">
        <w:rPr>
          <w:b/>
          <w:bCs/>
          <w:color w:val="000000" w:themeColor="text1"/>
        </w:rPr>
        <w:t xml:space="preserve"> extend </w:t>
      </w:r>
      <w:r w:rsidR="00413EAA" w:rsidRPr="0008418F">
        <w:rPr>
          <w:b/>
          <w:bCs/>
          <w:color w:val="000000" w:themeColor="text1"/>
        </w:rPr>
        <w:t>their</w:t>
      </w:r>
      <w:r w:rsidR="00C760D6" w:rsidRPr="00413EAA">
        <w:rPr>
          <w:b/>
          <w:bCs/>
          <w:color w:val="000000" w:themeColor="text1"/>
        </w:rPr>
        <w:t xml:space="preserve"> scope to other </w:t>
      </w:r>
      <w:r w:rsidR="00F01B0C" w:rsidRPr="00413EAA">
        <w:rPr>
          <w:b/>
          <w:bCs/>
          <w:color w:val="000000" w:themeColor="text1"/>
        </w:rPr>
        <w:t>products</w:t>
      </w:r>
      <w:r w:rsidR="00413EAA" w:rsidRPr="0008418F">
        <w:rPr>
          <w:rFonts w:cstheme="minorHAnsi"/>
          <w:b/>
          <w:bCs/>
          <w:color w:val="000000" w:themeColor="text1"/>
        </w:rPr>
        <w:t>–</w:t>
      </w:r>
      <w:r w:rsidR="00F01B0C" w:rsidRPr="00413EAA">
        <w:rPr>
          <w:b/>
          <w:bCs/>
          <w:color w:val="000000" w:themeColor="text1"/>
        </w:rPr>
        <w:t>as observed in the extractive sector.</w:t>
      </w:r>
      <w:r w:rsidR="006F0108" w:rsidRPr="00413EAA">
        <w:rPr>
          <w:b/>
          <w:bCs/>
          <w:color w:val="000000" w:themeColor="text1"/>
        </w:rPr>
        <w:t xml:space="preserve"> </w:t>
      </w:r>
      <w:r w:rsidR="00E35266" w:rsidRPr="00413EAA">
        <w:rPr>
          <w:color w:val="000000" w:themeColor="text1"/>
        </w:rPr>
        <w:t>Preferential treatments</w:t>
      </w:r>
      <w:r w:rsidR="001175CA" w:rsidRPr="00413EAA">
        <w:rPr>
          <w:color w:val="000000" w:themeColor="text1"/>
        </w:rPr>
        <w:t xml:space="preserve"> are prone to </w:t>
      </w:r>
      <w:r w:rsidR="00117CE0" w:rsidRPr="00413EAA">
        <w:rPr>
          <w:color w:val="000000" w:themeColor="text1"/>
        </w:rPr>
        <w:t xml:space="preserve">what </w:t>
      </w:r>
      <w:r w:rsidR="001E5257" w:rsidRPr="00413EAA">
        <w:rPr>
          <w:color w:val="000000" w:themeColor="text1"/>
        </w:rPr>
        <w:t>has</w:t>
      </w:r>
      <w:r w:rsidR="002F5AA6" w:rsidRPr="00413EAA">
        <w:rPr>
          <w:color w:val="000000" w:themeColor="text1"/>
        </w:rPr>
        <w:t xml:space="preserve"> </w:t>
      </w:r>
      <w:r w:rsidR="00117CE0" w:rsidRPr="00413EAA">
        <w:rPr>
          <w:color w:val="000000" w:themeColor="text1"/>
        </w:rPr>
        <w:t xml:space="preserve">been called </w:t>
      </w:r>
      <w:r w:rsidR="0049734B" w:rsidRPr="00413EAA">
        <w:rPr>
          <w:color w:val="000000" w:themeColor="text1"/>
        </w:rPr>
        <w:t>“</w:t>
      </w:r>
      <w:r w:rsidR="002F5AA6" w:rsidRPr="00413EAA">
        <w:rPr>
          <w:color w:val="000000" w:themeColor="text1"/>
        </w:rPr>
        <w:t>exemption creep</w:t>
      </w:r>
      <w:r w:rsidR="0049734B" w:rsidRPr="00413EAA">
        <w:rPr>
          <w:color w:val="000000" w:themeColor="text1"/>
        </w:rPr>
        <w:t>”</w:t>
      </w:r>
      <w:r w:rsidR="002F5AA6" w:rsidRPr="00413EAA">
        <w:rPr>
          <w:color w:val="000000" w:themeColor="text1"/>
        </w:rPr>
        <w:t xml:space="preserve"> </w:t>
      </w:r>
      <w:r w:rsidR="001E5257" w:rsidRPr="00413EAA">
        <w:rPr>
          <w:color w:val="000000" w:themeColor="text1"/>
        </w:rPr>
        <w:t>or</w:t>
      </w:r>
      <w:r w:rsidR="0049734B" w:rsidRPr="00413EAA">
        <w:rPr>
          <w:color w:val="000000" w:themeColor="text1"/>
        </w:rPr>
        <w:t xml:space="preserve"> “</w:t>
      </w:r>
      <w:r w:rsidR="001E5257" w:rsidRPr="00413EAA">
        <w:rPr>
          <w:color w:val="000000" w:themeColor="text1"/>
        </w:rPr>
        <w:t>zero-rating creep”</w:t>
      </w:r>
      <w:r w:rsidR="00413EAA" w:rsidRPr="0008418F">
        <w:rPr>
          <w:rFonts w:cstheme="minorHAnsi"/>
          <w:color w:val="000000" w:themeColor="text1"/>
        </w:rPr>
        <w:t>–</w:t>
      </w:r>
      <w:r w:rsidR="001E5257" w:rsidRPr="00413EAA">
        <w:rPr>
          <w:color w:val="000000" w:themeColor="text1"/>
        </w:rPr>
        <w:t xml:space="preserve">which is the pressure to expand </w:t>
      </w:r>
      <w:r w:rsidR="00A910EA" w:rsidRPr="00413EAA">
        <w:rPr>
          <w:color w:val="000000" w:themeColor="text1"/>
        </w:rPr>
        <w:t>the preferential trea</w:t>
      </w:r>
      <w:r w:rsidR="00F9753C" w:rsidRPr="00413EAA">
        <w:rPr>
          <w:color w:val="000000" w:themeColor="text1"/>
        </w:rPr>
        <w:t xml:space="preserve">tment in one stage of the </w:t>
      </w:r>
      <w:r w:rsidR="00924FF5" w:rsidRPr="00413EAA">
        <w:rPr>
          <w:color w:val="000000" w:themeColor="text1"/>
        </w:rPr>
        <w:t xml:space="preserve">VAT </w:t>
      </w:r>
      <w:r w:rsidR="00F9753C" w:rsidRPr="00413EAA">
        <w:rPr>
          <w:color w:val="000000" w:themeColor="text1"/>
        </w:rPr>
        <w:t>chain</w:t>
      </w:r>
      <w:r w:rsidR="004D6876" w:rsidRPr="00413EAA">
        <w:rPr>
          <w:color w:val="000000" w:themeColor="text1"/>
        </w:rPr>
        <w:t xml:space="preserve"> </w:t>
      </w:r>
      <w:r w:rsidR="009741E4" w:rsidRPr="00413EAA">
        <w:rPr>
          <w:color w:val="000000" w:themeColor="text1"/>
        </w:rPr>
        <w:t>to</w:t>
      </w:r>
      <w:r w:rsidR="004D6876" w:rsidRPr="00413EAA">
        <w:rPr>
          <w:color w:val="000000" w:themeColor="text1"/>
        </w:rPr>
        <w:t xml:space="preserve"> inputs higher up the chain. </w:t>
      </w:r>
      <w:r w:rsidR="005F7B2D" w:rsidRPr="00413EAA">
        <w:rPr>
          <w:color w:val="000000" w:themeColor="text1"/>
        </w:rPr>
        <w:t xml:space="preserve">Exemption in the extractive sector </w:t>
      </w:r>
      <w:r w:rsidR="005E5615" w:rsidRPr="00413EAA">
        <w:rPr>
          <w:color w:val="000000" w:themeColor="text1"/>
        </w:rPr>
        <w:t>leads</w:t>
      </w:r>
      <w:r w:rsidR="005F7B2D" w:rsidRPr="00413EAA">
        <w:rPr>
          <w:color w:val="000000" w:themeColor="text1"/>
        </w:rPr>
        <w:t xml:space="preserve"> to </w:t>
      </w:r>
      <w:r w:rsidR="00924FF5" w:rsidRPr="00413EAA">
        <w:rPr>
          <w:color w:val="000000" w:themeColor="text1"/>
        </w:rPr>
        <w:t xml:space="preserve">zero-rating </w:t>
      </w:r>
      <w:r w:rsidR="004E1EA5" w:rsidRPr="00413EAA">
        <w:rPr>
          <w:color w:val="000000" w:themeColor="text1"/>
        </w:rPr>
        <w:t>treatments</w:t>
      </w:r>
      <w:r w:rsidR="00161B4B" w:rsidRPr="00413EAA">
        <w:rPr>
          <w:color w:val="000000" w:themeColor="text1"/>
        </w:rPr>
        <w:t xml:space="preserve"> </w:t>
      </w:r>
      <w:r w:rsidR="009E22CC" w:rsidRPr="00413EAA">
        <w:rPr>
          <w:color w:val="000000" w:themeColor="text1"/>
        </w:rPr>
        <w:t xml:space="preserve">to inputs used </w:t>
      </w:r>
      <w:r w:rsidR="00BC60EC" w:rsidRPr="00413EAA">
        <w:rPr>
          <w:color w:val="000000" w:themeColor="text1"/>
        </w:rPr>
        <w:t xml:space="preserve">by the </w:t>
      </w:r>
      <w:r w:rsidR="005B2172" w:rsidRPr="00413EAA">
        <w:rPr>
          <w:color w:val="000000" w:themeColor="text1"/>
        </w:rPr>
        <w:t>upstream oil and gas businesses.</w:t>
      </w:r>
      <w:r w:rsidR="005E5615" w:rsidRPr="00413EAA">
        <w:rPr>
          <w:color w:val="000000" w:themeColor="text1"/>
        </w:rPr>
        <w:t xml:space="preserve"> While zero</w:t>
      </w:r>
      <w:r w:rsidR="006D69B5">
        <w:rPr>
          <w:color w:val="000000" w:themeColor="text1"/>
        </w:rPr>
        <w:t xml:space="preserve"> </w:t>
      </w:r>
      <w:r w:rsidR="005E5615" w:rsidRPr="00413EAA">
        <w:rPr>
          <w:color w:val="000000" w:themeColor="text1"/>
        </w:rPr>
        <w:t xml:space="preserve">rating does not result in </w:t>
      </w:r>
      <w:r w:rsidR="00D96152" w:rsidRPr="00413EAA">
        <w:rPr>
          <w:color w:val="000000" w:themeColor="text1"/>
        </w:rPr>
        <w:t>the breaking of the VAT chain like an exemption does</w:t>
      </w:r>
      <w:r w:rsidR="003F284C" w:rsidRPr="00413EAA">
        <w:rPr>
          <w:color w:val="000000" w:themeColor="text1"/>
        </w:rPr>
        <w:t xml:space="preserve">, the </w:t>
      </w:r>
      <w:r w:rsidR="002C636D" w:rsidRPr="00413EAA">
        <w:rPr>
          <w:color w:val="000000" w:themeColor="text1"/>
        </w:rPr>
        <w:t>revenue loss can be significant</w:t>
      </w:r>
      <w:r w:rsidR="00CE6E34" w:rsidRPr="00413EAA">
        <w:rPr>
          <w:color w:val="000000" w:themeColor="text1"/>
        </w:rPr>
        <w:t>.</w:t>
      </w:r>
      <w:r w:rsidR="0049442F" w:rsidRPr="00413EAA">
        <w:rPr>
          <w:color w:val="000000" w:themeColor="text1"/>
        </w:rPr>
        <w:t xml:space="preserve"> </w:t>
      </w:r>
      <w:proofErr w:type="gramStart"/>
      <w:r w:rsidR="0049442F" w:rsidRPr="00413EAA">
        <w:rPr>
          <w:color w:val="000000" w:themeColor="text1"/>
        </w:rPr>
        <w:t>Zero</w:t>
      </w:r>
      <w:proofErr w:type="gramEnd"/>
      <w:r w:rsidR="006D69B5">
        <w:rPr>
          <w:color w:val="000000" w:themeColor="text1"/>
        </w:rPr>
        <w:t xml:space="preserve"> </w:t>
      </w:r>
      <w:r w:rsidR="0049442F" w:rsidRPr="00413EAA">
        <w:rPr>
          <w:color w:val="000000" w:themeColor="text1"/>
        </w:rPr>
        <w:t xml:space="preserve">rating should be strictly limited to exports, </w:t>
      </w:r>
      <w:r w:rsidR="00EF49CC" w:rsidRPr="00413EAA">
        <w:rPr>
          <w:color w:val="000000" w:themeColor="text1"/>
        </w:rPr>
        <w:t xml:space="preserve">otherwise it will give rise to lobbying </w:t>
      </w:r>
      <w:r w:rsidR="004F6086" w:rsidRPr="00413EAA">
        <w:rPr>
          <w:color w:val="000000" w:themeColor="text1"/>
        </w:rPr>
        <w:t xml:space="preserve">to extend similar treatment to other </w:t>
      </w:r>
      <w:proofErr w:type="gramStart"/>
      <w:r w:rsidR="004F6086" w:rsidRPr="00413EAA">
        <w:rPr>
          <w:color w:val="000000" w:themeColor="text1"/>
        </w:rPr>
        <w:t xml:space="preserve">products, </w:t>
      </w:r>
      <w:r w:rsidR="00F165C2" w:rsidRPr="00413EAA">
        <w:rPr>
          <w:color w:val="000000" w:themeColor="text1"/>
        </w:rPr>
        <w:t>or</w:t>
      </w:r>
      <w:proofErr w:type="gramEnd"/>
      <w:r w:rsidR="00F165C2" w:rsidRPr="00413EAA">
        <w:rPr>
          <w:color w:val="000000" w:themeColor="text1"/>
        </w:rPr>
        <w:t xml:space="preserve"> potentially </w:t>
      </w:r>
      <w:r w:rsidR="00BD7C9E" w:rsidRPr="00413EAA">
        <w:rPr>
          <w:color w:val="000000" w:themeColor="text1"/>
        </w:rPr>
        <w:t xml:space="preserve">burden the administration </w:t>
      </w:r>
      <w:r w:rsidR="00B10C38" w:rsidRPr="00413EAA">
        <w:rPr>
          <w:color w:val="000000" w:themeColor="text1"/>
        </w:rPr>
        <w:t xml:space="preserve">as claims for VAT refunds </w:t>
      </w:r>
      <w:r w:rsidR="00585F64" w:rsidRPr="00413EAA">
        <w:rPr>
          <w:color w:val="000000" w:themeColor="text1"/>
        </w:rPr>
        <w:t>are increasing.</w:t>
      </w:r>
    </w:p>
    <w:p w14:paraId="040051B0" w14:textId="4008E2E1" w:rsidR="00886A3F" w:rsidRPr="009D1B74" w:rsidRDefault="0072434E" w:rsidP="009D1B74">
      <w:pPr>
        <w:pStyle w:val="ListParagraph"/>
        <w:numPr>
          <w:ilvl w:val="0"/>
          <w:numId w:val="12"/>
        </w:numPr>
        <w:spacing w:before="120"/>
        <w:ind w:left="0" w:firstLine="0"/>
        <w:contextualSpacing w:val="0"/>
        <w:jc w:val="both"/>
        <w:rPr>
          <w:color w:val="000000" w:themeColor="text1"/>
        </w:rPr>
      </w:pPr>
      <w:r w:rsidRPr="00E20D1A">
        <w:rPr>
          <w:rFonts w:cstheme="minorHAnsi"/>
          <w:b/>
          <w:bCs/>
          <w:color w:val="000000" w:themeColor="text1"/>
        </w:rPr>
        <w:t xml:space="preserve">A </w:t>
      </w:r>
      <w:r w:rsidR="00880BBD" w:rsidRPr="00E20D1A">
        <w:rPr>
          <w:rFonts w:cstheme="minorHAnsi"/>
          <w:b/>
          <w:bCs/>
          <w:color w:val="000000" w:themeColor="text1"/>
        </w:rPr>
        <w:t xml:space="preserve">recent </w:t>
      </w:r>
      <w:r w:rsidR="00687E48" w:rsidRPr="00E20D1A">
        <w:rPr>
          <w:rFonts w:cstheme="minorHAnsi"/>
          <w:b/>
          <w:bCs/>
          <w:color w:val="000000" w:themeColor="text1"/>
        </w:rPr>
        <w:t>proposal to introduce a</w:t>
      </w:r>
      <w:r w:rsidR="00CB232A" w:rsidRPr="00E20D1A">
        <w:rPr>
          <w:rFonts w:cstheme="minorHAnsi"/>
          <w:b/>
          <w:bCs/>
          <w:color w:val="000000" w:themeColor="text1"/>
        </w:rPr>
        <w:t>n alternative</w:t>
      </w:r>
      <w:r w:rsidR="00687E48" w:rsidRPr="00E20D1A">
        <w:rPr>
          <w:rFonts w:cstheme="minorHAnsi"/>
          <w:b/>
          <w:bCs/>
          <w:color w:val="000000" w:themeColor="text1"/>
        </w:rPr>
        <w:t xml:space="preserve"> simplified VAT </w:t>
      </w:r>
      <w:r w:rsidR="00521815" w:rsidRPr="00E20D1A">
        <w:rPr>
          <w:rFonts w:cstheme="minorHAnsi"/>
          <w:b/>
          <w:bCs/>
          <w:color w:val="000000" w:themeColor="text1"/>
        </w:rPr>
        <w:t xml:space="preserve">regime </w:t>
      </w:r>
      <w:r w:rsidR="00CB232A" w:rsidRPr="00E20D1A">
        <w:rPr>
          <w:rFonts w:cstheme="minorHAnsi"/>
          <w:b/>
          <w:bCs/>
          <w:color w:val="000000" w:themeColor="text1"/>
        </w:rPr>
        <w:t xml:space="preserve">for MSMEs </w:t>
      </w:r>
      <w:r w:rsidR="00515042" w:rsidRPr="00E20D1A">
        <w:rPr>
          <w:rFonts w:cstheme="minorHAnsi"/>
          <w:b/>
          <w:bCs/>
          <w:color w:val="000000" w:themeColor="text1"/>
        </w:rPr>
        <w:t xml:space="preserve">may </w:t>
      </w:r>
      <w:r w:rsidR="00A6463D" w:rsidRPr="00E20D1A">
        <w:rPr>
          <w:rFonts w:cstheme="minorHAnsi"/>
          <w:b/>
          <w:bCs/>
          <w:color w:val="000000" w:themeColor="text1"/>
        </w:rPr>
        <w:t xml:space="preserve">complicate the </w:t>
      </w:r>
      <w:r w:rsidR="007E3DA5" w:rsidRPr="00E20D1A">
        <w:rPr>
          <w:rFonts w:cstheme="minorHAnsi"/>
          <w:b/>
          <w:bCs/>
          <w:color w:val="000000" w:themeColor="text1"/>
        </w:rPr>
        <w:t xml:space="preserve">VAT’s </w:t>
      </w:r>
      <w:r w:rsidR="00A6463D" w:rsidRPr="00E20D1A">
        <w:rPr>
          <w:rFonts w:cstheme="minorHAnsi"/>
          <w:b/>
          <w:bCs/>
          <w:color w:val="000000" w:themeColor="text1"/>
        </w:rPr>
        <w:t>administration</w:t>
      </w:r>
      <w:r w:rsidR="00D7345F" w:rsidRPr="00E20D1A">
        <w:rPr>
          <w:rFonts w:cstheme="minorHAnsi"/>
          <w:b/>
          <w:bCs/>
          <w:color w:val="000000" w:themeColor="text1"/>
        </w:rPr>
        <w:t>.</w:t>
      </w:r>
      <w:r w:rsidR="00561DB2" w:rsidRPr="00E20D1A">
        <w:rPr>
          <w:rFonts w:cstheme="minorHAnsi"/>
          <w:b/>
          <w:bCs/>
          <w:color w:val="000000" w:themeColor="text1"/>
        </w:rPr>
        <w:t xml:space="preserve"> </w:t>
      </w:r>
      <w:r w:rsidR="00E36695" w:rsidRPr="00E20D1A">
        <w:rPr>
          <w:color w:val="000000" w:themeColor="text1"/>
        </w:rPr>
        <w:t>A provisio</w:t>
      </w:r>
      <w:r w:rsidR="00133ABF" w:rsidRPr="00E20D1A">
        <w:rPr>
          <w:color w:val="000000" w:themeColor="text1"/>
        </w:rPr>
        <w:t>n</w:t>
      </w:r>
      <w:r w:rsidR="00E36695" w:rsidRPr="00E20D1A">
        <w:rPr>
          <w:color w:val="000000" w:themeColor="text1"/>
        </w:rPr>
        <w:t xml:space="preserve"> in</w:t>
      </w:r>
      <w:r w:rsidR="00133ABF" w:rsidRPr="00E20D1A">
        <w:rPr>
          <w:color w:val="000000" w:themeColor="text1"/>
        </w:rPr>
        <w:t xml:space="preserve"> the </w:t>
      </w:r>
      <w:r w:rsidR="00FD1F15" w:rsidRPr="00E20D1A">
        <w:rPr>
          <w:color w:val="000000" w:themeColor="text1"/>
        </w:rPr>
        <w:t>2021 Tax Harmonization Law</w:t>
      </w:r>
      <w:r w:rsidR="00933C60" w:rsidRPr="00BB3F44">
        <w:rPr>
          <w:rStyle w:val="FootnoteReference"/>
          <w:color w:val="000000" w:themeColor="text1"/>
        </w:rPr>
        <w:footnoteReference w:id="97"/>
      </w:r>
      <w:r w:rsidR="0013074B" w:rsidRPr="00E20D1A">
        <w:rPr>
          <w:color w:val="000000" w:themeColor="text1"/>
        </w:rPr>
        <w:t xml:space="preserve"> </w:t>
      </w:r>
      <w:r w:rsidR="00700B4E">
        <w:rPr>
          <w:color w:val="000000" w:themeColor="text1"/>
        </w:rPr>
        <w:t xml:space="preserve">may </w:t>
      </w:r>
      <w:r w:rsidR="00AF7E49">
        <w:rPr>
          <w:color w:val="000000" w:themeColor="text1"/>
        </w:rPr>
        <w:t xml:space="preserve">give rise </w:t>
      </w:r>
      <w:r w:rsidR="00AF7E49" w:rsidRPr="00165956">
        <w:rPr>
          <w:color w:val="000000" w:themeColor="text1"/>
        </w:rPr>
        <w:t xml:space="preserve">to </w:t>
      </w:r>
      <w:r w:rsidR="00E36695" w:rsidRPr="00165956">
        <w:rPr>
          <w:color w:val="000000" w:themeColor="text1"/>
        </w:rPr>
        <w:t xml:space="preserve">the introduction of </w:t>
      </w:r>
      <w:r w:rsidR="00BD7863" w:rsidRPr="00165956">
        <w:rPr>
          <w:color w:val="000000" w:themeColor="text1"/>
        </w:rPr>
        <w:t>a</w:t>
      </w:r>
      <w:r w:rsidR="000C6F0D" w:rsidRPr="00165956">
        <w:rPr>
          <w:color w:val="000000" w:themeColor="text1"/>
        </w:rPr>
        <w:t>n alternative</w:t>
      </w:r>
      <w:r w:rsidR="00BD7863" w:rsidRPr="00165956">
        <w:rPr>
          <w:color w:val="000000" w:themeColor="text1"/>
        </w:rPr>
        <w:t xml:space="preserve"> simplified VAT </w:t>
      </w:r>
      <w:r w:rsidR="00D41DE9" w:rsidRPr="00165956">
        <w:rPr>
          <w:color w:val="000000" w:themeColor="text1"/>
        </w:rPr>
        <w:t>(S-VAT)</w:t>
      </w:r>
      <w:r w:rsidR="00165956" w:rsidRPr="00165956">
        <w:rPr>
          <w:color w:val="000000" w:themeColor="text1"/>
        </w:rPr>
        <w:t xml:space="preserve"> regime</w:t>
      </w:r>
      <w:r w:rsidR="009306E4" w:rsidRPr="00165956">
        <w:rPr>
          <w:color w:val="000000" w:themeColor="text1"/>
        </w:rPr>
        <w:t xml:space="preserve"> for firms of a certain size. </w:t>
      </w:r>
      <w:r w:rsidR="00947E73" w:rsidRPr="00165956">
        <w:rPr>
          <w:color w:val="000000" w:themeColor="text1"/>
        </w:rPr>
        <w:t>This</w:t>
      </w:r>
      <w:r w:rsidR="00947E73" w:rsidRPr="002C0DB7">
        <w:rPr>
          <w:color w:val="000000" w:themeColor="text1"/>
        </w:rPr>
        <w:t xml:space="preserve"> provision was motivated by the desire to expand </w:t>
      </w:r>
      <w:proofErr w:type="gramStart"/>
      <w:r w:rsidR="00947E73" w:rsidRPr="002C0DB7">
        <w:rPr>
          <w:color w:val="000000" w:themeColor="text1"/>
        </w:rPr>
        <w:t>the VAT’s</w:t>
      </w:r>
      <w:proofErr w:type="gramEnd"/>
      <w:r w:rsidR="00947E73" w:rsidRPr="002C0DB7">
        <w:rPr>
          <w:color w:val="000000" w:themeColor="text1"/>
        </w:rPr>
        <w:t xml:space="preserve"> tax base to firms below the current eligibility threshold, while limiting the complexity of VAT compliance. </w:t>
      </w:r>
      <w:r w:rsidR="000D34BA">
        <w:rPr>
          <w:color w:val="000000" w:themeColor="text1"/>
        </w:rPr>
        <w:t xml:space="preserve">While the provision exists, </w:t>
      </w:r>
      <w:r w:rsidR="004E080B">
        <w:rPr>
          <w:color w:val="000000" w:themeColor="text1"/>
        </w:rPr>
        <w:t xml:space="preserve">the </w:t>
      </w:r>
      <w:r w:rsidR="00034356">
        <w:rPr>
          <w:color w:val="000000" w:themeColor="text1"/>
        </w:rPr>
        <w:t xml:space="preserve">S-VAT </w:t>
      </w:r>
      <w:r w:rsidR="000D34BA">
        <w:rPr>
          <w:color w:val="000000" w:themeColor="text1"/>
        </w:rPr>
        <w:t xml:space="preserve">has not yet been </w:t>
      </w:r>
      <w:r w:rsidR="004E080B">
        <w:rPr>
          <w:color w:val="000000" w:themeColor="text1"/>
        </w:rPr>
        <w:t>implemented</w:t>
      </w:r>
      <w:r w:rsidR="000D34BA">
        <w:rPr>
          <w:color w:val="000000" w:themeColor="text1"/>
        </w:rPr>
        <w:t xml:space="preserve"> </w:t>
      </w:r>
      <w:r w:rsidR="0061428D">
        <w:rPr>
          <w:color w:val="000000" w:themeColor="text1"/>
        </w:rPr>
        <w:t xml:space="preserve">as </w:t>
      </w:r>
      <w:r w:rsidR="000D34BA">
        <w:rPr>
          <w:color w:val="000000" w:themeColor="text1"/>
        </w:rPr>
        <w:t xml:space="preserve">the government has not </w:t>
      </w:r>
      <w:r w:rsidR="00F439B5">
        <w:rPr>
          <w:color w:val="000000" w:themeColor="text1"/>
        </w:rPr>
        <w:t xml:space="preserve">subsequently </w:t>
      </w:r>
      <w:r w:rsidR="000D34BA">
        <w:rPr>
          <w:color w:val="000000" w:themeColor="text1"/>
        </w:rPr>
        <w:t xml:space="preserve">passed </w:t>
      </w:r>
      <w:r w:rsidR="004E080B">
        <w:rPr>
          <w:color w:val="000000" w:themeColor="text1"/>
        </w:rPr>
        <w:t xml:space="preserve">any </w:t>
      </w:r>
      <w:r w:rsidR="000D34BA">
        <w:rPr>
          <w:color w:val="000000" w:themeColor="text1"/>
        </w:rPr>
        <w:t xml:space="preserve">government or ministerial </w:t>
      </w:r>
      <w:r w:rsidR="001B083A">
        <w:rPr>
          <w:color w:val="000000" w:themeColor="text1"/>
        </w:rPr>
        <w:t>r</w:t>
      </w:r>
      <w:r w:rsidR="00C85C3C">
        <w:rPr>
          <w:color w:val="000000" w:themeColor="text1"/>
        </w:rPr>
        <w:t xml:space="preserve">egulations </w:t>
      </w:r>
      <w:r w:rsidR="00D93860">
        <w:rPr>
          <w:color w:val="000000" w:themeColor="text1"/>
        </w:rPr>
        <w:t xml:space="preserve">outlining </w:t>
      </w:r>
      <w:r w:rsidR="00A74873">
        <w:rPr>
          <w:color w:val="000000" w:themeColor="text1"/>
        </w:rPr>
        <w:t>implementation details</w:t>
      </w:r>
      <w:r w:rsidR="000D34BA">
        <w:rPr>
          <w:color w:val="000000" w:themeColor="text1"/>
        </w:rPr>
        <w:t xml:space="preserve">. </w:t>
      </w:r>
      <w:r w:rsidR="00064277" w:rsidRPr="002C0DB7">
        <w:rPr>
          <w:color w:val="000000" w:themeColor="text1"/>
        </w:rPr>
        <w:t xml:space="preserve">One model of how this could be implemented, which has gained considerable government </w:t>
      </w:r>
      <w:r w:rsidR="00301051" w:rsidRPr="002C0DB7">
        <w:rPr>
          <w:color w:val="000000" w:themeColor="text1"/>
        </w:rPr>
        <w:t>attention</w:t>
      </w:r>
      <w:r w:rsidR="00BD5B16" w:rsidRPr="002C0DB7">
        <w:rPr>
          <w:color w:val="000000" w:themeColor="text1"/>
        </w:rPr>
        <w:t>, has the following key features</w:t>
      </w:r>
      <w:r w:rsidR="00886A3F" w:rsidRPr="002C0DB7">
        <w:rPr>
          <w:rFonts w:cstheme="minorHAnsi"/>
          <w:color w:val="000000" w:themeColor="text1"/>
        </w:rPr>
        <w:t xml:space="preserve">: </w:t>
      </w:r>
      <w:r w:rsidR="000C7395" w:rsidRPr="002C0DB7">
        <w:rPr>
          <w:rFonts w:cstheme="minorHAnsi"/>
          <w:color w:val="000000" w:themeColor="text1"/>
        </w:rPr>
        <w:t>(</w:t>
      </w:r>
      <w:r w:rsidR="00413EAA">
        <w:rPr>
          <w:rFonts w:cstheme="minorHAnsi"/>
          <w:color w:val="000000" w:themeColor="text1"/>
        </w:rPr>
        <w:t>i</w:t>
      </w:r>
      <w:r w:rsidR="000C7395" w:rsidRPr="002C0DB7">
        <w:rPr>
          <w:rFonts w:cstheme="minorHAnsi"/>
          <w:color w:val="000000" w:themeColor="text1"/>
        </w:rPr>
        <w:t xml:space="preserve">) </w:t>
      </w:r>
      <w:r w:rsidR="00D32691" w:rsidRPr="002C0DB7">
        <w:rPr>
          <w:rFonts w:cstheme="minorHAnsi"/>
          <w:color w:val="000000" w:themeColor="text1"/>
        </w:rPr>
        <w:t xml:space="preserve">all </w:t>
      </w:r>
      <w:r w:rsidR="00886A3F" w:rsidRPr="002C0DB7">
        <w:rPr>
          <w:rFonts w:cstheme="minorHAnsi"/>
          <w:color w:val="000000" w:themeColor="text1"/>
        </w:rPr>
        <w:t>firms</w:t>
      </w:r>
      <w:r w:rsidR="00BD5B16" w:rsidRPr="002C0DB7">
        <w:rPr>
          <w:rFonts w:cstheme="minorHAnsi"/>
          <w:color w:val="000000" w:themeColor="text1"/>
        </w:rPr>
        <w:t xml:space="preserve"> with annual </w:t>
      </w:r>
      <w:r w:rsidR="00625F28" w:rsidRPr="002C0DB7">
        <w:rPr>
          <w:rFonts w:cstheme="minorHAnsi"/>
          <w:color w:val="000000" w:themeColor="text1"/>
        </w:rPr>
        <w:t xml:space="preserve">turnover </w:t>
      </w:r>
      <w:r w:rsidR="00BD5B16" w:rsidRPr="002C0DB7">
        <w:rPr>
          <w:rFonts w:cstheme="minorHAnsi"/>
          <w:color w:val="000000" w:themeColor="text1"/>
        </w:rPr>
        <w:t>below R</w:t>
      </w:r>
      <w:r w:rsidR="0004266E">
        <w:rPr>
          <w:rFonts w:cstheme="minorHAnsi"/>
          <w:color w:val="000000" w:themeColor="text1"/>
        </w:rPr>
        <w:t>p</w:t>
      </w:r>
      <w:r w:rsidR="00BD5B16" w:rsidRPr="002C0DB7">
        <w:rPr>
          <w:rFonts w:cstheme="minorHAnsi"/>
          <w:color w:val="000000" w:themeColor="text1"/>
        </w:rPr>
        <w:t xml:space="preserve"> 4.8 billion </w:t>
      </w:r>
      <w:r w:rsidR="00886A3F" w:rsidRPr="002C0DB7">
        <w:rPr>
          <w:color w:val="000000" w:themeColor="text1"/>
        </w:rPr>
        <w:t>will</w:t>
      </w:r>
      <w:r w:rsidR="00D32691" w:rsidRPr="002C0DB7">
        <w:rPr>
          <w:color w:val="000000" w:themeColor="text1"/>
        </w:rPr>
        <w:t xml:space="preserve"> </w:t>
      </w:r>
      <w:r w:rsidR="007B7B4F" w:rsidRPr="002C0DB7">
        <w:rPr>
          <w:color w:val="000000" w:themeColor="text1"/>
        </w:rPr>
        <w:t xml:space="preserve">fall within the S-VAT regime and </w:t>
      </w:r>
      <w:r w:rsidR="00625F28" w:rsidRPr="002C0DB7">
        <w:rPr>
          <w:color w:val="000000" w:themeColor="text1"/>
        </w:rPr>
        <w:t xml:space="preserve">be expected to collect </w:t>
      </w:r>
      <w:r w:rsidR="00B55481" w:rsidRPr="002C0DB7">
        <w:rPr>
          <w:color w:val="000000" w:themeColor="text1"/>
        </w:rPr>
        <w:t>a</w:t>
      </w:r>
      <w:r w:rsidR="007C421B">
        <w:rPr>
          <w:color w:val="000000" w:themeColor="text1"/>
        </w:rPr>
        <w:t>n</w:t>
      </w:r>
      <w:r w:rsidR="00B55481" w:rsidRPr="002C0DB7">
        <w:rPr>
          <w:color w:val="000000" w:themeColor="text1"/>
        </w:rPr>
        <w:t xml:space="preserve"> </w:t>
      </w:r>
      <w:r w:rsidR="00310D0E" w:rsidRPr="002C0DB7">
        <w:rPr>
          <w:color w:val="000000" w:themeColor="text1"/>
        </w:rPr>
        <w:t>S-</w:t>
      </w:r>
      <w:r w:rsidR="00B55481" w:rsidRPr="002C0DB7">
        <w:rPr>
          <w:color w:val="000000" w:themeColor="text1"/>
        </w:rPr>
        <w:t xml:space="preserve">VAT of some </w:t>
      </w:r>
      <w:r w:rsidR="00E20D1A" w:rsidRPr="002C0DB7">
        <w:rPr>
          <w:color w:val="000000" w:themeColor="text1"/>
        </w:rPr>
        <w:t>fixed</w:t>
      </w:r>
      <w:r w:rsidR="00B55481" w:rsidRPr="002C0DB7">
        <w:rPr>
          <w:color w:val="000000" w:themeColor="text1"/>
        </w:rPr>
        <w:t xml:space="preserve"> percent on </w:t>
      </w:r>
      <w:r w:rsidR="003758E0" w:rsidRPr="002C0DB7">
        <w:rPr>
          <w:color w:val="000000" w:themeColor="text1"/>
        </w:rPr>
        <w:t xml:space="preserve">the value of </w:t>
      </w:r>
      <w:r w:rsidR="00310D0E" w:rsidRPr="002C0DB7">
        <w:rPr>
          <w:color w:val="000000" w:themeColor="text1"/>
        </w:rPr>
        <w:t xml:space="preserve">their </w:t>
      </w:r>
      <w:r w:rsidR="00625F28" w:rsidRPr="002C0DB7">
        <w:rPr>
          <w:color w:val="000000" w:themeColor="text1"/>
        </w:rPr>
        <w:t>sales</w:t>
      </w:r>
      <w:r w:rsidR="00B55481" w:rsidRPr="002C0DB7">
        <w:rPr>
          <w:color w:val="000000" w:themeColor="text1"/>
        </w:rPr>
        <w:t xml:space="preserve">; </w:t>
      </w:r>
      <w:r w:rsidR="003758E0" w:rsidRPr="002C0DB7">
        <w:rPr>
          <w:color w:val="000000" w:themeColor="text1"/>
        </w:rPr>
        <w:t>(</w:t>
      </w:r>
      <w:r w:rsidR="00413EAA">
        <w:rPr>
          <w:color w:val="000000" w:themeColor="text1"/>
        </w:rPr>
        <w:t>ii</w:t>
      </w:r>
      <w:r w:rsidR="003758E0" w:rsidRPr="002C0DB7">
        <w:rPr>
          <w:color w:val="000000" w:themeColor="text1"/>
        </w:rPr>
        <w:t xml:space="preserve">) </w:t>
      </w:r>
      <w:r w:rsidR="00310D0E" w:rsidRPr="002C0DB7">
        <w:rPr>
          <w:color w:val="000000" w:themeColor="text1"/>
        </w:rPr>
        <w:t xml:space="preserve">these firms will not be eligible to claim </w:t>
      </w:r>
      <w:r w:rsidR="00301051" w:rsidRPr="002C0DB7">
        <w:rPr>
          <w:color w:val="000000" w:themeColor="text1"/>
        </w:rPr>
        <w:t xml:space="preserve">VAT </w:t>
      </w:r>
      <w:r w:rsidR="00310D0E" w:rsidRPr="002C0DB7">
        <w:rPr>
          <w:color w:val="000000" w:themeColor="text1"/>
        </w:rPr>
        <w:t xml:space="preserve">input </w:t>
      </w:r>
      <w:r w:rsidR="00301051" w:rsidRPr="002C0DB7">
        <w:rPr>
          <w:color w:val="000000" w:themeColor="text1"/>
        </w:rPr>
        <w:t xml:space="preserve">tax </w:t>
      </w:r>
      <w:r w:rsidR="00310D0E" w:rsidRPr="002C0DB7">
        <w:rPr>
          <w:color w:val="000000" w:themeColor="text1"/>
        </w:rPr>
        <w:t xml:space="preserve">credits </w:t>
      </w:r>
      <w:r w:rsidR="005174FB" w:rsidRPr="002C0DB7">
        <w:rPr>
          <w:color w:val="000000" w:themeColor="text1"/>
        </w:rPr>
        <w:t xml:space="preserve">based </w:t>
      </w:r>
      <w:r w:rsidR="00301051" w:rsidRPr="002C0DB7">
        <w:rPr>
          <w:color w:val="000000" w:themeColor="text1"/>
        </w:rPr>
        <w:t xml:space="preserve">on their </w:t>
      </w:r>
      <w:r w:rsidR="005174FB" w:rsidRPr="002C0DB7">
        <w:rPr>
          <w:color w:val="000000" w:themeColor="text1"/>
        </w:rPr>
        <w:t>input purchases</w:t>
      </w:r>
      <w:r w:rsidR="00301051" w:rsidRPr="002C0DB7">
        <w:rPr>
          <w:color w:val="000000" w:themeColor="text1"/>
        </w:rPr>
        <w:t xml:space="preserve">; </w:t>
      </w:r>
      <w:r w:rsidR="00F24044" w:rsidRPr="002C0DB7">
        <w:rPr>
          <w:color w:val="000000" w:themeColor="text1"/>
        </w:rPr>
        <w:t xml:space="preserve">and </w:t>
      </w:r>
      <w:r w:rsidR="00115300" w:rsidRPr="002C0DB7">
        <w:rPr>
          <w:color w:val="000000" w:themeColor="text1"/>
        </w:rPr>
        <w:t>(</w:t>
      </w:r>
      <w:r w:rsidR="00413EAA">
        <w:rPr>
          <w:color w:val="000000" w:themeColor="text1"/>
        </w:rPr>
        <w:t>iii</w:t>
      </w:r>
      <w:r w:rsidR="00115300" w:rsidRPr="002C0DB7">
        <w:rPr>
          <w:color w:val="000000" w:themeColor="text1"/>
        </w:rPr>
        <w:t>)</w:t>
      </w:r>
      <w:r w:rsidR="00D32691" w:rsidRPr="002C0DB7">
        <w:rPr>
          <w:color w:val="000000" w:themeColor="text1"/>
        </w:rPr>
        <w:t xml:space="preserve"> these </w:t>
      </w:r>
      <w:r w:rsidR="00115300" w:rsidRPr="002C0DB7">
        <w:rPr>
          <w:color w:val="000000" w:themeColor="text1"/>
        </w:rPr>
        <w:t>firms may opt</w:t>
      </w:r>
      <w:r w:rsidR="00413EAA">
        <w:rPr>
          <w:color w:val="000000" w:themeColor="text1"/>
        </w:rPr>
        <w:t xml:space="preserve"> </w:t>
      </w:r>
      <w:r w:rsidR="00115300" w:rsidRPr="002C0DB7">
        <w:rPr>
          <w:color w:val="000000" w:themeColor="text1"/>
        </w:rPr>
        <w:t>out and participate in the standard VAT regime which allows for VAT input credits</w:t>
      </w:r>
      <w:r w:rsidR="00C44945" w:rsidRPr="002C0DB7">
        <w:rPr>
          <w:color w:val="000000" w:themeColor="text1"/>
        </w:rPr>
        <w:t>.</w:t>
      </w:r>
      <w:r w:rsidR="00412DC2">
        <w:rPr>
          <w:rStyle w:val="FootnoteReference"/>
          <w:color w:val="000000" w:themeColor="text1"/>
        </w:rPr>
        <w:footnoteReference w:id="98"/>
      </w:r>
      <w:r w:rsidR="007B7B4F" w:rsidRPr="002C0DB7">
        <w:rPr>
          <w:color w:val="000000" w:themeColor="text1"/>
        </w:rPr>
        <w:t xml:space="preserve"> </w:t>
      </w:r>
      <w:r w:rsidR="00200C26" w:rsidRPr="002C0DB7">
        <w:rPr>
          <w:color w:val="000000" w:themeColor="text1"/>
        </w:rPr>
        <w:t xml:space="preserve">Under this proposal, the </w:t>
      </w:r>
      <w:r w:rsidR="00200C26" w:rsidRPr="002C0DB7">
        <w:rPr>
          <w:color w:val="000000" w:themeColor="text1"/>
        </w:rPr>
        <w:lastRenderedPageBreak/>
        <w:t xml:space="preserve">S-VAT operates as a </w:t>
      </w:r>
      <w:r w:rsidR="00E12751" w:rsidRPr="002C0DB7">
        <w:rPr>
          <w:color w:val="000000" w:themeColor="text1"/>
        </w:rPr>
        <w:t xml:space="preserve">type </w:t>
      </w:r>
      <w:r w:rsidR="00200C26" w:rsidRPr="002C0DB7">
        <w:rPr>
          <w:color w:val="000000" w:themeColor="text1"/>
        </w:rPr>
        <w:t xml:space="preserve">of </w:t>
      </w:r>
      <w:r w:rsidR="007F17D3" w:rsidRPr="002C0DB7">
        <w:rPr>
          <w:color w:val="000000" w:themeColor="text1"/>
        </w:rPr>
        <w:t xml:space="preserve">alternative </w:t>
      </w:r>
      <w:r w:rsidR="00200C26" w:rsidRPr="002C0DB7">
        <w:rPr>
          <w:color w:val="000000" w:themeColor="text1"/>
        </w:rPr>
        <w:t xml:space="preserve">final turnover tax under the VAT regime, similar to the AFT </w:t>
      </w:r>
      <w:r w:rsidR="004A75DC" w:rsidRPr="002C0DB7">
        <w:rPr>
          <w:color w:val="000000" w:themeColor="text1"/>
        </w:rPr>
        <w:t>under the income tax regime</w:t>
      </w:r>
      <w:r w:rsidR="00200C26" w:rsidRPr="002C0DB7">
        <w:rPr>
          <w:color w:val="000000" w:themeColor="text1"/>
        </w:rPr>
        <w:t xml:space="preserve">. </w:t>
      </w:r>
      <w:r w:rsidR="002B7F84" w:rsidRPr="002C0DB7">
        <w:rPr>
          <w:color w:val="000000" w:themeColor="text1"/>
        </w:rPr>
        <w:t xml:space="preserve">This results in two turnover </w:t>
      </w:r>
      <w:proofErr w:type="gramStart"/>
      <w:r w:rsidR="002B7F84" w:rsidRPr="002C0DB7">
        <w:rPr>
          <w:color w:val="000000" w:themeColor="text1"/>
        </w:rPr>
        <w:t>taxes</w:t>
      </w:r>
      <w:r w:rsidR="0015228A" w:rsidRPr="002C0DB7">
        <w:rPr>
          <w:color w:val="000000" w:themeColor="text1"/>
        </w:rPr>
        <w:t>,</w:t>
      </w:r>
      <w:proofErr w:type="gramEnd"/>
      <w:r w:rsidR="00CF3BA3" w:rsidRPr="002C0DB7">
        <w:rPr>
          <w:color w:val="000000" w:themeColor="text1"/>
        </w:rPr>
        <w:t xml:space="preserve"> operating in </w:t>
      </w:r>
      <w:proofErr w:type="gramStart"/>
      <w:r w:rsidR="00CF3BA3" w:rsidRPr="002C0DB7">
        <w:rPr>
          <w:color w:val="000000" w:themeColor="text1"/>
        </w:rPr>
        <w:t>parallel,</w:t>
      </w:r>
      <w:proofErr w:type="gramEnd"/>
      <w:r w:rsidR="00CF3BA3" w:rsidRPr="002C0DB7">
        <w:rPr>
          <w:color w:val="000000" w:themeColor="text1"/>
        </w:rPr>
        <w:t xml:space="preserve"> under different tax laws. </w:t>
      </w:r>
      <w:r w:rsidR="00C4326C" w:rsidRPr="002C0DB7">
        <w:rPr>
          <w:color w:val="000000" w:themeColor="text1"/>
        </w:rPr>
        <w:t xml:space="preserve">The interlinkage of </w:t>
      </w:r>
      <w:r w:rsidR="0015228A" w:rsidRPr="002C0DB7">
        <w:rPr>
          <w:color w:val="000000" w:themeColor="text1"/>
        </w:rPr>
        <w:t xml:space="preserve">the </w:t>
      </w:r>
      <w:r w:rsidR="00C4326C" w:rsidRPr="002C0DB7">
        <w:rPr>
          <w:color w:val="000000" w:themeColor="text1"/>
        </w:rPr>
        <w:t xml:space="preserve">S-VAT with </w:t>
      </w:r>
      <w:r w:rsidR="0015228A" w:rsidRPr="002C0DB7">
        <w:rPr>
          <w:color w:val="000000" w:themeColor="text1"/>
        </w:rPr>
        <w:t xml:space="preserve">other </w:t>
      </w:r>
      <w:r w:rsidR="00C4326C" w:rsidRPr="002C0DB7">
        <w:rPr>
          <w:color w:val="000000" w:themeColor="text1"/>
        </w:rPr>
        <w:t xml:space="preserve">final </w:t>
      </w:r>
      <w:r w:rsidR="002409B1" w:rsidRPr="002C0DB7">
        <w:rPr>
          <w:color w:val="000000" w:themeColor="text1"/>
        </w:rPr>
        <w:t xml:space="preserve">VAT </w:t>
      </w:r>
      <w:r w:rsidR="0015228A" w:rsidRPr="002C0DB7">
        <w:rPr>
          <w:color w:val="000000" w:themeColor="text1"/>
        </w:rPr>
        <w:t xml:space="preserve">provisions of the tax code </w:t>
      </w:r>
      <w:r w:rsidR="002409B1" w:rsidRPr="002C0DB7">
        <w:rPr>
          <w:color w:val="000000" w:themeColor="text1"/>
        </w:rPr>
        <w:t xml:space="preserve">will </w:t>
      </w:r>
      <w:r w:rsidR="000D0200" w:rsidRPr="002C0DB7">
        <w:rPr>
          <w:color w:val="000000" w:themeColor="text1"/>
        </w:rPr>
        <w:t xml:space="preserve">also </w:t>
      </w:r>
      <w:r w:rsidR="002409B1" w:rsidRPr="002C0DB7">
        <w:rPr>
          <w:color w:val="000000" w:themeColor="text1"/>
        </w:rPr>
        <w:t xml:space="preserve">create </w:t>
      </w:r>
      <w:r w:rsidR="00541A4F" w:rsidRPr="002C0DB7">
        <w:rPr>
          <w:color w:val="000000" w:themeColor="text1"/>
        </w:rPr>
        <w:t>confusion</w:t>
      </w:r>
      <w:r w:rsidR="00AA7FE2" w:rsidRPr="002C0DB7">
        <w:rPr>
          <w:color w:val="000000" w:themeColor="text1"/>
        </w:rPr>
        <w:t xml:space="preserve">: </w:t>
      </w:r>
      <w:r w:rsidR="00C6307C" w:rsidRPr="002C0DB7">
        <w:rPr>
          <w:color w:val="000000" w:themeColor="text1"/>
        </w:rPr>
        <w:t xml:space="preserve">for example, </w:t>
      </w:r>
      <w:r w:rsidR="00AA7FE2" w:rsidRPr="002C0DB7">
        <w:rPr>
          <w:color w:val="000000" w:themeColor="text1"/>
        </w:rPr>
        <w:t xml:space="preserve">will </w:t>
      </w:r>
      <w:r w:rsidR="006723E7" w:rsidRPr="002C0DB7">
        <w:rPr>
          <w:color w:val="000000" w:themeColor="text1"/>
        </w:rPr>
        <w:t>s</w:t>
      </w:r>
      <w:r w:rsidR="0024238D" w:rsidRPr="002C0DB7">
        <w:rPr>
          <w:color w:val="000000" w:themeColor="text1"/>
        </w:rPr>
        <w:t xml:space="preserve">mall firms producing final VAT </w:t>
      </w:r>
      <w:r w:rsidR="00C6307C" w:rsidRPr="002C0DB7">
        <w:rPr>
          <w:color w:val="000000" w:themeColor="text1"/>
        </w:rPr>
        <w:t xml:space="preserve">goods also need to enter </w:t>
      </w:r>
      <w:r w:rsidR="00AA7FE2" w:rsidRPr="002C0DB7">
        <w:rPr>
          <w:color w:val="000000" w:themeColor="text1"/>
        </w:rPr>
        <w:t xml:space="preserve">the </w:t>
      </w:r>
      <w:r w:rsidR="00C6307C" w:rsidRPr="002C0DB7">
        <w:rPr>
          <w:color w:val="000000" w:themeColor="text1"/>
        </w:rPr>
        <w:t>S-VAT regime</w:t>
      </w:r>
      <w:r w:rsidR="00AA7FE2" w:rsidRPr="002C0DB7">
        <w:rPr>
          <w:color w:val="000000" w:themeColor="text1"/>
        </w:rPr>
        <w:t>?</w:t>
      </w:r>
      <w:r w:rsidR="00463DEF" w:rsidRPr="002C0DB7">
        <w:rPr>
          <w:color w:val="000000" w:themeColor="text1"/>
        </w:rPr>
        <w:t xml:space="preserve"> Wi</w:t>
      </w:r>
      <w:r w:rsidR="00956C76" w:rsidRPr="002C0DB7">
        <w:rPr>
          <w:color w:val="000000" w:themeColor="text1"/>
        </w:rPr>
        <w:t xml:space="preserve">th </w:t>
      </w:r>
      <w:r w:rsidR="00E20D1A" w:rsidRPr="002C0DB7">
        <w:rPr>
          <w:color w:val="000000" w:themeColor="text1"/>
        </w:rPr>
        <w:t xml:space="preserve">multiple </w:t>
      </w:r>
      <w:r w:rsidR="00956C76" w:rsidRPr="002C0DB7">
        <w:rPr>
          <w:color w:val="000000" w:themeColor="text1"/>
        </w:rPr>
        <w:t>flat</w:t>
      </w:r>
      <w:r w:rsidR="00045E60">
        <w:rPr>
          <w:color w:val="000000" w:themeColor="text1"/>
        </w:rPr>
        <w:t>-</w:t>
      </w:r>
      <w:r w:rsidR="00956C76" w:rsidRPr="002C0DB7">
        <w:rPr>
          <w:color w:val="000000" w:themeColor="text1"/>
        </w:rPr>
        <w:t xml:space="preserve">rate </w:t>
      </w:r>
      <w:r w:rsidR="0084229D">
        <w:rPr>
          <w:color w:val="000000" w:themeColor="text1"/>
        </w:rPr>
        <w:t xml:space="preserve">final tax </w:t>
      </w:r>
      <w:r w:rsidR="00956C76" w:rsidRPr="002C0DB7">
        <w:rPr>
          <w:color w:val="000000" w:themeColor="text1"/>
        </w:rPr>
        <w:t xml:space="preserve">systems running in parallel, </w:t>
      </w:r>
      <w:r w:rsidR="00E9375E" w:rsidRPr="002C0DB7">
        <w:rPr>
          <w:color w:val="000000" w:themeColor="text1"/>
        </w:rPr>
        <w:t>hassle costs for businesses will be quite significant.</w:t>
      </w:r>
    </w:p>
    <w:p w14:paraId="29356DEE" w14:textId="25094FC5" w:rsidR="007273BB" w:rsidRDefault="00C76349" w:rsidP="007273BB">
      <w:pPr>
        <w:pStyle w:val="Heading2"/>
        <w:rPr>
          <w:rFonts w:asciiTheme="minorHAnsi" w:hAnsiTheme="minorHAnsi" w:cstheme="minorHAnsi"/>
          <w:color w:val="4472C4" w:themeColor="accent1"/>
          <w:sz w:val="24"/>
          <w:szCs w:val="24"/>
        </w:rPr>
      </w:pPr>
      <w:bookmarkStart w:id="51" w:name="_Toc177819050"/>
      <w:r>
        <w:rPr>
          <w:rFonts w:asciiTheme="minorHAnsi" w:hAnsiTheme="minorHAnsi" w:cstheme="minorHAnsi"/>
          <w:color w:val="4472C4" w:themeColor="accent1"/>
          <w:sz w:val="24"/>
          <w:szCs w:val="24"/>
        </w:rPr>
        <w:t>A</w:t>
      </w:r>
      <w:r w:rsidR="007273BB">
        <w:rPr>
          <w:rFonts w:asciiTheme="minorHAnsi" w:hAnsiTheme="minorHAnsi" w:cstheme="minorHAnsi"/>
          <w:color w:val="4472C4" w:themeColor="accent1"/>
          <w:sz w:val="24"/>
          <w:szCs w:val="24"/>
        </w:rPr>
        <w:t xml:space="preserve"> separate </w:t>
      </w:r>
      <w:r>
        <w:rPr>
          <w:rFonts w:asciiTheme="minorHAnsi" w:hAnsiTheme="minorHAnsi" w:cstheme="minorHAnsi"/>
          <w:color w:val="4472C4" w:themeColor="accent1"/>
          <w:sz w:val="24"/>
          <w:szCs w:val="24"/>
        </w:rPr>
        <w:t xml:space="preserve">sales </w:t>
      </w:r>
      <w:r w:rsidR="007273BB">
        <w:rPr>
          <w:rFonts w:asciiTheme="minorHAnsi" w:hAnsiTheme="minorHAnsi" w:cstheme="minorHAnsi"/>
          <w:color w:val="4472C4" w:themeColor="accent1"/>
          <w:sz w:val="24"/>
          <w:szCs w:val="24"/>
        </w:rPr>
        <w:t>tax</w:t>
      </w:r>
      <w:r w:rsidR="00797EF3">
        <w:rPr>
          <w:rFonts w:asciiTheme="minorHAnsi" w:hAnsiTheme="minorHAnsi" w:cstheme="minorHAnsi"/>
          <w:color w:val="4472C4" w:themeColor="accent1"/>
          <w:sz w:val="24"/>
          <w:szCs w:val="24"/>
        </w:rPr>
        <w:t xml:space="preserve"> regime</w:t>
      </w:r>
      <w:r>
        <w:rPr>
          <w:rFonts w:asciiTheme="minorHAnsi" w:hAnsiTheme="minorHAnsi" w:cstheme="minorHAnsi"/>
          <w:color w:val="4472C4" w:themeColor="accent1"/>
          <w:sz w:val="24"/>
          <w:szCs w:val="24"/>
        </w:rPr>
        <w:t xml:space="preserve"> for luxury goods</w:t>
      </w:r>
      <w:r w:rsidR="008F2661">
        <w:rPr>
          <w:rFonts w:asciiTheme="minorHAnsi" w:hAnsiTheme="minorHAnsi" w:cstheme="minorHAnsi"/>
          <w:color w:val="4472C4" w:themeColor="accent1"/>
          <w:sz w:val="24"/>
          <w:szCs w:val="24"/>
        </w:rPr>
        <w:t xml:space="preserve"> (LGST)</w:t>
      </w:r>
      <w:bookmarkEnd w:id="51"/>
    </w:p>
    <w:p w14:paraId="0DA04A1A" w14:textId="2654D5FE" w:rsidR="00A60F92" w:rsidRPr="00D96437" w:rsidRDefault="007725E5" w:rsidP="00DE7B69">
      <w:pPr>
        <w:pStyle w:val="ListParagraph"/>
        <w:numPr>
          <w:ilvl w:val="0"/>
          <w:numId w:val="12"/>
        </w:numPr>
        <w:spacing w:before="120"/>
        <w:ind w:left="0" w:firstLine="0"/>
        <w:contextualSpacing w:val="0"/>
        <w:jc w:val="both"/>
        <w:rPr>
          <w:lang w:bidi="si-LK"/>
        </w:rPr>
      </w:pPr>
      <w:r w:rsidRPr="00D96437">
        <w:rPr>
          <w:b/>
          <w:bCs/>
          <w:lang w:bidi="si-LK"/>
        </w:rPr>
        <w:t xml:space="preserve">Indonesia has </w:t>
      </w:r>
      <w:r w:rsidR="00115C25" w:rsidRPr="00D96437">
        <w:rPr>
          <w:b/>
          <w:bCs/>
          <w:lang w:bidi="si-LK"/>
        </w:rPr>
        <w:t xml:space="preserve">also </w:t>
      </w:r>
      <w:r w:rsidRPr="00D96437">
        <w:rPr>
          <w:b/>
          <w:bCs/>
          <w:lang w:bidi="si-LK"/>
        </w:rPr>
        <w:t xml:space="preserve">administered </w:t>
      </w:r>
      <w:r w:rsidR="006C5470" w:rsidRPr="00D96437">
        <w:rPr>
          <w:b/>
          <w:bCs/>
          <w:lang w:bidi="si-LK"/>
        </w:rPr>
        <w:t xml:space="preserve">a separate </w:t>
      </w:r>
      <w:r w:rsidR="004E74AA" w:rsidRPr="00D96437">
        <w:rPr>
          <w:b/>
          <w:bCs/>
          <w:lang w:bidi="si-LK"/>
        </w:rPr>
        <w:t xml:space="preserve">sales tax </w:t>
      </w:r>
      <w:r w:rsidR="00CE2426" w:rsidRPr="00D96437">
        <w:rPr>
          <w:b/>
          <w:bCs/>
          <w:lang w:bidi="si-LK"/>
        </w:rPr>
        <w:t>regime</w:t>
      </w:r>
      <w:r w:rsidR="004C7557" w:rsidRPr="00D96437">
        <w:rPr>
          <w:b/>
          <w:bCs/>
          <w:lang w:bidi="si-LK"/>
        </w:rPr>
        <w:t xml:space="preserve">, </w:t>
      </w:r>
      <w:r w:rsidR="001E34CA" w:rsidRPr="00D96437">
        <w:rPr>
          <w:b/>
          <w:bCs/>
          <w:lang w:bidi="si-LK"/>
        </w:rPr>
        <w:t>called</w:t>
      </w:r>
      <w:r w:rsidR="00CE2426" w:rsidRPr="00D96437">
        <w:rPr>
          <w:b/>
          <w:bCs/>
          <w:lang w:bidi="si-LK"/>
        </w:rPr>
        <w:t xml:space="preserve"> the </w:t>
      </w:r>
      <w:r w:rsidR="00C1063E" w:rsidRPr="00D96437">
        <w:rPr>
          <w:b/>
          <w:bCs/>
          <w:lang w:bidi="si-LK"/>
        </w:rPr>
        <w:t>luxury</w:t>
      </w:r>
      <w:r w:rsidR="004E74AA" w:rsidRPr="00D96437">
        <w:rPr>
          <w:b/>
          <w:bCs/>
          <w:lang w:bidi="si-LK"/>
        </w:rPr>
        <w:t xml:space="preserve"> good</w:t>
      </w:r>
      <w:r w:rsidR="001C2E38" w:rsidRPr="00D96437">
        <w:rPr>
          <w:b/>
          <w:bCs/>
          <w:lang w:bidi="si-LK"/>
        </w:rPr>
        <w:t>s</w:t>
      </w:r>
      <w:r w:rsidR="004E74AA" w:rsidRPr="00D96437">
        <w:rPr>
          <w:b/>
          <w:bCs/>
          <w:lang w:bidi="si-LK"/>
        </w:rPr>
        <w:t xml:space="preserve"> sales tax (LGST</w:t>
      </w:r>
      <w:r w:rsidR="004E74AA" w:rsidRPr="00D96437">
        <w:rPr>
          <w:b/>
          <w:bCs/>
          <w:color w:val="000000" w:themeColor="text1"/>
          <w:lang w:bidi="si-LK"/>
        </w:rPr>
        <w:t>)</w:t>
      </w:r>
      <w:r w:rsidR="00115C25" w:rsidRPr="00D96437">
        <w:rPr>
          <w:b/>
          <w:bCs/>
          <w:color w:val="000000" w:themeColor="text1"/>
          <w:lang w:bidi="si-LK"/>
        </w:rPr>
        <w:t xml:space="preserve">, imposed on top of </w:t>
      </w:r>
      <w:r w:rsidR="00D96437" w:rsidRPr="0008418F">
        <w:rPr>
          <w:b/>
          <w:bCs/>
          <w:color w:val="000000" w:themeColor="text1"/>
          <w:lang w:bidi="si-LK"/>
        </w:rPr>
        <w:t>VAT</w:t>
      </w:r>
      <w:r w:rsidR="004E74AA" w:rsidRPr="00D96437">
        <w:rPr>
          <w:b/>
          <w:bCs/>
          <w:lang w:bidi="si-LK"/>
        </w:rPr>
        <w:t>.</w:t>
      </w:r>
      <w:r w:rsidR="00ED69A0" w:rsidRPr="00D96437">
        <w:rPr>
          <w:b/>
          <w:bCs/>
          <w:lang w:bidi="si-LK"/>
        </w:rPr>
        <w:t xml:space="preserve"> </w:t>
      </w:r>
      <w:r w:rsidR="00ED69A0" w:rsidRPr="00D96437">
        <w:rPr>
          <w:lang w:bidi="si-LK"/>
        </w:rPr>
        <w:t>At the introduction of VA</w:t>
      </w:r>
      <w:r w:rsidR="00810B87" w:rsidRPr="00D96437">
        <w:rPr>
          <w:lang w:bidi="si-LK"/>
        </w:rPr>
        <w:t xml:space="preserve">T, the law did not allow </w:t>
      </w:r>
      <w:r w:rsidR="00E13BE6" w:rsidRPr="00D96437">
        <w:rPr>
          <w:lang w:bidi="si-LK"/>
        </w:rPr>
        <w:t xml:space="preserve">a </w:t>
      </w:r>
      <w:r w:rsidR="003A0F87" w:rsidRPr="00D96437">
        <w:rPr>
          <w:lang w:bidi="si-LK"/>
        </w:rPr>
        <w:t>multi-</w:t>
      </w:r>
      <w:r w:rsidR="000660DB" w:rsidRPr="00D96437">
        <w:rPr>
          <w:lang w:bidi="si-LK"/>
        </w:rPr>
        <w:t>rate tax structure</w:t>
      </w:r>
      <w:r w:rsidR="006C784E" w:rsidRPr="00D96437">
        <w:rPr>
          <w:lang w:bidi="si-LK"/>
        </w:rPr>
        <w:t xml:space="preserve">. </w:t>
      </w:r>
      <w:r w:rsidR="00176342" w:rsidRPr="00D96437">
        <w:rPr>
          <w:lang w:bidi="si-LK"/>
        </w:rPr>
        <w:t>A separately administered</w:t>
      </w:r>
      <w:r w:rsidR="0041386B" w:rsidRPr="00D96437">
        <w:rPr>
          <w:lang w:bidi="si-LK"/>
        </w:rPr>
        <w:t xml:space="preserve"> sales tax </w:t>
      </w:r>
      <w:r w:rsidR="00763AD9" w:rsidRPr="00D96437">
        <w:rPr>
          <w:lang w:bidi="si-LK"/>
        </w:rPr>
        <w:t xml:space="preserve">on “luxury” goods was </w:t>
      </w:r>
      <w:r w:rsidR="00534E9F" w:rsidRPr="00D96437">
        <w:rPr>
          <w:lang w:bidi="si-LK"/>
        </w:rPr>
        <w:t xml:space="preserve">thus </w:t>
      </w:r>
      <w:r w:rsidR="00763AD9" w:rsidRPr="00D96437">
        <w:rPr>
          <w:lang w:bidi="si-LK"/>
        </w:rPr>
        <w:t>designed to comp</w:t>
      </w:r>
      <w:r w:rsidR="00534E9F" w:rsidRPr="00D96437">
        <w:rPr>
          <w:lang w:bidi="si-LK"/>
        </w:rPr>
        <w:t>lement the VAT</w:t>
      </w:r>
      <w:r w:rsidR="00D96437" w:rsidRPr="0008418F">
        <w:rPr>
          <w:rFonts w:cstheme="minorHAnsi"/>
          <w:lang w:bidi="si-LK"/>
        </w:rPr>
        <w:t>–</w:t>
      </w:r>
      <w:r w:rsidR="00935B30" w:rsidRPr="00D96437">
        <w:rPr>
          <w:lang w:bidi="si-LK"/>
        </w:rPr>
        <w:t xml:space="preserve">and it was also part </w:t>
      </w:r>
      <w:r w:rsidR="00F134C5" w:rsidRPr="00D96437">
        <w:rPr>
          <w:lang w:bidi="si-LK"/>
        </w:rPr>
        <w:t xml:space="preserve">of the same Law </w:t>
      </w:r>
      <w:r w:rsidR="00D96437" w:rsidRPr="0008418F">
        <w:rPr>
          <w:lang w:bidi="si-LK"/>
        </w:rPr>
        <w:t xml:space="preserve">No. </w:t>
      </w:r>
      <w:r w:rsidR="00F134C5" w:rsidRPr="00D96437">
        <w:rPr>
          <w:lang w:bidi="si-LK"/>
        </w:rPr>
        <w:t xml:space="preserve">8/1983. </w:t>
      </w:r>
      <w:r w:rsidR="00545C3A" w:rsidRPr="00D96437">
        <w:rPr>
          <w:lang w:bidi="si-LK"/>
        </w:rPr>
        <w:t>LGST</w:t>
      </w:r>
      <w:r w:rsidR="00205EF6" w:rsidRPr="00D96437">
        <w:rPr>
          <w:lang w:bidi="si-LK"/>
        </w:rPr>
        <w:t xml:space="preserve"> in nature is </w:t>
      </w:r>
      <w:r w:rsidR="00D96437" w:rsidRPr="0008418F">
        <w:rPr>
          <w:lang w:bidi="si-LK"/>
        </w:rPr>
        <w:t xml:space="preserve">a </w:t>
      </w:r>
      <w:r w:rsidR="00C5742E" w:rsidRPr="00D96437">
        <w:rPr>
          <w:lang w:bidi="si-LK"/>
        </w:rPr>
        <w:t>specific excise on consumption items that are considered luxury goods</w:t>
      </w:r>
      <w:r w:rsidR="006D7DB3" w:rsidRPr="00D96437">
        <w:rPr>
          <w:lang w:bidi="si-LK"/>
        </w:rPr>
        <w:t xml:space="preserve">. </w:t>
      </w:r>
      <w:r w:rsidR="00831CF8" w:rsidRPr="00D96437">
        <w:rPr>
          <w:lang w:bidi="si-LK"/>
        </w:rPr>
        <w:t xml:space="preserve">The luxury goods can be </w:t>
      </w:r>
      <w:r w:rsidR="00E219E0" w:rsidRPr="00D96437">
        <w:rPr>
          <w:lang w:bidi="si-LK"/>
        </w:rPr>
        <w:t xml:space="preserve">either imported or produced domestically. </w:t>
      </w:r>
      <w:r w:rsidR="00680D30" w:rsidRPr="00D96437">
        <w:rPr>
          <w:lang w:bidi="si-LK"/>
        </w:rPr>
        <w:t>In the beginning, LGST was applied to a limited number of items</w:t>
      </w:r>
      <w:r w:rsidR="00C828CA" w:rsidRPr="00D96437">
        <w:rPr>
          <w:lang w:bidi="si-LK"/>
        </w:rPr>
        <w:t xml:space="preserve"> (</w:t>
      </w:r>
      <w:r w:rsidR="00D96437" w:rsidRPr="0008418F">
        <w:rPr>
          <w:lang w:bidi="si-LK"/>
        </w:rPr>
        <w:t>such as</w:t>
      </w:r>
      <w:r w:rsidR="00C77529" w:rsidRPr="00D96437">
        <w:rPr>
          <w:lang w:bidi="si-LK"/>
        </w:rPr>
        <w:t xml:space="preserve"> </w:t>
      </w:r>
      <w:r w:rsidR="00F978CD" w:rsidRPr="00D96437">
        <w:rPr>
          <w:lang w:bidi="si-LK"/>
        </w:rPr>
        <w:t>vehicles</w:t>
      </w:r>
      <w:r w:rsidR="00C77529" w:rsidRPr="00D96437">
        <w:rPr>
          <w:lang w:bidi="si-LK"/>
        </w:rPr>
        <w:t xml:space="preserve">, aircraft, cameras, </w:t>
      </w:r>
      <w:r w:rsidR="00F82D8E" w:rsidRPr="00D96437">
        <w:rPr>
          <w:lang w:bidi="si-LK"/>
        </w:rPr>
        <w:t>firearms,</w:t>
      </w:r>
      <w:r w:rsidR="00C77529" w:rsidRPr="00D96437">
        <w:rPr>
          <w:lang w:bidi="si-LK"/>
        </w:rPr>
        <w:t xml:space="preserve"> and yachts</w:t>
      </w:r>
      <w:r w:rsidR="00C9451E" w:rsidRPr="00D96437">
        <w:rPr>
          <w:lang w:bidi="si-LK"/>
        </w:rPr>
        <w:t>) at rates of 10 and 20 percent.</w:t>
      </w:r>
      <w:r w:rsidR="006F201C" w:rsidRPr="00D96437">
        <w:rPr>
          <w:lang w:bidi="si-LK"/>
        </w:rPr>
        <w:t xml:space="preserve"> This arrangement </w:t>
      </w:r>
      <w:r w:rsidR="00047971" w:rsidRPr="00D96437">
        <w:rPr>
          <w:lang w:bidi="si-LK"/>
        </w:rPr>
        <w:t>means</w:t>
      </w:r>
      <w:r w:rsidR="005C6D8F" w:rsidRPr="00D96437">
        <w:rPr>
          <w:lang w:bidi="si-LK"/>
        </w:rPr>
        <w:t xml:space="preserve"> the luxury goods are subject to both </w:t>
      </w:r>
      <w:r w:rsidR="008F2661" w:rsidRPr="00D96437">
        <w:rPr>
          <w:lang w:bidi="si-LK"/>
        </w:rPr>
        <w:t xml:space="preserve">VAT and </w:t>
      </w:r>
      <w:r w:rsidR="007205A2" w:rsidRPr="00D96437">
        <w:rPr>
          <w:lang w:bidi="si-LK"/>
        </w:rPr>
        <w:t>LGST</w:t>
      </w:r>
      <w:r w:rsidR="00650229" w:rsidRPr="00D96437">
        <w:rPr>
          <w:lang w:bidi="si-LK"/>
        </w:rPr>
        <w:t>.</w:t>
      </w:r>
    </w:p>
    <w:p w14:paraId="6F411F0C" w14:textId="231BAA44" w:rsidR="005A4C89" w:rsidRPr="00001757" w:rsidRDefault="008D79E6" w:rsidP="006674F2">
      <w:pPr>
        <w:pStyle w:val="ListParagraph"/>
        <w:numPr>
          <w:ilvl w:val="0"/>
          <w:numId w:val="12"/>
        </w:numPr>
        <w:spacing w:before="120"/>
        <w:ind w:left="0" w:firstLine="0"/>
        <w:contextualSpacing w:val="0"/>
        <w:jc w:val="both"/>
        <w:rPr>
          <w:lang w:bidi="si-LK"/>
        </w:rPr>
      </w:pPr>
      <w:r>
        <w:rPr>
          <w:b/>
          <w:bCs/>
          <w:lang w:bidi="si-LK"/>
        </w:rPr>
        <w:t xml:space="preserve">The complexity </w:t>
      </w:r>
      <w:r w:rsidR="00AD0E9C">
        <w:rPr>
          <w:b/>
          <w:bCs/>
          <w:lang w:bidi="si-LK"/>
        </w:rPr>
        <w:t>and administrative burden of LGST are considered disprop</w:t>
      </w:r>
      <w:r w:rsidR="00B02C09">
        <w:rPr>
          <w:b/>
          <w:bCs/>
          <w:lang w:bidi="si-LK"/>
        </w:rPr>
        <w:t>ortionate to the revenue it generates.</w:t>
      </w:r>
      <w:r w:rsidR="00B02C09">
        <w:rPr>
          <w:lang w:bidi="si-LK"/>
        </w:rPr>
        <w:t xml:space="preserve"> </w:t>
      </w:r>
      <w:r w:rsidR="00394F46">
        <w:rPr>
          <w:lang w:bidi="si-LK"/>
        </w:rPr>
        <w:t xml:space="preserve">Over time, the range of </w:t>
      </w:r>
      <w:r w:rsidR="00355DEF">
        <w:rPr>
          <w:lang w:bidi="si-LK"/>
        </w:rPr>
        <w:t>items subject to LGST has significantly expanded</w:t>
      </w:r>
      <w:r w:rsidR="006D69B5">
        <w:rPr>
          <w:rFonts w:cstheme="minorHAnsi"/>
          <w:lang w:bidi="si-LK"/>
        </w:rPr>
        <w:t>–</w:t>
      </w:r>
      <w:r w:rsidR="00355DEF">
        <w:rPr>
          <w:lang w:bidi="si-LK"/>
        </w:rPr>
        <w:t xml:space="preserve">with current rates varying from </w:t>
      </w:r>
      <w:r w:rsidR="00046512" w:rsidRPr="00355DEF">
        <w:rPr>
          <w:lang w:bidi="si-LK"/>
        </w:rPr>
        <w:t>10</w:t>
      </w:r>
      <w:r w:rsidR="00417C53" w:rsidRPr="00355DEF">
        <w:rPr>
          <w:lang w:bidi="si-LK"/>
        </w:rPr>
        <w:t xml:space="preserve"> to 95 percent</w:t>
      </w:r>
      <w:r w:rsidR="00A17AC4">
        <w:rPr>
          <w:lang w:bidi="si-LK"/>
        </w:rPr>
        <w:t xml:space="preserve"> (Table 4.5)</w:t>
      </w:r>
      <w:r w:rsidR="00D407A2" w:rsidRPr="00355DEF">
        <w:rPr>
          <w:lang w:bidi="si-LK"/>
        </w:rPr>
        <w:t xml:space="preserve">, </w:t>
      </w:r>
      <w:r w:rsidR="007C43FA">
        <w:rPr>
          <w:lang w:bidi="si-LK"/>
        </w:rPr>
        <w:t xml:space="preserve">and </w:t>
      </w:r>
      <w:r w:rsidR="00D407A2" w:rsidRPr="00355DEF">
        <w:rPr>
          <w:lang w:bidi="si-LK"/>
        </w:rPr>
        <w:t xml:space="preserve">a ceiling rate </w:t>
      </w:r>
      <w:r w:rsidR="007C43FA">
        <w:rPr>
          <w:lang w:bidi="si-LK"/>
        </w:rPr>
        <w:t xml:space="preserve">of </w:t>
      </w:r>
      <w:r w:rsidR="009C5535" w:rsidRPr="00355DEF">
        <w:rPr>
          <w:lang w:bidi="si-LK"/>
        </w:rPr>
        <w:t>200 percent</w:t>
      </w:r>
      <w:r w:rsidR="00417C53" w:rsidRPr="00355DEF">
        <w:rPr>
          <w:lang w:bidi="si-LK"/>
        </w:rPr>
        <w:t>.</w:t>
      </w:r>
      <w:r w:rsidR="0052585A">
        <w:rPr>
          <w:rStyle w:val="FootnoteReference"/>
          <w:lang w:bidi="si-LK"/>
        </w:rPr>
        <w:footnoteReference w:id="99"/>
      </w:r>
      <w:r w:rsidR="00412F5B">
        <w:rPr>
          <w:b/>
          <w:bCs/>
          <w:lang w:bidi="si-LK"/>
        </w:rPr>
        <w:t xml:space="preserve"> </w:t>
      </w:r>
      <w:r w:rsidR="00412F5B">
        <w:rPr>
          <w:lang w:bidi="si-LK"/>
        </w:rPr>
        <w:t>Despite this expansion, LGST revenue</w:t>
      </w:r>
      <w:r w:rsidR="00CF39B7">
        <w:rPr>
          <w:lang w:bidi="si-LK"/>
        </w:rPr>
        <w:t xml:space="preserve"> </w:t>
      </w:r>
      <w:r w:rsidR="00515D26" w:rsidRPr="00CF39B7">
        <w:rPr>
          <w:color w:val="000000" w:themeColor="text1"/>
          <w:lang w:bidi="si-LK"/>
        </w:rPr>
        <w:t xml:space="preserve">has always been </w:t>
      </w:r>
      <w:r w:rsidR="00D3789A">
        <w:rPr>
          <w:color w:val="000000" w:themeColor="text1"/>
          <w:lang w:bidi="si-LK"/>
        </w:rPr>
        <w:t>minimal</w:t>
      </w:r>
      <w:r w:rsidR="00D96437">
        <w:rPr>
          <w:rFonts w:cstheme="minorHAnsi"/>
          <w:color w:val="000000" w:themeColor="text1"/>
          <w:lang w:bidi="si-LK"/>
        </w:rPr>
        <w:t>–</w:t>
      </w:r>
      <w:r w:rsidR="00D3789A">
        <w:rPr>
          <w:color w:val="000000" w:themeColor="text1"/>
          <w:lang w:bidi="si-LK"/>
        </w:rPr>
        <w:t xml:space="preserve">contributing less than </w:t>
      </w:r>
      <w:r w:rsidR="00955953">
        <w:rPr>
          <w:color w:val="000000" w:themeColor="text1"/>
          <w:lang w:bidi="si-LK"/>
        </w:rPr>
        <w:t xml:space="preserve">5 percent of total VAT. </w:t>
      </w:r>
      <w:r w:rsidR="00D96437">
        <w:rPr>
          <w:color w:val="000000" w:themeColor="text1"/>
          <w:lang w:bidi="si-LK"/>
        </w:rPr>
        <w:t>I</w:t>
      </w:r>
      <w:r w:rsidR="00FF0BD0">
        <w:rPr>
          <w:color w:val="000000" w:themeColor="text1"/>
          <w:lang w:bidi="si-LK"/>
        </w:rPr>
        <w:t>t is even showing a declining trend</w:t>
      </w:r>
      <w:r w:rsidR="00D96437">
        <w:rPr>
          <w:rFonts w:cstheme="minorHAnsi"/>
          <w:color w:val="000000" w:themeColor="text1"/>
          <w:lang w:bidi="si-LK"/>
        </w:rPr>
        <w:t>–</w:t>
      </w:r>
      <w:r w:rsidR="00C766A2">
        <w:rPr>
          <w:color w:val="000000" w:themeColor="text1"/>
          <w:lang w:bidi="si-LK"/>
        </w:rPr>
        <w:t>in 2022 it represented</w:t>
      </w:r>
      <w:r w:rsidR="00D96437">
        <w:rPr>
          <w:color w:val="000000" w:themeColor="text1"/>
          <w:lang w:bidi="si-LK"/>
        </w:rPr>
        <w:t xml:space="preserve"> only</w:t>
      </w:r>
      <w:r w:rsidR="00C766A2">
        <w:rPr>
          <w:color w:val="000000" w:themeColor="text1"/>
          <w:lang w:bidi="si-LK"/>
        </w:rPr>
        <w:t xml:space="preserve"> </w:t>
      </w:r>
      <w:r w:rsidR="009723AE" w:rsidRPr="00C766A2">
        <w:rPr>
          <w:color w:val="000000" w:themeColor="text1"/>
          <w:lang w:bidi="si-LK"/>
        </w:rPr>
        <w:t xml:space="preserve">2.8 percent of </w:t>
      </w:r>
      <w:r w:rsidR="001D6840" w:rsidRPr="00C766A2">
        <w:rPr>
          <w:color w:val="000000" w:themeColor="text1"/>
          <w:lang w:bidi="si-LK"/>
        </w:rPr>
        <w:t>VAT (0.1 percent of GDP)</w:t>
      </w:r>
      <w:r w:rsidR="009D0267">
        <w:rPr>
          <w:color w:val="000000" w:themeColor="text1"/>
          <w:lang w:bidi="si-LK"/>
        </w:rPr>
        <w:t xml:space="preserve">. LGST revenue has been predominantly </w:t>
      </w:r>
      <w:r w:rsidR="00513253">
        <w:rPr>
          <w:color w:val="000000" w:themeColor="text1"/>
          <w:lang w:bidi="si-LK"/>
        </w:rPr>
        <w:t>(</w:t>
      </w:r>
      <w:r w:rsidR="00513253" w:rsidRPr="00C766A2">
        <w:rPr>
          <w:color w:val="000000" w:themeColor="text1"/>
          <w:lang w:bidi="si-LK"/>
        </w:rPr>
        <w:t>over 90 percent</w:t>
      </w:r>
      <w:r w:rsidR="00513253">
        <w:rPr>
          <w:color w:val="000000" w:themeColor="text1"/>
          <w:lang w:bidi="si-LK"/>
        </w:rPr>
        <w:t>)</w:t>
      </w:r>
      <w:r w:rsidR="00513253" w:rsidRPr="00C766A2">
        <w:rPr>
          <w:color w:val="000000" w:themeColor="text1"/>
          <w:lang w:bidi="si-LK"/>
        </w:rPr>
        <w:t xml:space="preserve"> </w:t>
      </w:r>
      <w:r w:rsidR="009D0267">
        <w:rPr>
          <w:color w:val="000000" w:themeColor="text1"/>
          <w:lang w:bidi="si-LK"/>
        </w:rPr>
        <w:t>fro</w:t>
      </w:r>
      <w:r w:rsidR="00513253">
        <w:rPr>
          <w:color w:val="000000" w:themeColor="text1"/>
          <w:lang w:bidi="si-LK"/>
        </w:rPr>
        <w:t>m</w:t>
      </w:r>
      <w:r w:rsidR="00A9269A">
        <w:rPr>
          <w:color w:val="000000" w:themeColor="text1"/>
          <w:lang w:bidi="si-LK"/>
        </w:rPr>
        <w:t xml:space="preserve"> motor</w:t>
      </w:r>
      <w:r w:rsidR="00513253">
        <w:rPr>
          <w:color w:val="000000" w:themeColor="text1"/>
          <w:lang w:bidi="si-LK"/>
        </w:rPr>
        <w:t xml:space="preserve"> vehicle sales</w:t>
      </w:r>
      <w:r w:rsidR="00980F29">
        <w:rPr>
          <w:color w:val="000000" w:themeColor="text1"/>
          <w:lang w:bidi="si-LK"/>
        </w:rPr>
        <w:t xml:space="preserve">. Following the issue of </w:t>
      </w:r>
      <w:r w:rsidR="00980F29" w:rsidRPr="00980F29">
        <w:rPr>
          <w:color w:val="000000" w:themeColor="text1"/>
          <w:lang w:bidi="si-LK"/>
        </w:rPr>
        <w:t>Government Regulation No. 73/2019</w:t>
      </w:r>
      <w:r w:rsidR="00A9269A">
        <w:rPr>
          <w:color w:val="000000" w:themeColor="text1"/>
          <w:lang w:bidi="si-LK"/>
        </w:rPr>
        <w:t>, motor vehicle LGST has shifted into emissions-based taxes</w:t>
      </w:r>
      <w:r w:rsidR="00432E56">
        <w:rPr>
          <w:color w:val="000000" w:themeColor="text1"/>
          <w:lang w:bidi="si-LK"/>
        </w:rPr>
        <w:t xml:space="preserve">. Its rate is </w:t>
      </w:r>
      <w:r w:rsidR="00432E56" w:rsidRPr="00432E56">
        <w:rPr>
          <w:color w:val="000000" w:themeColor="text1"/>
          <w:lang w:bidi="si-LK"/>
        </w:rPr>
        <w:t xml:space="preserve">no longer based on vehicle type (such as sedans, 4x2, or 4x4) but </w:t>
      </w:r>
      <w:r w:rsidR="00C70B01">
        <w:rPr>
          <w:color w:val="000000" w:themeColor="text1"/>
          <w:lang w:bidi="si-LK"/>
        </w:rPr>
        <w:t>the rate is</w:t>
      </w:r>
      <w:r w:rsidR="00432E56" w:rsidRPr="00432E56">
        <w:rPr>
          <w:color w:val="000000" w:themeColor="text1"/>
          <w:lang w:bidi="si-LK"/>
        </w:rPr>
        <w:t xml:space="preserve"> now </w:t>
      </w:r>
      <w:r w:rsidR="00C70B01">
        <w:rPr>
          <w:color w:val="000000" w:themeColor="text1"/>
          <w:lang w:bidi="si-LK"/>
        </w:rPr>
        <w:t xml:space="preserve">dependent on </w:t>
      </w:r>
      <w:r w:rsidR="00432E56" w:rsidRPr="00432E56">
        <w:rPr>
          <w:color w:val="000000" w:themeColor="text1"/>
          <w:lang w:bidi="si-LK"/>
        </w:rPr>
        <w:t>CO</w:t>
      </w:r>
      <w:r w:rsidR="00432E56" w:rsidRPr="00432E56">
        <w:rPr>
          <w:color w:val="000000" w:themeColor="text1"/>
          <w:vertAlign w:val="subscript"/>
          <w:lang w:bidi="si-LK"/>
        </w:rPr>
        <w:t>2</w:t>
      </w:r>
      <w:r w:rsidR="00432E56" w:rsidRPr="00432E56">
        <w:rPr>
          <w:color w:val="000000" w:themeColor="text1"/>
          <w:lang w:bidi="si-LK"/>
        </w:rPr>
        <w:t xml:space="preserve"> emissions</w:t>
      </w:r>
      <w:r w:rsidR="00D96437">
        <w:rPr>
          <w:color w:val="000000" w:themeColor="text1"/>
          <w:lang w:bidi="si-LK"/>
        </w:rPr>
        <w:t xml:space="preserve"> from</w:t>
      </w:r>
      <w:r w:rsidR="00432E56" w:rsidRPr="00432E56">
        <w:rPr>
          <w:color w:val="000000" w:themeColor="text1"/>
          <w:lang w:bidi="si-LK"/>
        </w:rPr>
        <w:t xml:space="preserve"> gasoline consumption</w:t>
      </w:r>
      <w:r w:rsidR="00D96437">
        <w:rPr>
          <w:rFonts w:cstheme="minorHAnsi"/>
          <w:color w:val="000000" w:themeColor="text1"/>
          <w:lang w:bidi="si-LK"/>
        </w:rPr>
        <w:t>–</w:t>
      </w:r>
      <w:r w:rsidR="003961B7">
        <w:rPr>
          <w:color w:val="000000" w:themeColor="text1"/>
          <w:lang w:bidi="si-LK"/>
        </w:rPr>
        <w:t>aligning closer to the international practice</w:t>
      </w:r>
      <w:r w:rsidR="00C70B01">
        <w:rPr>
          <w:color w:val="000000" w:themeColor="text1"/>
          <w:lang w:bidi="si-LK"/>
        </w:rPr>
        <w:t xml:space="preserve">. </w:t>
      </w:r>
      <w:r w:rsidR="00DD5908">
        <w:rPr>
          <w:color w:val="000000" w:themeColor="text1"/>
          <w:lang w:bidi="si-LK"/>
        </w:rPr>
        <w:t>As</w:t>
      </w:r>
      <w:r w:rsidR="00C70B01">
        <w:rPr>
          <w:color w:val="000000" w:themeColor="text1"/>
          <w:lang w:bidi="si-LK"/>
        </w:rPr>
        <w:t xml:space="preserve"> t</w:t>
      </w:r>
      <w:r w:rsidR="002A4DE2">
        <w:rPr>
          <w:color w:val="000000" w:themeColor="text1"/>
          <w:lang w:bidi="si-LK"/>
        </w:rPr>
        <w:t>his policy change applied to</w:t>
      </w:r>
      <w:r w:rsidR="00DD5908">
        <w:rPr>
          <w:color w:val="000000" w:themeColor="text1"/>
          <w:lang w:bidi="si-LK"/>
        </w:rPr>
        <w:t xml:space="preserve"> the</w:t>
      </w:r>
      <w:r w:rsidR="00C70B01">
        <w:rPr>
          <w:color w:val="000000" w:themeColor="text1"/>
          <w:lang w:bidi="si-LK"/>
        </w:rPr>
        <w:t xml:space="preserve"> largest source of </w:t>
      </w:r>
      <w:r w:rsidR="002A4DE2">
        <w:rPr>
          <w:color w:val="000000" w:themeColor="text1"/>
          <w:lang w:bidi="si-LK"/>
        </w:rPr>
        <w:t>LGST revenue</w:t>
      </w:r>
      <w:r w:rsidR="00DD5908">
        <w:rPr>
          <w:color w:val="000000" w:themeColor="text1"/>
          <w:lang w:bidi="si-LK"/>
        </w:rPr>
        <w:t xml:space="preserve">, streamlining the </w:t>
      </w:r>
      <w:r w:rsidR="003961B7">
        <w:rPr>
          <w:color w:val="000000" w:themeColor="text1"/>
          <w:lang w:bidi="si-LK"/>
        </w:rPr>
        <w:t>remaining</w:t>
      </w:r>
      <w:r w:rsidR="00C742BD">
        <w:rPr>
          <w:color w:val="000000" w:themeColor="text1"/>
          <w:lang w:bidi="si-LK"/>
        </w:rPr>
        <w:t xml:space="preserve"> of LGST </w:t>
      </w:r>
      <w:r w:rsidR="003961B7">
        <w:rPr>
          <w:color w:val="000000" w:themeColor="text1"/>
          <w:lang w:bidi="si-LK"/>
        </w:rPr>
        <w:t xml:space="preserve">multiple </w:t>
      </w:r>
      <w:r w:rsidR="00C742BD">
        <w:rPr>
          <w:color w:val="000000" w:themeColor="text1"/>
          <w:lang w:bidi="si-LK"/>
        </w:rPr>
        <w:t>rate</w:t>
      </w:r>
      <w:r w:rsidR="003961B7">
        <w:rPr>
          <w:color w:val="000000" w:themeColor="text1"/>
          <w:lang w:bidi="si-LK"/>
        </w:rPr>
        <w:t xml:space="preserve">s </w:t>
      </w:r>
      <w:r w:rsidR="00F504C3">
        <w:rPr>
          <w:color w:val="000000" w:themeColor="text1"/>
          <w:lang w:bidi="si-LK"/>
        </w:rPr>
        <w:t>into a single rate (</w:t>
      </w:r>
      <w:r w:rsidR="006674F2">
        <w:rPr>
          <w:color w:val="000000" w:themeColor="text1"/>
          <w:lang w:bidi="si-LK"/>
        </w:rPr>
        <w:t xml:space="preserve">still </w:t>
      </w:r>
      <w:r w:rsidR="00F504C3">
        <w:rPr>
          <w:color w:val="000000" w:themeColor="text1"/>
          <w:lang w:bidi="si-LK"/>
        </w:rPr>
        <w:t xml:space="preserve">higher </w:t>
      </w:r>
      <w:r w:rsidR="006674F2">
        <w:rPr>
          <w:color w:val="000000" w:themeColor="text1"/>
          <w:lang w:bidi="si-LK"/>
        </w:rPr>
        <w:t>than the VAT rate) is deemed more appropriate.</w:t>
      </w:r>
    </w:p>
    <w:p w14:paraId="7F1EA8CF" w14:textId="0800AF9B" w:rsidR="00356C22" w:rsidRPr="0008418F" w:rsidRDefault="00356C22" w:rsidP="0008418F">
      <w:pPr>
        <w:pStyle w:val="Caption"/>
        <w:rPr>
          <w:rFonts w:cstheme="minorHAnsi"/>
          <w:b w:val="0"/>
          <w:szCs w:val="22"/>
        </w:rPr>
      </w:pPr>
      <w:bookmarkStart w:id="52" w:name="_Toc177576308"/>
      <w:r w:rsidRPr="0008418F">
        <w:rPr>
          <w:rFonts w:cstheme="minorHAnsi"/>
          <w:szCs w:val="22"/>
        </w:rPr>
        <w:t>Table 4.</w:t>
      </w:r>
      <w:r w:rsidR="00AC2F3D" w:rsidRPr="0008418F">
        <w:rPr>
          <w:rFonts w:cstheme="minorHAnsi"/>
          <w:bCs/>
          <w:szCs w:val="22"/>
        </w:rPr>
        <w:t>5</w:t>
      </w:r>
      <w:r w:rsidRPr="0008418F">
        <w:rPr>
          <w:rFonts w:cstheme="minorHAnsi"/>
          <w:szCs w:val="22"/>
        </w:rPr>
        <w:t xml:space="preserve">: Multiple tax rates under the </w:t>
      </w:r>
      <w:r w:rsidR="001C2E38" w:rsidRPr="0008418F">
        <w:rPr>
          <w:rFonts w:cstheme="minorHAnsi"/>
          <w:szCs w:val="22"/>
        </w:rPr>
        <w:t>LGST</w:t>
      </w:r>
      <w:r w:rsidRPr="0008418F">
        <w:rPr>
          <w:rFonts w:cstheme="minorHAnsi"/>
          <w:szCs w:val="22"/>
        </w:rPr>
        <w:t xml:space="preserve"> Regime</w:t>
      </w:r>
      <w:bookmarkEnd w:id="52"/>
    </w:p>
    <w:tbl>
      <w:tblPr>
        <w:tblW w:w="6620" w:type="dxa"/>
        <w:jc w:val="center"/>
        <w:tblCellMar>
          <w:top w:w="15" w:type="dxa"/>
        </w:tblCellMar>
        <w:tblLook w:val="04A0" w:firstRow="1" w:lastRow="0" w:firstColumn="1" w:lastColumn="0" w:noHBand="0" w:noVBand="1"/>
      </w:tblPr>
      <w:tblGrid>
        <w:gridCol w:w="1274"/>
        <w:gridCol w:w="427"/>
        <w:gridCol w:w="427"/>
        <w:gridCol w:w="427"/>
        <w:gridCol w:w="427"/>
        <w:gridCol w:w="427"/>
        <w:gridCol w:w="427"/>
        <w:gridCol w:w="427"/>
        <w:gridCol w:w="427"/>
        <w:gridCol w:w="427"/>
        <w:gridCol w:w="427"/>
        <w:gridCol w:w="427"/>
        <w:gridCol w:w="427"/>
        <w:gridCol w:w="222"/>
      </w:tblGrid>
      <w:tr w:rsidR="00356C22" w:rsidRPr="00F00BA7" w14:paraId="52A11743" w14:textId="77777777" w:rsidTr="0008418F">
        <w:trPr>
          <w:gridAfter w:val="1"/>
          <w:wAfter w:w="222" w:type="dxa"/>
          <w:trHeight w:val="290"/>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EFE91" w14:textId="77777777" w:rsidR="00356C22" w:rsidRPr="00F00BA7" w:rsidRDefault="00356C22" w:rsidP="00E51447">
            <w:pPr>
              <w:spacing w:after="0"/>
              <w:ind w:left="0" w:firstLine="0"/>
              <w:jc w:val="center"/>
              <w:rPr>
                <w:rFonts w:eastAsia="Times New Roman" w:cstheme="minorHAnsi"/>
                <w:color w:val="000000"/>
                <w:sz w:val="18"/>
                <w:szCs w:val="18"/>
              </w:rPr>
            </w:pPr>
            <w:r w:rsidRPr="00F00BA7">
              <w:rPr>
                <w:rFonts w:eastAsia="Times New Roman" w:cstheme="minorHAnsi"/>
                <w:color w:val="000000"/>
                <w:sz w:val="18"/>
                <w:szCs w:val="18"/>
              </w:rPr>
              <w:t> </w:t>
            </w:r>
          </w:p>
        </w:tc>
        <w:tc>
          <w:tcPr>
            <w:tcW w:w="512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B8D3C5"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z w:val="18"/>
                <w:szCs w:val="18"/>
              </w:rPr>
              <w:t>LGST rates (%)</w:t>
            </w:r>
          </w:p>
        </w:tc>
      </w:tr>
      <w:tr w:rsidR="00356C22" w:rsidRPr="00F00BA7" w14:paraId="484E64B8" w14:textId="77777777" w:rsidTr="0008418F">
        <w:trPr>
          <w:gridAfter w:val="1"/>
          <w:wAfter w:w="222" w:type="dxa"/>
          <w:trHeight w:val="290"/>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585C"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pacing w:val="-2"/>
                <w:sz w:val="18"/>
                <w:szCs w:val="18"/>
              </w:rPr>
              <w:t>Group</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86DEE" w14:textId="77777777" w:rsidR="00356C22" w:rsidRPr="00F00BA7" w:rsidRDefault="00356C22" w:rsidP="00E51447">
            <w:pPr>
              <w:spacing w:after="0"/>
              <w:ind w:left="0" w:firstLine="0"/>
              <w:jc w:val="right"/>
              <w:rPr>
                <w:rFonts w:eastAsia="Times New Roman" w:cstheme="minorHAnsi"/>
                <w:b/>
                <w:color w:val="000000"/>
                <w:sz w:val="18"/>
                <w:szCs w:val="18"/>
              </w:rPr>
            </w:pPr>
            <w:r w:rsidRPr="00F00BA7">
              <w:rPr>
                <w:rFonts w:eastAsia="Times New Roman" w:cstheme="minorHAnsi"/>
                <w:b/>
                <w:color w:val="000000"/>
                <w:spacing w:val="-5"/>
                <w:sz w:val="18"/>
                <w:szCs w:val="18"/>
              </w:rPr>
              <w:t>10</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E1941"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pacing w:val="-5"/>
                <w:sz w:val="18"/>
                <w:szCs w:val="18"/>
              </w:rPr>
              <w:t>12</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ABA0" w14:textId="77777777" w:rsidR="00356C22" w:rsidRPr="00F00BA7" w:rsidRDefault="00356C22" w:rsidP="00E51447">
            <w:pPr>
              <w:spacing w:after="0"/>
              <w:ind w:left="0" w:firstLine="0"/>
              <w:jc w:val="right"/>
              <w:rPr>
                <w:rFonts w:eastAsia="Times New Roman" w:cstheme="minorHAnsi"/>
                <w:b/>
                <w:color w:val="000000"/>
                <w:sz w:val="18"/>
                <w:szCs w:val="18"/>
              </w:rPr>
            </w:pPr>
            <w:r w:rsidRPr="00F00BA7">
              <w:rPr>
                <w:rFonts w:eastAsia="Times New Roman" w:cstheme="minorHAnsi"/>
                <w:b/>
                <w:color w:val="000000"/>
                <w:spacing w:val="-5"/>
                <w:sz w:val="18"/>
                <w:szCs w:val="18"/>
              </w:rPr>
              <w:t>15</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4113D"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pacing w:val="-5"/>
                <w:sz w:val="18"/>
                <w:szCs w:val="18"/>
              </w:rPr>
              <w:t>20</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60B3A"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pacing w:val="-5"/>
                <w:sz w:val="18"/>
                <w:szCs w:val="18"/>
              </w:rPr>
              <w:t>25</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9A783"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pacing w:val="-5"/>
                <w:sz w:val="18"/>
                <w:szCs w:val="18"/>
              </w:rPr>
              <w:t>30</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C054F"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pacing w:val="-5"/>
                <w:sz w:val="18"/>
                <w:szCs w:val="18"/>
              </w:rPr>
              <w:t>40</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494CB"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pacing w:val="-5"/>
                <w:sz w:val="18"/>
                <w:szCs w:val="18"/>
              </w:rPr>
              <w:t>50</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1B91" w14:textId="77777777" w:rsidR="00356C22" w:rsidRPr="00F00BA7" w:rsidRDefault="00356C22" w:rsidP="00E51447">
            <w:pPr>
              <w:spacing w:after="0"/>
              <w:ind w:left="0" w:firstLine="0"/>
              <w:jc w:val="right"/>
              <w:rPr>
                <w:rFonts w:eastAsia="Times New Roman" w:cstheme="minorHAnsi"/>
                <w:b/>
                <w:color w:val="000000"/>
                <w:sz w:val="18"/>
                <w:szCs w:val="18"/>
              </w:rPr>
            </w:pPr>
            <w:r w:rsidRPr="00F00BA7">
              <w:rPr>
                <w:rFonts w:eastAsia="Times New Roman" w:cstheme="minorHAnsi"/>
                <w:b/>
                <w:color w:val="000000"/>
                <w:spacing w:val="-5"/>
                <w:sz w:val="18"/>
                <w:szCs w:val="18"/>
              </w:rPr>
              <w:t>60</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77221"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pacing w:val="-5"/>
                <w:sz w:val="18"/>
                <w:szCs w:val="18"/>
              </w:rPr>
              <w:t>70</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21767" w14:textId="77777777" w:rsidR="00356C22" w:rsidRPr="00F00BA7" w:rsidRDefault="00356C22" w:rsidP="00E51447">
            <w:pPr>
              <w:spacing w:after="0"/>
              <w:ind w:left="0" w:firstLine="0"/>
              <w:jc w:val="center"/>
              <w:rPr>
                <w:rFonts w:eastAsia="Times New Roman" w:cstheme="minorHAnsi"/>
                <w:b/>
                <w:color w:val="000000"/>
                <w:sz w:val="18"/>
                <w:szCs w:val="18"/>
              </w:rPr>
            </w:pPr>
            <w:r w:rsidRPr="00F00BA7">
              <w:rPr>
                <w:rFonts w:eastAsia="Times New Roman" w:cstheme="minorHAnsi"/>
                <w:b/>
                <w:color w:val="000000"/>
                <w:spacing w:val="-5"/>
                <w:sz w:val="18"/>
                <w:szCs w:val="18"/>
              </w:rPr>
              <w:t>75</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CC32" w14:textId="77777777" w:rsidR="00356C22" w:rsidRPr="00F00BA7" w:rsidRDefault="00356C22" w:rsidP="00E51447">
            <w:pPr>
              <w:spacing w:after="0"/>
              <w:ind w:left="0" w:firstLine="0"/>
              <w:jc w:val="right"/>
              <w:rPr>
                <w:rFonts w:eastAsia="Times New Roman" w:cstheme="minorHAnsi"/>
                <w:b/>
                <w:color w:val="000000"/>
                <w:sz w:val="18"/>
                <w:szCs w:val="18"/>
              </w:rPr>
            </w:pPr>
            <w:r w:rsidRPr="00F00BA7">
              <w:rPr>
                <w:rFonts w:eastAsia="Times New Roman" w:cstheme="minorHAnsi"/>
                <w:b/>
                <w:color w:val="000000"/>
                <w:spacing w:val="-5"/>
                <w:sz w:val="18"/>
                <w:szCs w:val="18"/>
              </w:rPr>
              <w:t>95</w:t>
            </w:r>
          </w:p>
        </w:tc>
      </w:tr>
      <w:tr w:rsidR="00356C22" w:rsidRPr="00F00BA7" w14:paraId="70541B30" w14:textId="77777777" w:rsidTr="0008418F">
        <w:trPr>
          <w:gridAfter w:val="1"/>
          <w:wAfter w:w="222" w:type="dxa"/>
          <w:trHeight w:val="450"/>
          <w:jc w:val="center"/>
        </w:trPr>
        <w:tc>
          <w:tcPr>
            <w:tcW w:w="12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AB66C" w14:textId="77777777" w:rsidR="00356C22" w:rsidRPr="00F00BA7" w:rsidRDefault="00356C22" w:rsidP="00E51447">
            <w:pPr>
              <w:spacing w:after="0"/>
              <w:ind w:left="0" w:firstLine="0"/>
              <w:rPr>
                <w:rFonts w:eastAsia="Times New Roman" w:cstheme="minorHAnsi"/>
                <w:color w:val="000000"/>
                <w:sz w:val="16"/>
                <w:szCs w:val="16"/>
              </w:rPr>
            </w:pPr>
            <w:r w:rsidRPr="00F00BA7">
              <w:rPr>
                <w:rFonts w:eastAsia="Times New Roman" w:cstheme="minorHAnsi"/>
                <w:color w:val="000000"/>
                <w:sz w:val="16"/>
                <w:szCs w:val="16"/>
              </w:rPr>
              <w:t>Luxury residences</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B4FCF7"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95E43"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81E23F"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13D50"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A0945"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2626C"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6B895"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93DC76"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D5469"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1C2D2A"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D8931"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4C3B1"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r>
      <w:tr w:rsidR="00356C22" w:rsidRPr="00F00BA7" w14:paraId="7E70ACB4" w14:textId="77777777" w:rsidTr="0008418F">
        <w:trPr>
          <w:trHeight w:val="170"/>
          <w:jc w:val="center"/>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65A401FD" w14:textId="77777777" w:rsidR="00356C22" w:rsidRPr="00F00BA7" w:rsidRDefault="00356C22" w:rsidP="00E51447">
            <w:pPr>
              <w:spacing w:after="0"/>
              <w:ind w:left="0" w:firstLine="0"/>
              <w:rPr>
                <w:rFonts w:eastAsia="Times New Roman" w:cstheme="minorHAnsi"/>
                <w:color w:val="000000"/>
                <w:sz w:val="16"/>
                <w:szCs w:val="16"/>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5FED22FF"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2764738B"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53B16C58"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5896456F"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17F28885"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4E6C1DF3"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24C5BFA2"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515560D9"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53714B1C"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3C5B48B0"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150067C6"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4B99D69E"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222" w:type="dxa"/>
            <w:tcBorders>
              <w:top w:val="nil"/>
              <w:left w:val="single" w:sz="4" w:space="0" w:color="auto"/>
              <w:bottom w:val="nil"/>
              <w:right w:val="nil"/>
            </w:tcBorders>
            <w:shd w:val="clear" w:color="auto" w:fill="auto"/>
            <w:noWrap/>
            <w:vAlign w:val="bottom"/>
            <w:hideMark/>
          </w:tcPr>
          <w:p w14:paraId="67CB545F"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r>
      <w:tr w:rsidR="00356C22" w:rsidRPr="00F00BA7" w14:paraId="31FE728B" w14:textId="77777777" w:rsidTr="0008418F">
        <w:trPr>
          <w:trHeight w:val="360"/>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E80AF" w14:textId="1D5D8EA6" w:rsidR="00356C22" w:rsidRPr="00F00BA7" w:rsidRDefault="00356C22" w:rsidP="00E51447">
            <w:pPr>
              <w:spacing w:after="0"/>
              <w:ind w:left="0" w:firstLine="0"/>
              <w:rPr>
                <w:rFonts w:eastAsia="Times New Roman" w:cstheme="minorHAnsi"/>
                <w:color w:val="000000"/>
                <w:sz w:val="16"/>
                <w:szCs w:val="16"/>
              </w:rPr>
            </w:pPr>
            <w:r w:rsidRPr="00F00BA7">
              <w:rPr>
                <w:rFonts w:eastAsia="Times New Roman" w:cstheme="minorHAnsi"/>
                <w:color w:val="000000"/>
                <w:sz w:val="16"/>
                <w:szCs w:val="16"/>
              </w:rPr>
              <w:t>Balloons, nonpowered aircraft</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B86D4"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030E8"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10F78"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4A9B"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9F83F"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55DDB"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73A6"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78005"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71C0E"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C0F90"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DF648"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E025F"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222" w:type="dxa"/>
            <w:tcBorders>
              <w:left w:val="single" w:sz="4" w:space="0" w:color="auto"/>
            </w:tcBorders>
            <w:vAlign w:val="center"/>
            <w:hideMark/>
          </w:tcPr>
          <w:p w14:paraId="35CDC4AA" w14:textId="77777777" w:rsidR="00356C22" w:rsidRPr="00F00BA7" w:rsidRDefault="00356C22" w:rsidP="00E51447">
            <w:pPr>
              <w:spacing w:after="0"/>
              <w:ind w:left="0" w:firstLine="0"/>
              <w:rPr>
                <w:rFonts w:ascii="Times New Roman" w:eastAsia="Times New Roman" w:hAnsi="Times New Roman" w:cs="Times New Roman"/>
                <w:sz w:val="20"/>
                <w:szCs w:val="20"/>
              </w:rPr>
            </w:pPr>
          </w:p>
        </w:tc>
      </w:tr>
      <w:tr w:rsidR="00356C22" w:rsidRPr="00F00BA7" w14:paraId="51443AA8" w14:textId="77777777" w:rsidTr="0008418F">
        <w:trPr>
          <w:trHeight w:val="678"/>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D0E99" w14:textId="77777777" w:rsidR="00356C22" w:rsidRPr="00F00BA7" w:rsidRDefault="00356C22" w:rsidP="00E51447">
            <w:pPr>
              <w:spacing w:after="0"/>
              <w:ind w:left="0" w:firstLine="0"/>
              <w:rPr>
                <w:rFonts w:eastAsia="Times New Roman" w:cstheme="minorHAnsi"/>
                <w:color w:val="000000"/>
                <w:sz w:val="16"/>
                <w:szCs w:val="16"/>
              </w:rPr>
            </w:pPr>
            <w:r w:rsidRPr="00F00BA7">
              <w:rPr>
                <w:rFonts w:eastAsia="Times New Roman" w:cstheme="minorHAnsi"/>
                <w:color w:val="000000"/>
                <w:sz w:val="16"/>
                <w:szCs w:val="16"/>
              </w:rPr>
              <w:t>Shotguns and other arm cartridges for private use</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5BDBB"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609C"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32AEC"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6917"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66A87"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18859"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886DE"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A9F89"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6F6AD"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2359E"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FF6C4"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AD84"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222" w:type="dxa"/>
            <w:tcBorders>
              <w:left w:val="single" w:sz="4" w:space="0" w:color="auto"/>
            </w:tcBorders>
            <w:vAlign w:val="center"/>
            <w:hideMark/>
          </w:tcPr>
          <w:p w14:paraId="010FABF3" w14:textId="77777777" w:rsidR="00356C22" w:rsidRPr="00F00BA7" w:rsidRDefault="00356C22" w:rsidP="00E51447">
            <w:pPr>
              <w:spacing w:after="0"/>
              <w:ind w:left="0" w:firstLine="0"/>
              <w:rPr>
                <w:rFonts w:ascii="Times New Roman" w:eastAsia="Times New Roman" w:hAnsi="Times New Roman" w:cs="Times New Roman"/>
                <w:sz w:val="20"/>
                <w:szCs w:val="20"/>
              </w:rPr>
            </w:pPr>
          </w:p>
        </w:tc>
      </w:tr>
      <w:tr w:rsidR="00356C22" w:rsidRPr="00F00BA7" w14:paraId="45BBE9EB" w14:textId="77777777" w:rsidTr="0008418F">
        <w:trPr>
          <w:trHeight w:val="330"/>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B0D68" w14:textId="293638C5" w:rsidR="00356C22" w:rsidRPr="00F00BA7" w:rsidRDefault="00356C22" w:rsidP="00E51447">
            <w:pPr>
              <w:spacing w:after="0"/>
              <w:ind w:left="0" w:firstLine="0"/>
              <w:rPr>
                <w:rFonts w:eastAsia="Times New Roman" w:cstheme="minorHAnsi"/>
                <w:color w:val="000000"/>
                <w:sz w:val="16"/>
                <w:szCs w:val="16"/>
              </w:rPr>
            </w:pPr>
            <w:r w:rsidRPr="00F00BA7">
              <w:rPr>
                <w:rFonts w:eastAsia="Times New Roman" w:cstheme="minorHAnsi"/>
                <w:color w:val="000000"/>
                <w:sz w:val="16"/>
                <w:szCs w:val="16"/>
              </w:rPr>
              <w:t>Aircraft for private use</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E33F0"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B39E9"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94A35"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08D54"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85B9"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90739"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7055A"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51A0C"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51BB8"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5481E"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CA4DB"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D2613"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222" w:type="dxa"/>
            <w:tcBorders>
              <w:left w:val="single" w:sz="4" w:space="0" w:color="auto"/>
            </w:tcBorders>
            <w:vAlign w:val="center"/>
            <w:hideMark/>
          </w:tcPr>
          <w:p w14:paraId="544A6971" w14:textId="77777777" w:rsidR="00356C22" w:rsidRPr="00F00BA7" w:rsidRDefault="00356C22" w:rsidP="00E51447">
            <w:pPr>
              <w:spacing w:after="0"/>
              <w:ind w:left="0" w:firstLine="0"/>
              <w:rPr>
                <w:rFonts w:ascii="Times New Roman" w:eastAsia="Times New Roman" w:hAnsi="Times New Roman" w:cs="Times New Roman"/>
                <w:sz w:val="20"/>
                <w:szCs w:val="20"/>
              </w:rPr>
            </w:pPr>
          </w:p>
        </w:tc>
      </w:tr>
      <w:tr w:rsidR="00356C22" w:rsidRPr="00F00BA7" w14:paraId="364CBA6F" w14:textId="77777777" w:rsidTr="0008418F">
        <w:trPr>
          <w:trHeight w:val="430"/>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9BC5A" w14:textId="77777777" w:rsidR="00356C22" w:rsidRPr="00F00BA7" w:rsidRDefault="00356C22" w:rsidP="00E51447">
            <w:pPr>
              <w:spacing w:after="0"/>
              <w:ind w:left="0" w:firstLine="0"/>
              <w:rPr>
                <w:rFonts w:eastAsia="Times New Roman" w:cstheme="minorHAnsi"/>
                <w:color w:val="000000"/>
                <w:sz w:val="16"/>
                <w:szCs w:val="16"/>
              </w:rPr>
            </w:pPr>
            <w:r w:rsidRPr="00F00BA7">
              <w:rPr>
                <w:rFonts w:eastAsia="Times New Roman" w:cstheme="minorHAnsi"/>
                <w:color w:val="000000"/>
                <w:sz w:val="16"/>
                <w:szCs w:val="16"/>
              </w:rPr>
              <w:t>Luxury cruisers for private use</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BBCAE"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2664F"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BAB5B"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9A6EA"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52537"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19062"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D04E7"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1CACB"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D7C0D"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CE24E"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28D3E"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18B97"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222" w:type="dxa"/>
            <w:tcBorders>
              <w:left w:val="single" w:sz="4" w:space="0" w:color="auto"/>
            </w:tcBorders>
            <w:vAlign w:val="center"/>
            <w:hideMark/>
          </w:tcPr>
          <w:p w14:paraId="5E351AA9" w14:textId="77777777" w:rsidR="00356C22" w:rsidRPr="00F00BA7" w:rsidRDefault="00356C22" w:rsidP="00E51447">
            <w:pPr>
              <w:spacing w:after="0"/>
              <w:ind w:left="0" w:firstLine="0"/>
              <w:rPr>
                <w:rFonts w:ascii="Times New Roman" w:eastAsia="Times New Roman" w:hAnsi="Times New Roman" w:cs="Times New Roman"/>
                <w:sz w:val="20"/>
                <w:szCs w:val="20"/>
              </w:rPr>
            </w:pPr>
          </w:p>
        </w:tc>
      </w:tr>
      <w:tr w:rsidR="00356C22" w:rsidRPr="00F00BA7" w14:paraId="3EBC6EDE" w14:textId="77777777" w:rsidTr="0008418F">
        <w:trPr>
          <w:trHeight w:val="290"/>
          <w:jc w:val="center"/>
        </w:trPr>
        <w:tc>
          <w:tcPr>
            <w:tcW w:w="12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90386" w14:textId="77777777" w:rsidR="00356C22" w:rsidRPr="00F00BA7" w:rsidRDefault="00356C22" w:rsidP="00E51447">
            <w:pPr>
              <w:spacing w:after="0"/>
              <w:ind w:left="0" w:firstLine="0"/>
              <w:rPr>
                <w:rFonts w:eastAsia="Times New Roman" w:cstheme="minorHAnsi"/>
                <w:color w:val="000000"/>
                <w:sz w:val="16"/>
                <w:szCs w:val="16"/>
              </w:rPr>
            </w:pPr>
            <w:r w:rsidRPr="00F00BA7">
              <w:rPr>
                <w:rFonts w:eastAsia="Times New Roman" w:cstheme="minorHAnsi"/>
                <w:color w:val="000000"/>
                <w:sz w:val="16"/>
                <w:szCs w:val="16"/>
              </w:rPr>
              <w:t>Motor vehicles</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29054B" w14:textId="77777777" w:rsidR="00356C22" w:rsidRPr="00F00BA7" w:rsidRDefault="00356C22" w:rsidP="00E51447">
            <w:pPr>
              <w:spacing w:after="0"/>
              <w:ind w:left="0" w:firstLine="0"/>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CF15F"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4D5A0" w14:textId="77777777" w:rsidR="00356C22" w:rsidRPr="00F00BA7" w:rsidRDefault="00356C22" w:rsidP="00E51447">
            <w:pPr>
              <w:spacing w:after="0"/>
              <w:ind w:left="0" w:firstLine="0"/>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044EBE"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D8CEA"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3C831"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C4022C"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945449"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2498F" w14:textId="77777777" w:rsidR="00356C22" w:rsidRPr="00F00BA7" w:rsidRDefault="00356C22" w:rsidP="00E51447">
            <w:pPr>
              <w:spacing w:after="0"/>
              <w:ind w:left="0" w:firstLine="0"/>
              <w:jc w:val="right"/>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CF960" w14:textId="77777777" w:rsidR="00356C22" w:rsidRPr="00F00BA7" w:rsidRDefault="00356C22" w:rsidP="00E51447">
            <w:pPr>
              <w:spacing w:after="0"/>
              <w:ind w:left="0" w:firstLine="0"/>
              <w:jc w:val="center"/>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78642"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r w:rsidRPr="00F00BA7">
              <w:rPr>
                <w:rFonts w:ascii="Times New Roman" w:eastAsia="Times New Roman" w:hAnsi="Times New Roman" w:cs="Times New Roman"/>
                <w:color w:val="000000"/>
                <w:sz w:val="14"/>
                <w:szCs w:val="14"/>
              </w:rPr>
              <w:t> </w:t>
            </w:r>
          </w:p>
        </w:tc>
        <w:tc>
          <w:tcPr>
            <w:tcW w:w="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665629" w14:textId="77777777" w:rsidR="00356C22" w:rsidRPr="00F00BA7" w:rsidRDefault="00356C22" w:rsidP="00E51447">
            <w:pPr>
              <w:spacing w:after="0"/>
              <w:ind w:left="0" w:firstLine="0"/>
              <w:rPr>
                <w:rFonts w:ascii="Wingdings" w:eastAsia="Times New Roman" w:hAnsi="Wingdings" w:cs="Calibri"/>
                <w:color w:val="000000"/>
                <w:sz w:val="28"/>
                <w:szCs w:val="28"/>
              </w:rPr>
            </w:pPr>
            <w:r w:rsidRPr="00F00BA7">
              <w:rPr>
                <w:rFonts w:ascii="Wingdings" w:eastAsia="Times New Roman" w:hAnsi="Wingdings" w:cs="Calibri"/>
                <w:color w:val="000000"/>
                <w:sz w:val="28"/>
              </w:rPr>
              <w:t>Ÿ</w:t>
            </w:r>
          </w:p>
        </w:tc>
        <w:tc>
          <w:tcPr>
            <w:tcW w:w="222" w:type="dxa"/>
            <w:tcBorders>
              <w:left w:val="single" w:sz="4" w:space="0" w:color="auto"/>
            </w:tcBorders>
            <w:vAlign w:val="center"/>
            <w:hideMark/>
          </w:tcPr>
          <w:p w14:paraId="2C045EFA" w14:textId="77777777" w:rsidR="00356C22" w:rsidRPr="00F00BA7" w:rsidRDefault="00356C22" w:rsidP="00E51447">
            <w:pPr>
              <w:spacing w:after="0"/>
              <w:ind w:left="0" w:firstLine="0"/>
              <w:rPr>
                <w:rFonts w:ascii="Times New Roman" w:eastAsia="Times New Roman" w:hAnsi="Times New Roman" w:cs="Times New Roman"/>
                <w:sz w:val="20"/>
                <w:szCs w:val="20"/>
              </w:rPr>
            </w:pPr>
          </w:p>
        </w:tc>
      </w:tr>
      <w:tr w:rsidR="00356C22" w:rsidRPr="00F00BA7" w14:paraId="585EEAF4" w14:textId="77777777" w:rsidTr="0008418F">
        <w:trPr>
          <w:trHeight w:val="30"/>
          <w:jc w:val="center"/>
        </w:trPr>
        <w:tc>
          <w:tcPr>
            <w:tcW w:w="1274" w:type="dxa"/>
            <w:vMerge/>
            <w:tcBorders>
              <w:top w:val="single" w:sz="4" w:space="0" w:color="auto"/>
              <w:left w:val="single" w:sz="4" w:space="0" w:color="auto"/>
              <w:bottom w:val="single" w:sz="4" w:space="0" w:color="auto"/>
              <w:right w:val="single" w:sz="4" w:space="0" w:color="auto"/>
            </w:tcBorders>
            <w:vAlign w:val="center"/>
            <w:hideMark/>
          </w:tcPr>
          <w:p w14:paraId="5DF61084" w14:textId="77777777" w:rsidR="00356C22" w:rsidRPr="00F00BA7" w:rsidRDefault="00356C22" w:rsidP="00E51447">
            <w:pPr>
              <w:spacing w:after="0"/>
              <w:ind w:left="0" w:firstLine="0"/>
              <w:rPr>
                <w:rFonts w:ascii="Arial" w:eastAsia="Times New Roman" w:hAnsi="Arial" w:cs="Arial"/>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43E477F0"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2ED9FFD1"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7C37AF4B"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7F4CBD30"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3E02DED6"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0F2B9016"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15435564"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532F960C"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639C3774"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7B0848F6"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07E3EDD2" w14:textId="77777777" w:rsidR="00356C22" w:rsidRPr="00F00BA7" w:rsidRDefault="00356C22" w:rsidP="00E51447">
            <w:pPr>
              <w:spacing w:after="0"/>
              <w:ind w:left="0" w:firstLine="0"/>
              <w:rPr>
                <w:rFonts w:ascii="Times New Roman" w:eastAsia="Times New Roman" w:hAnsi="Times New Roman" w:cs="Times New Roman"/>
                <w:color w:val="000000"/>
                <w:sz w:val="14"/>
                <w:szCs w:val="14"/>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4E274CDB" w14:textId="77777777" w:rsidR="00356C22" w:rsidRPr="00F00BA7" w:rsidRDefault="00356C22" w:rsidP="00E51447">
            <w:pPr>
              <w:spacing w:after="0"/>
              <w:ind w:left="0" w:firstLine="0"/>
              <w:rPr>
                <w:rFonts w:ascii="Wingdings" w:eastAsia="Times New Roman" w:hAnsi="Wingdings" w:cs="Calibri"/>
                <w:color w:val="000000"/>
                <w:sz w:val="28"/>
                <w:szCs w:val="28"/>
              </w:rPr>
            </w:pPr>
          </w:p>
        </w:tc>
        <w:tc>
          <w:tcPr>
            <w:tcW w:w="222" w:type="dxa"/>
            <w:tcBorders>
              <w:top w:val="nil"/>
              <w:left w:val="single" w:sz="4" w:space="0" w:color="auto"/>
              <w:bottom w:val="nil"/>
              <w:right w:val="nil"/>
            </w:tcBorders>
            <w:shd w:val="clear" w:color="auto" w:fill="auto"/>
            <w:noWrap/>
            <w:vAlign w:val="bottom"/>
            <w:hideMark/>
          </w:tcPr>
          <w:p w14:paraId="54BC56E8" w14:textId="77777777" w:rsidR="00356C22" w:rsidRPr="00F00BA7" w:rsidRDefault="00356C22" w:rsidP="00E51447">
            <w:pPr>
              <w:spacing w:after="0"/>
              <w:ind w:left="0" w:firstLine="0"/>
              <w:rPr>
                <w:rFonts w:ascii="Wingdings" w:eastAsia="Times New Roman" w:hAnsi="Wingdings" w:cs="Calibri"/>
                <w:color w:val="000000"/>
                <w:sz w:val="28"/>
                <w:szCs w:val="28"/>
              </w:rPr>
            </w:pPr>
          </w:p>
        </w:tc>
      </w:tr>
    </w:tbl>
    <w:p w14:paraId="4C688954" w14:textId="0EA00F33" w:rsidR="00356C22" w:rsidRPr="0008418F" w:rsidRDefault="00356C22" w:rsidP="00356C22">
      <w:pPr>
        <w:spacing w:after="0"/>
        <w:ind w:left="1440" w:firstLine="0"/>
        <w:rPr>
          <w:color w:val="000000" w:themeColor="text1"/>
          <w:sz w:val="18"/>
          <w:szCs w:val="18"/>
          <w:lang w:val="en" w:bidi="si-LK"/>
        </w:rPr>
      </w:pPr>
      <w:r w:rsidRPr="0008418F">
        <w:rPr>
          <w:i/>
          <w:iCs/>
          <w:color w:val="000000" w:themeColor="text1"/>
          <w:sz w:val="18"/>
          <w:szCs w:val="18"/>
        </w:rPr>
        <w:t>Source</w:t>
      </w:r>
      <w:r w:rsidRPr="0008418F">
        <w:rPr>
          <w:color w:val="000000" w:themeColor="text1"/>
          <w:sz w:val="18"/>
          <w:szCs w:val="18"/>
        </w:rPr>
        <w:t>: Indonesian Pocket Tax Book 2023 by PWC</w:t>
      </w:r>
      <w:r w:rsidR="00AB635F" w:rsidRPr="0008418F">
        <w:rPr>
          <w:color w:val="000000" w:themeColor="text1"/>
          <w:sz w:val="18"/>
          <w:szCs w:val="18"/>
        </w:rPr>
        <w:t>.</w:t>
      </w:r>
    </w:p>
    <w:p w14:paraId="529EF9C7" w14:textId="4C516B54" w:rsidR="003666B0" w:rsidRPr="00B10EEC" w:rsidRDefault="003666B0" w:rsidP="00A765BB">
      <w:pPr>
        <w:pStyle w:val="Heading2"/>
        <w:spacing w:before="240" w:after="120"/>
        <w:rPr>
          <w:rFonts w:asciiTheme="minorHAnsi" w:hAnsiTheme="minorHAnsi" w:cstheme="minorHAnsi"/>
          <w:color w:val="4472C4" w:themeColor="accent1"/>
          <w:sz w:val="24"/>
          <w:szCs w:val="24"/>
        </w:rPr>
      </w:pPr>
      <w:bookmarkStart w:id="53" w:name="_Toc177819051"/>
      <w:r>
        <w:rPr>
          <w:rFonts w:asciiTheme="minorHAnsi" w:hAnsiTheme="minorHAnsi" w:cstheme="minorHAnsi"/>
          <w:color w:val="4472C4" w:themeColor="accent1"/>
          <w:sz w:val="24"/>
          <w:szCs w:val="24"/>
        </w:rPr>
        <w:lastRenderedPageBreak/>
        <w:t>Administration and compliance</w:t>
      </w:r>
      <w:bookmarkEnd w:id="53"/>
    </w:p>
    <w:p w14:paraId="15C57E1D" w14:textId="777F81D2" w:rsidR="00BA082C" w:rsidRPr="001042E5" w:rsidRDefault="00610890" w:rsidP="00694F9E">
      <w:pPr>
        <w:pStyle w:val="ListParagraph"/>
        <w:numPr>
          <w:ilvl w:val="0"/>
          <w:numId w:val="12"/>
        </w:numPr>
        <w:spacing w:before="120"/>
        <w:ind w:left="0" w:firstLine="0"/>
        <w:contextualSpacing w:val="0"/>
        <w:jc w:val="both"/>
      </w:pPr>
      <w:r w:rsidRPr="00610890">
        <w:rPr>
          <w:b/>
          <w:bCs/>
        </w:rPr>
        <w:t>The implementation of</w:t>
      </w:r>
      <w:r w:rsidR="002547FF" w:rsidRPr="00731D23">
        <w:rPr>
          <w:b/>
          <w:bCs/>
        </w:rPr>
        <w:t xml:space="preserve"> electronic invoicing</w:t>
      </w:r>
      <w:r w:rsidR="002547FF">
        <w:rPr>
          <w:b/>
          <w:bCs/>
        </w:rPr>
        <w:t xml:space="preserve"> (e-invoicing, or </w:t>
      </w:r>
      <w:r w:rsidR="002547FF" w:rsidRPr="001042E5">
        <w:rPr>
          <w:b/>
          <w:i/>
        </w:rPr>
        <w:t>e-</w:t>
      </w:r>
      <w:proofErr w:type="spellStart"/>
      <w:r w:rsidR="002547FF" w:rsidRPr="001042E5">
        <w:rPr>
          <w:b/>
          <w:i/>
        </w:rPr>
        <w:t>Faktur</w:t>
      </w:r>
      <w:proofErr w:type="spellEnd"/>
      <w:r w:rsidR="002547FF">
        <w:rPr>
          <w:b/>
          <w:bCs/>
        </w:rPr>
        <w:t xml:space="preserve">) </w:t>
      </w:r>
      <w:r w:rsidRPr="00610890">
        <w:rPr>
          <w:b/>
          <w:bCs/>
        </w:rPr>
        <w:t xml:space="preserve">has led to higher VAT liabilities. </w:t>
      </w:r>
      <w:r w:rsidRPr="001042E5">
        <w:t>Since</w:t>
      </w:r>
      <w:r w:rsidR="002547FF" w:rsidRPr="001042E5">
        <w:t xml:space="preserve"> 2015</w:t>
      </w:r>
      <w:r w:rsidRPr="001042E5">
        <w:t>, DG</w:t>
      </w:r>
      <w:r w:rsidR="00AC2F3D">
        <w:t>T</w:t>
      </w:r>
      <w:r w:rsidRPr="001042E5">
        <w:t xml:space="preserve"> has launched </w:t>
      </w:r>
      <w:r w:rsidR="002547FF" w:rsidRPr="005D6F95">
        <w:t>e-invoicing</w:t>
      </w:r>
      <w:r w:rsidR="00D96437">
        <w:t xml:space="preserve"> to</w:t>
      </w:r>
      <w:r w:rsidRPr="001042E5">
        <w:t xml:space="preserve"> replac</w:t>
      </w:r>
      <w:r w:rsidR="00D96437">
        <w:t>e</w:t>
      </w:r>
      <w:r w:rsidRPr="001042E5">
        <w:t xml:space="preserve"> the paper-based VAT </w:t>
      </w:r>
      <w:r w:rsidR="002547FF" w:rsidRPr="005D6F95">
        <w:t xml:space="preserve">invoice </w:t>
      </w:r>
      <w:r w:rsidRPr="001042E5">
        <w:t>system.</w:t>
      </w:r>
      <w:r w:rsidR="002547FF" w:rsidRPr="005D6F95">
        <w:t xml:space="preserve"> For the tax authority, e-invoicing delivers real-time information of transactions between firms that could be used to automate cross-checks and curb false invoices. With e-invoicing, the tax authority can more easily match buyers’ and sellers’ invoices. For example, taxpayers should not be able to claim input VAT credits without a matching report from a seller. </w:t>
      </w:r>
      <w:r w:rsidRPr="001042E5">
        <w:t>More importantly, because e-</w:t>
      </w:r>
      <w:proofErr w:type="gramStart"/>
      <w:r w:rsidRPr="001042E5">
        <w:t>invoice is</w:t>
      </w:r>
      <w:proofErr w:type="gramEnd"/>
      <w:r w:rsidRPr="001042E5">
        <w:t xml:space="preserve"> generated in real-time, the detailed information from issued invoices is available to DGT without waiting for the VAT return filing (a monthly submission). Juniult (2023) found that modernizing the VAT invoice system has an immediate and positive impact on reported taxable sales as the e-invoicing alters taxpayers’ perceived probability of fraud detection.</w:t>
      </w:r>
    </w:p>
    <w:p w14:paraId="73085D44" w14:textId="505F2EB9" w:rsidR="0036374E" w:rsidRDefault="00BA082C" w:rsidP="00AB01D5">
      <w:pPr>
        <w:pStyle w:val="ListParagraph"/>
        <w:numPr>
          <w:ilvl w:val="0"/>
          <w:numId w:val="12"/>
        </w:numPr>
        <w:spacing w:before="120"/>
        <w:ind w:left="0" w:firstLine="0"/>
        <w:contextualSpacing w:val="0"/>
        <w:jc w:val="both"/>
      </w:pPr>
      <w:r w:rsidRPr="001042E5">
        <w:rPr>
          <w:b/>
          <w:bCs/>
        </w:rPr>
        <w:t xml:space="preserve">Aligned with the practice in other countries, a monthly VAT return with a refund claim in Indonesia can serve as a trigger for an audit. </w:t>
      </w:r>
      <w:r w:rsidR="00202FD7" w:rsidRPr="001042E5">
        <w:t>VAT</w:t>
      </w:r>
      <w:r w:rsidR="00202FD7" w:rsidRPr="00AB01D5">
        <w:rPr>
          <w:b/>
          <w:bCs/>
        </w:rPr>
        <w:t xml:space="preserve"> </w:t>
      </w:r>
      <w:r w:rsidR="008B37E4" w:rsidRPr="008B37E4">
        <w:t>refund occurs when firms have negative tax liabilities: when their input taxes are greater than their output taxes. The VAT refund claim is typically common for three types of firms: (</w:t>
      </w:r>
      <w:r w:rsidR="00D96437">
        <w:t>i</w:t>
      </w:r>
      <w:r w:rsidR="008B37E4" w:rsidRPr="008B37E4">
        <w:t xml:space="preserve">) exporters who tend to have higher input tax due to the zero-rated VAT on their export sales; </w:t>
      </w:r>
      <w:r w:rsidR="00D96437">
        <w:t>(ii</w:t>
      </w:r>
      <w:r w:rsidR="00F54A55" w:rsidRPr="008B37E4">
        <w:t>) new firms who have higher input tax during their early production stage</w:t>
      </w:r>
      <w:r w:rsidR="00007B76">
        <w:t xml:space="preserve">; and </w:t>
      </w:r>
      <w:r w:rsidR="00BE7D02">
        <w:t>(</w:t>
      </w:r>
      <w:r w:rsidR="00D96437">
        <w:t>iii</w:t>
      </w:r>
      <w:r w:rsidR="00BE7D02">
        <w:t>)</w:t>
      </w:r>
      <w:r w:rsidR="00B06374">
        <w:t xml:space="preserve"> </w:t>
      </w:r>
      <w:r w:rsidR="008B37E4" w:rsidRPr="008B37E4">
        <w:t>firms engaging with government entities who also often incur higher input tax due to the reverse charge mechanism</w:t>
      </w:r>
      <w:r w:rsidR="00B06374">
        <w:t>.</w:t>
      </w:r>
      <w:r w:rsidR="00AC25B2">
        <w:rPr>
          <w:rStyle w:val="FootnoteReference"/>
        </w:rPr>
        <w:footnoteReference w:id="100"/>
      </w:r>
      <w:r w:rsidR="008B37E4" w:rsidRPr="008B37E4">
        <w:t xml:space="preserve"> </w:t>
      </w:r>
      <w:r w:rsidR="00851743">
        <w:t>As a result,</w:t>
      </w:r>
      <w:r w:rsidR="002A63C7">
        <w:t xml:space="preserve"> exporters </w:t>
      </w:r>
      <w:r w:rsidR="00C01D6E">
        <w:t>a</w:t>
      </w:r>
      <w:r w:rsidR="002A63C7">
        <w:t>re consistently targeted for audits.</w:t>
      </w:r>
      <w:r w:rsidR="00B61817">
        <w:t xml:space="preserve"> </w:t>
      </w:r>
      <w:r w:rsidR="008C0003">
        <w:t xml:space="preserve">To limit the number </w:t>
      </w:r>
      <w:r w:rsidR="00BB1F62">
        <w:t>of refund claim</w:t>
      </w:r>
      <w:r w:rsidR="00EC1017">
        <w:t>s</w:t>
      </w:r>
      <w:r w:rsidR="00BB1F62">
        <w:t xml:space="preserve">, </w:t>
      </w:r>
      <w:r w:rsidR="0036374E">
        <w:t>firms other than exporters with negative tax liabilities</w:t>
      </w:r>
      <w:r w:rsidR="004408D4">
        <w:t xml:space="preserve"> will automatically carr</w:t>
      </w:r>
      <w:r w:rsidR="00D351A5">
        <w:t>y</w:t>
      </w:r>
      <w:r w:rsidR="00D96437">
        <w:t xml:space="preserve"> </w:t>
      </w:r>
      <w:r w:rsidR="00D351A5">
        <w:t>forwa</w:t>
      </w:r>
      <w:r w:rsidR="00646CDF">
        <w:t xml:space="preserve">rd their </w:t>
      </w:r>
      <w:r w:rsidR="00AE5FC4">
        <w:t>excess VAT cr</w:t>
      </w:r>
      <w:r w:rsidR="00322B65">
        <w:t xml:space="preserve">edits to the next </w:t>
      </w:r>
      <w:r w:rsidR="000C071C">
        <w:t>month</w:t>
      </w:r>
      <w:r w:rsidR="00484464">
        <w:t xml:space="preserve"> (next tax period)</w:t>
      </w:r>
      <w:r w:rsidR="0064340B">
        <w:t xml:space="preserve">. </w:t>
      </w:r>
    </w:p>
    <w:p w14:paraId="4491ABAF" w14:textId="1AC2D0D1" w:rsidR="00543757" w:rsidRPr="00326FD6" w:rsidRDefault="0037261E" w:rsidP="00FE2144">
      <w:pPr>
        <w:pStyle w:val="ListParagraph"/>
        <w:numPr>
          <w:ilvl w:val="0"/>
          <w:numId w:val="12"/>
        </w:numPr>
        <w:spacing w:before="120"/>
        <w:ind w:left="0" w:firstLine="0"/>
        <w:contextualSpacing w:val="0"/>
        <w:jc w:val="both"/>
      </w:pPr>
      <w:r>
        <w:rPr>
          <w:b/>
          <w:bCs/>
        </w:rPr>
        <w:t xml:space="preserve">While the authority </w:t>
      </w:r>
      <w:r w:rsidR="0061150F">
        <w:rPr>
          <w:b/>
          <w:bCs/>
        </w:rPr>
        <w:t xml:space="preserve">has </w:t>
      </w:r>
      <w:r w:rsidR="000A7C91">
        <w:rPr>
          <w:b/>
          <w:bCs/>
        </w:rPr>
        <w:t xml:space="preserve">made </w:t>
      </w:r>
      <w:r w:rsidR="005277BE">
        <w:rPr>
          <w:b/>
          <w:bCs/>
        </w:rPr>
        <w:t>reforms</w:t>
      </w:r>
      <w:r w:rsidR="004C51B3">
        <w:rPr>
          <w:b/>
          <w:bCs/>
        </w:rPr>
        <w:t xml:space="preserve"> to </w:t>
      </w:r>
      <w:r w:rsidR="006C0C1A">
        <w:rPr>
          <w:b/>
          <w:bCs/>
        </w:rPr>
        <w:t xml:space="preserve">streamline the VAT </w:t>
      </w:r>
      <w:r w:rsidR="00C95A06">
        <w:rPr>
          <w:b/>
          <w:bCs/>
        </w:rPr>
        <w:t>refund mechanism, more efforts</w:t>
      </w:r>
      <w:r w:rsidR="004C51B3">
        <w:rPr>
          <w:b/>
          <w:bCs/>
        </w:rPr>
        <w:t xml:space="preserve"> </w:t>
      </w:r>
      <w:r w:rsidR="00306FD2">
        <w:rPr>
          <w:b/>
          <w:bCs/>
        </w:rPr>
        <w:t xml:space="preserve">are needed to </w:t>
      </w:r>
      <w:r w:rsidR="00581966">
        <w:rPr>
          <w:b/>
          <w:bCs/>
        </w:rPr>
        <w:t xml:space="preserve">shift the audit </w:t>
      </w:r>
      <w:r w:rsidR="00AB7950">
        <w:rPr>
          <w:b/>
          <w:bCs/>
        </w:rPr>
        <w:t>into a risk-based approach.</w:t>
      </w:r>
      <w:r w:rsidR="00946147">
        <w:rPr>
          <w:b/>
          <w:bCs/>
        </w:rPr>
        <w:t xml:space="preserve"> </w:t>
      </w:r>
      <w:r w:rsidR="00946147">
        <w:t xml:space="preserve">According to the </w:t>
      </w:r>
      <w:r w:rsidR="00C41AF2">
        <w:t>World Bank Doing Business report</w:t>
      </w:r>
      <w:r w:rsidR="00CD2B21">
        <w:t xml:space="preserve">, </w:t>
      </w:r>
      <w:r w:rsidR="001C30D2">
        <w:t xml:space="preserve">between 2016-17, </w:t>
      </w:r>
      <w:r w:rsidR="00CD2B21">
        <w:t>a medium-sized Indonesian firm need</w:t>
      </w:r>
      <w:r w:rsidR="00F14B7E">
        <w:t>ed</w:t>
      </w:r>
      <w:r w:rsidR="00CD2B21">
        <w:t xml:space="preserve"> to </w:t>
      </w:r>
      <w:r w:rsidR="00BC0B42">
        <w:t>wait</w:t>
      </w:r>
      <w:r w:rsidR="007353FD">
        <w:t xml:space="preserve"> </w:t>
      </w:r>
      <w:r w:rsidR="007108D7">
        <w:t xml:space="preserve">47.7 weeks to receive the actual </w:t>
      </w:r>
      <w:r w:rsidR="00396595">
        <w:t>refund</w:t>
      </w:r>
      <w:r w:rsidR="00F14B7E">
        <w:rPr>
          <w:rFonts w:cstheme="minorHAnsi"/>
        </w:rPr>
        <w:t>–</w:t>
      </w:r>
      <w:r w:rsidR="007A0CCE">
        <w:t xml:space="preserve">which is </w:t>
      </w:r>
      <w:r w:rsidR="00527D96">
        <w:t>12</w:t>
      </w:r>
      <w:r w:rsidR="00F21430">
        <w:t xml:space="preserve"> weeks longer than </w:t>
      </w:r>
      <w:r w:rsidR="00EF3A4D">
        <w:t xml:space="preserve">the average of middle-income ASEAN countries. </w:t>
      </w:r>
      <w:r w:rsidR="001E70B3">
        <w:t>Partly motivated by this finding, the aut</w:t>
      </w:r>
      <w:r w:rsidR="0056403A">
        <w:t>hority introduced</w:t>
      </w:r>
      <w:r w:rsidR="00543757">
        <w:t xml:space="preserve"> </w:t>
      </w:r>
      <w:r w:rsidR="00543757" w:rsidRPr="005D6F95">
        <w:rPr>
          <w:color w:val="000000" w:themeColor="text1"/>
        </w:rPr>
        <w:t xml:space="preserve">a fast-track VAT </w:t>
      </w:r>
      <w:r w:rsidR="00543757" w:rsidRPr="00F41EAB">
        <w:rPr>
          <w:color w:val="000000" w:themeColor="text1"/>
        </w:rPr>
        <w:t xml:space="preserve">refund </w:t>
      </w:r>
      <w:r w:rsidR="00543757" w:rsidRPr="005D6F95">
        <w:rPr>
          <w:color w:val="000000" w:themeColor="text1"/>
        </w:rPr>
        <w:t>in April 2018.</w:t>
      </w:r>
      <w:r w:rsidR="003135E5">
        <w:rPr>
          <w:color w:val="000000" w:themeColor="text1"/>
        </w:rPr>
        <w:t xml:space="preserve"> </w:t>
      </w:r>
      <w:r w:rsidR="00543757" w:rsidRPr="005D6F95">
        <w:rPr>
          <w:color w:val="000000" w:themeColor="text1"/>
        </w:rPr>
        <w:t>The eligibility of the fast-track refund is given to small refund claims</w:t>
      </w:r>
      <w:r w:rsidR="001210CB">
        <w:rPr>
          <w:color w:val="000000" w:themeColor="text1"/>
        </w:rPr>
        <w:t xml:space="preserve"> (</w:t>
      </w:r>
      <w:r w:rsidR="001340F3" w:rsidRPr="005D6F95">
        <w:rPr>
          <w:color w:val="000000" w:themeColor="text1"/>
        </w:rPr>
        <w:t xml:space="preserve">below </w:t>
      </w:r>
      <w:r w:rsidR="00543757" w:rsidRPr="005D6F95">
        <w:rPr>
          <w:color w:val="000000" w:themeColor="text1"/>
        </w:rPr>
        <w:t>R</w:t>
      </w:r>
      <w:r w:rsidR="0004266E">
        <w:rPr>
          <w:color w:val="000000" w:themeColor="text1"/>
        </w:rPr>
        <w:t>p</w:t>
      </w:r>
      <w:r w:rsidR="00543757" w:rsidRPr="005D6F95">
        <w:rPr>
          <w:color w:val="000000" w:themeColor="text1"/>
        </w:rPr>
        <w:t xml:space="preserve"> </w:t>
      </w:r>
      <w:r w:rsidR="003135E5">
        <w:rPr>
          <w:color w:val="000000" w:themeColor="text1"/>
        </w:rPr>
        <w:t xml:space="preserve">1 </w:t>
      </w:r>
      <w:r w:rsidR="00543757" w:rsidRPr="001042E5">
        <w:rPr>
          <w:color w:val="000000" w:themeColor="text1"/>
        </w:rPr>
        <w:t>billion</w:t>
      </w:r>
      <w:r w:rsidR="00F14B7E">
        <w:rPr>
          <w:color w:val="000000" w:themeColor="text1"/>
        </w:rPr>
        <w:t xml:space="preserve"> but</w:t>
      </w:r>
      <w:r w:rsidR="008C45FF">
        <w:rPr>
          <w:color w:val="000000" w:themeColor="text1"/>
        </w:rPr>
        <w:t xml:space="preserve"> subsequently </w:t>
      </w:r>
      <w:r w:rsidR="00F46EA9">
        <w:rPr>
          <w:color w:val="000000" w:themeColor="text1"/>
        </w:rPr>
        <w:t>upgraded to below R</w:t>
      </w:r>
      <w:r w:rsidR="0004266E">
        <w:rPr>
          <w:color w:val="000000" w:themeColor="text1"/>
        </w:rPr>
        <w:t>p</w:t>
      </w:r>
      <w:r w:rsidR="00F46EA9">
        <w:rPr>
          <w:color w:val="000000" w:themeColor="text1"/>
        </w:rPr>
        <w:t xml:space="preserve"> </w:t>
      </w:r>
      <w:r w:rsidR="009B4384">
        <w:rPr>
          <w:color w:val="000000" w:themeColor="text1"/>
        </w:rPr>
        <w:t>5</w:t>
      </w:r>
      <w:r w:rsidR="00543757" w:rsidRPr="000020AA">
        <w:rPr>
          <w:color w:val="000000" w:themeColor="text1"/>
        </w:rPr>
        <w:t xml:space="preserve"> billion </w:t>
      </w:r>
      <w:r w:rsidR="00860161">
        <w:rPr>
          <w:color w:val="000000" w:themeColor="text1"/>
        </w:rPr>
        <w:t>in January 2022</w:t>
      </w:r>
      <w:r w:rsidR="001210CB">
        <w:rPr>
          <w:color w:val="000000" w:themeColor="text1"/>
        </w:rPr>
        <w:t>)</w:t>
      </w:r>
      <w:r w:rsidR="00522C53">
        <w:rPr>
          <w:color w:val="000000" w:themeColor="text1"/>
        </w:rPr>
        <w:t xml:space="preserve">; or </w:t>
      </w:r>
      <w:r w:rsidR="008D3207">
        <w:rPr>
          <w:color w:val="000000" w:themeColor="text1"/>
        </w:rPr>
        <w:t xml:space="preserve">new firms who are </w:t>
      </w:r>
      <w:r w:rsidR="003F6736">
        <w:rPr>
          <w:color w:val="000000" w:themeColor="text1"/>
        </w:rPr>
        <w:t xml:space="preserve">not </w:t>
      </w:r>
      <w:r w:rsidR="001D709E">
        <w:rPr>
          <w:color w:val="000000" w:themeColor="text1"/>
        </w:rPr>
        <w:t>yet</w:t>
      </w:r>
      <w:r w:rsidR="003F6736">
        <w:rPr>
          <w:color w:val="000000" w:themeColor="text1"/>
        </w:rPr>
        <w:t xml:space="preserve"> in the production stage; or </w:t>
      </w:r>
      <w:r w:rsidR="001D709E">
        <w:rPr>
          <w:color w:val="000000" w:themeColor="text1"/>
        </w:rPr>
        <w:t>certified-compliant taxpayers</w:t>
      </w:r>
      <w:r w:rsidR="00860161">
        <w:rPr>
          <w:color w:val="000000" w:themeColor="text1"/>
        </w:rPr>
        <w:t>.</w:t>
      </w:r>
      <w:r w:rsidR="00735699">
        <w:rPr>
          <w:color w:val="000000" w:themeColor="text1"/>
        </w:rPr>
        <w:t xml:space="preserve"> </w:t>
      </w:r>
      <w:r w:rsidR="00F0597A">
        <w:rPr>
          <w:color w:val="000000" w:themeColor="text1"/>
        </w:rPr>
        <w:t>The fast-track refund does</w:t>
      </w:r>
      <w:r w:rsidR="000D701C">
        <w:rPr>
          <w:color w:val="000000" w:themeColor="text1"/>
        </w:rPr>
        <w:t xml:space="preserve"> not </w:t>
      </w:r>
      <w:r w:rsidR="00FE2144">
        <w:rPr>
          <w:color w:val="000000" w:themeColor="text1"/>
        </w:rPr>
        <w:t>require audit and takes</w:t>
      </w:r>
      <w:r w:rsidR="00735699">
        <w:rPr>
          <w:color w:val="000000" w:themeColor="text1"/>
        </w:rPr>
        <w:t xml:space="preserve"> </w:t>
      </w:r>
      <w:r w:rsidR="00756F53">
        <w:t xml:space="preserve">only </w:t>
      </w:r>
      <w:r w:rsidR="00F14B7E">
        <w:rPr>
          <w:color w:val="000000" w:themeColor="text1"/>
        </w:rPr>
        <w:t>one</w:t>
      </w:r>
      <w:r w:rsidR="00756F53">
        <w:rPr>
          <w:color w:val="000000" w:themeColor="text1"/>
        </w:rPr>
        <w:t xml:space="preserve"> month </w:t>
      </w:r>
      <w:r w:rsidR="00FE2144">
        <w:rPr>
          <w:color w:val="000000" w:themeColor="text1"/>
        </w:rPr>
        <w:t xml:space="preserve">for </w:t>
      </w:r>
      <w:r w:rsidR="00B63773">
        <w:rPr>
          <w:color w:val="000000" w:themeColor="text1"/>
        </w:rPr>
        <w:t xml:space="preserve">taxpayers </w:t>
      </w:r>
      <w:r w:rsidR="002E48B2">
        <w:rPr>
          <w:color w:val="000000" w:themeColor="text1"/>
        </w:rPr>
        <w:t xml:space="preserve">to receive </w:t>
      </w:r>
      <w:r w:rsidR="006C5993">
        <w:rPr>
          <w:color w:val="000000" w:themeColor="text1"/>
        </w:rPr>
        <w:t xml:space="preserve">their </w:t>
      </w:r>
      <w:r w:rsidR="008F75EE">
        <w:rPr>
          <w:color w:val="000000" w:themeColor="text1"/>
        </w:rPr>
        <w:t>refunds.</w:t>
      </w:r>
      <w:r w:rsidR="00C52888">
        <w:rPr>
          <w:color w:val="000000" w:themeColor="text1"/>
        </w:rPr>
        <w:t xml:space="preserve"> </w:t>
      </w:r>
      <w:r w:rsidR="00F14B7E">
        <w:rPr>
          <w:color w:val="000000" w:themeColor="text1"/>
        </w:rPr>
        <w:t>The</w:t>
      </w:r>
      <w:r w:rsidR="00CB4D3E" w:rsidRPr="00FE2144">
        <w:rPr>
          <w:color w:val="000000" w:themeColor="text1"/>
        </w:rPr>
        <w:t xml:space="preserve"> overall </w:t>
      </w:r>
      <w:r w:rsidR="00573417" w:rsidRPr="00FE2144">
        <w:rPr>
          <w:color w:val="000000" w:themeColor="text1"/>
        </w:rPr>
        <w:t>tax administrative data</w:t>
      </w:r>
      <w:r w:rsidR="00452A9C">
        <w:rPr>
          <w:color w:val="000000" w:themeColor="text1"/>
        </w:rPr>
        <w:t xml:space="preserve"> show</w:t>
      </w:r>
      <w:r w:rsidR="00F14B7E">
        <w:rPr>
          <w:color w:val="000000" w:themeColor="text1"/>
        </w:rPr>
        <w:t>, however,</w:t>
      </w:r>
      <w:r w:rsidR="00452A9C">
        <w:rPr>
          <w:color w:val="000000" w:themeColor="text1"/>
        </w:rPr>
        <w:t xml:space="preserve"> that </w:t>
      </w:r>
      <w:r w:rsidR="0067501E">
        <w:rPr>
          <w:color w:val="000000" w:themeColor="text1"/>
        </w:rPr>
        <w:t xml:space="preserve">since 2019, over 60 percent of </w:t>
      </w:r>
      <w:r w:rsidR="00594362">
        <w:rPr>
          <w:color w:val="000000" w:themeColor="text1"/>
        </w:rPr>
        <w:t xml:space="preserve">the administration’s audit resources are allocated to </w:t>
      </w:r>
      <w:r w:rsidR="00883023">
        <w:rPr>
          <w:color w:val="000000" w:themeColor="text1"/>
        </w:rPr>
        <w:t>routine audit</w:t>
      </w:r>
      <w:r w:rsidR="006D69B5">
        <w:rPr>
          <w:color w:val="000000" w:themeColor="text1"/>
        </w:rPr>
        <w:t>s</w:t>
      </w:r>
      <w:r w:rsidR="00F14B7E">
        <w:rPr>
          <w:rFonts w:cstheme="minorHAnsi"/>
          <w:color w:val="000000" w:themeColor="text1"/>
        </w:rPr>
        <w:t>–</w:t>
      </w:r>
      <w:r w:rsidR="007322AF">
        <w:rPr>
          <w:color w:val="000000" w:themeColor="text1"/>
        </w:rPr>
        <w:t>mostly driven by a</w:t>
      </w:r>
      <w:r w:rsidR="00613F1D">
        <w:rPr>
          <w:color w:val="000000" w:themeColor="text1"/>
        </w:rPr>
        <w:t>udit cases.</w:t>
      </w:r>
      <w:r w:rsidR="00740A0D">
        <w:rPr>
          <w:color w:val="000000" w:themeColor="text1"/>
        </w:rPr>
        <w:t xml:space="preserve"> </w:t>
      </w:r>
      <w:r w:rsidR="0007204B">
        <w:rPr>
          <w:color w:val="000000" w:themeColor="text1"/>
        </w:rPr>
        <w:t xml:space="preserve">This signals </w:t>
      </w:r>
      <w:r w:rsidR="00613150">
        <w:rPr>
          <w:color w:val="000000" w:themeColor="text1"/>
        </w:rPr>
        <w:t>a transition away from risk-based audit</w:t>
      </w:r>
      <w:r w:rsidR="00933266">
        <w:rPr>
          <w:color w:val="000000" w:themeColor="text1"/>
        </w:rPr>
        <w:t>s.</w:t>
      </w:r>
    </w:p>
    <w:p w14:paraId="7A382D24" w14:textId="7A42FFE0" w:rsidR="00ED048E" w:rsidRDefault="00F369EF" w:rsidP="008746FC">
      <w:pPr>
        <w:pStyle w:val="ListParagraph"/>
        <w:numPr>
          <w:ilvl w:val="0"/>
          <w:numId w:val="12"/>
        </w:numPr>
        <w:spacing w:before="120"/>
        <w:ind w:left="0" w:firstLine="0"/>
        <w:contextualSpacing w:val="0"/>
        <w:jc w:val="both"/>
      </w:pPr>
      <w:r>
        <w:rPr>
          <w:b/>
          <w:bCs/>
        </w:rPr>
        <w:t xml:space="preserve">Access to the accurate </w:t>
      </w:r>
      <w:r w:rsidR="00DC4EC2">
        <w:rPr>
          <w:b/>
          <w:bCs/>
        </w:rPr>
        <w:t xml:space="preserve">and timely </w:t>
      </w:r>
      <w:r w:rsidR="00CE10AC">
        <w:rPr>
          <w:b/>
          <w:bCs/>
        </w:rPr>
        <w:t>reporting</w:t>
      </w:r>
      <w:r w:rsidR="00DD4BAF">
        <w:rPr>
          <w:b/>
          <w:bCs/>
        </w:rPr>
        <w:t xml:space="preserve"> of third-party data</w:t>
      </w:r>
      <w:r w:rsidR="00A42277">
        <w:rPr>
          <w:b/>
          <w:bCs/>
        </w:rPr>
        <w:t xml:space="preserve"> is critical to </w:t>
      </w:r>
      <w:proofErr w:type="gramStart"/>
      <w:r w:rsidR="00CD4F3D">
        <w:rPr>
          <w:b/>
          <w:bCs/>
        </w:rPr>
        <w:t>improve</w:t>
      </w:r>
      <w:proofErr w:type="gramEnd"/>
      <w:r w:rsidR="00CD4F3D">
        <w:rPr>
          <w:b/>
          <w:bCs/>
        </w:rPr>
        <w:t xml:space="preserve"> tax enforcement</w:t>
      </w:r>
      <w:r w:rsidR="0048109D" w:rsidRPr="009C19DD">
        <w:rPr>
          <w:b/>
          <w:bCs/>
        </w:rPr>
        <w:t>.</w:t>
      </w:r>
      <w:r w:rsidR="00055AF2">
        <w:t xml:space="preserve"> </w:t>
      </w:r>
      <w:r w:rsidR="00F14B7E">
        <w:t>A s</w:t>
      </w:r>
      <w:r w:rsidR="00055AF2">
        <w:t xml:space="preserve">elf-assessment tax system largely depends on a comprehensive set of high-quality data </w:t>
      </w:r>
      <w:r w:rsidR="00B67CB1">
        <w:t xml:space="preserve">to verify </w:t>
      </w:r>
      <w:r w:rsidR="00F14B7E">
        <w:t xml:space="preserve">a </w:t>
      </w:r>
      <w:r w:rsidR="00B67CB1">
        <w:t xml:space="preserve">taxpayer </w:t>
      </w:r>
      <w:r w:rsidR="00A55900">
        <w:t xml:space="preserve">declaration. </w:t>
      </w:r>
      <w:r w:rsidR="0080464C">
        <w:t xml:space="preserve">The </w:t>
      </w:r>
      <w:r w:rsidR="0026601D">
        <w:t>example</w:t>
      </w:r>
      <w:r w:rsidR="0080464C">
        <w:t xml:space="preserve"> of Poland</w:t>
      </w:r>
      <w:r w:rsidR="00ED7070">
        <w:t xml:space="preserve"> </w:t>
      </w:r>
      <w:r w:rsidR="00ED7070" w:rsidRPr="004E0254">
        <w:rPr>
          <w:color w:val="000000" w:themeColor="text1"/>
        </w:rPr>
        <w:t>(</w:t>
      </w:r>
      <w:r w:rsidR="0097259B">
        <w:rPr>
          <w:color w:val="000000" w:themeColor="text1"/>
        </w:rPr>
        <w:t>A</w:t>
      </w:r>
      <w:r w:rsidR="00AC2F3D">
        <w:rPr>
          <w:color w:val="000000" w:themeColor="text1"/>
        </w:rPr>
        <w:t>ppendix</w:t>
      </w:r>
      <w:r w:rsidR="0097259B">
        <w:rPr>
          <w:color w:val="000000" w:themeColor="text1"/>
        </w:rPr>
        <w:t xml:space="preserve"> 8</w:t>
      </w:r>
      <w:r w:rsidR="00ED7070" w:rsidRPr="004E0254">
        <w:rPr>
          <w:color w:val="000000" w:themeColor="text1"/>
        </w:rPr>
        <w:t>)</w:t>
      </w:r>
      <w:r w:rsidR="0080464C" w:rsidRPr="004E0254">
        <w:rPr>
          <w:color w:val="000000" w:themeColor="text1"/>
        </w:rPr>
        <w:t xml:space="preserve"> </w:t>
      </w:r>
      <w:r w:rsidR="00A90075" w:rsidRPr="004E0254">
        <w:rPr>
          <w:color w:val="000000" w:themeColor="text1"/>
        </w:rPr>
        <w:t xml:space="preserve">highlights </w:t>
      </w:r>
      <w:r w:rsidR="00A40EB7" w:rsidRPr="004E0254">
        <w:rPr>
          <w:color w:val="000000" w:themeColor="text1"/>
        </w:rPr>
        <w:t xml:space="preserve">the importance of </w:t>
      </w:r>
      <w:r w:rsidR="00763A11" w:rsidRPr="004E0254">
        <w:rPr>
          <w:color w:val="000000" w:themeColor="text1"/>
        </w:rPr>
        <w:t xml:space="preserve">timely access to good quality </w:t>
      </w:r>
      <w:r w:rsidR="00884C98" w:rsidRPr="004E0254">
        <w:rPr>
          <w:color w:val="000000" w:themeColor="text1"/>
        </w:rPr>
        <w:t>third-party data</w:t>
      </w:r>
      <w:r w:rsidR="0021323D" w:rsidRPr="004E0254">
        <w:rPr>
          <w:color w:val="000000" w:themeColor="text1"/>
        </w:rPr>
        <w:t xml:space="preserve"> (</w:t>
      </w:r>
      <w:r w:rsidR="00F37D95">
        <w:rPr>
          <w:color w:val="000000" w:themeColor="text1"/>
        </w:rPr>
        <w:t>for example</w:t>
      </w:r>
      <w:r w:rsidR="001D6D3C" w:rsidRPr="004E0254">
        <w:rPr>
          <w:color w:val="000000" w:themeColor="text1"/>
        </w:rPr>
        <w:t>,</w:t>
      </w:r>
      <w:r w:rsidR="0021323D" w:rsidRPr="004E0254">
        <w:rPr>
          <w:color w:val="000000" w:themeColor="text1"/>
        </w:rPr>
        <w:t xml:space="preserve"> </w:t>
      </w:r>
      <w:r w:rsidR="004349DB" w:rsidRPr="004E0254">
        <w:rPr>
          <w:color w:val="000000" w:themeColor="text1"/>
        </w:rPr>
        <w:t xml:space="preserve">daily </w:t>
      </w:r>
      <w:r w:rsidR="0021323D" w:rsidRPr="004E0254">
        <w:rPr>
          <w:color w:val="000000" w:themeColor="text1"/>
        </w:rPr>
        <w:t>cash-flow</w:t>
      </w:r>
      <w:r w:rsidR="004349DB" w:rsidRPr="004E0254">
        <w:rPr>
          <w:color w:val="000000" w:themeColor="text1"/>
        </w:rPr>
        <w:t xml:space="preserve"> </w:t>
      </w:r>
      <w:r w:rsidR="004349DB">
        <w:t>information reported by banks)</w:t>
      </w:r>
      <w:r w:rsidR="00564E3F">
        <w:t xml:space="preserve"> which is crucial for the audit and compliance function</w:t>
      </w:r>
      <w:r w:rsidR="007C0F5E">
        <w:t xml:space="preserve">. </w:t>
      </w:r>
      <w:r w:rsidR="00BB6273">
        <w:t>The a</w:t>
      </w:r>
      <w:r w:rsidR="00197E49">
        <w:t xml:space="preserve">uthorities have embarked </w:t>
      </w:r>
      <w:r w:rsidR="00FF6E3D">
        <w:t xml:space="preserve">on </w:t>
      </w:r>
      <w:r w:rsidR="00B82A60">
        <w:t xml:space="preserve">two reforms </w:t>
      </w:r>
      <w:r w:rsidR="00D70165">
        <w:t xml:space="preserve">that </w:t>
      </w:r>
      <w:r w:rsidR="002236BE">
        <w:t xml:space="preserve">help incorporate </w:t>
      </w:r>
      <w:r w:rsidR="00C80BF6">
        <w:t>third</w:t>
      </w:r>
      <w:r w:rsidR="005A1A48">
        <w:t>-party data</w:t>
      </w:r>
      <w:r w:rsidR="006B573B">
        <w:t xml:space="preserve"> </w:t>
      </w:r>
      <w:r w:rsidR="00BF7DE4">
        <w:t xml:space="preserve">into </w:t>
      </w:r>
      <w:r w:rsidR="004F0E55">
        <w:t xml:space="preserve">the tax administration. </w:t>
      </w:r>
      <w:r w:rsidR="002E331B">
        <w:t xml:space="preserve">First, </w:t>
      </w:r>
      <w:r w:rsidR="005335DC">
        <w:t>the</w:t>
      </w:r>
      <w:r w:rsidR="00E138E3">
        <w:t xml:space="preserve"> replacement </w:t>
      </w:r>
      <w:r w:rsidR="00E138E3" w:rsidRPr="00F14B7E">
        <w:t>of</w:t>
      </w:r>
      <w:r w:rsidR="005335DC" w:rsidRPr="00F14B7E">
        <w:t xml:space="preserve"> </w:t>
      </w:r>
      <w:r w:rsidR="00F14B7E" w:rsidRPr="00F14B7E">
        <w:t xml:space="preserve">a </w:t>
      </w:r>
      <w:r w:rsidR="005335DC" w:rsidRPr="00F14B7E">
        <w:t>tax identification number</w:t>
      </w:r>
      <w:r w:rsidR="00C1266B" w:rsidRPr="00F14B7E">
        <w:t xml:space="preserve"> with the </w:t>
      </w:r>
      <w:r w:rsidR="00B76EEA" w:rsidRPr="00F14B7E">
        <w:t xml:space="preserve">national identification number </w:t>
      </w:r>
      <w:r w:rsidR="00520708" w:rsidRPr="00F14B7E">
        <w:t>lays the foundation for better</w:t>
      </w:r>
      <w:r w:rsidR="00520708">
        <w:t xml:space="preserve"> data matching </w:t>
      </w:r>
      <w:r w:rsidR="00F80629">
        <w:t xml:space="preserve">from third parties. </w:t>
      </w:r>
      <w:r w:rsidR="00890CCE">
        <w:t xml:space="preserve">Second, </w:t>
      </w:r>
      <w:r w:rsidR="00EF4800">
        <w:t>t</w:t>
      </w:r>
      <w:r w:rsidR="00D9661D">
        <w:t xml:space="preserve">he </w:t>
      </w:r>
      <w:r w:rsidR="00AA3BF9">
        <w:t>implementation of</w:t>
      </w:r>
      <w:r w:rsidR="00D9661D">
        <w:t xml:space="preserve"> </w:t>
      </w:r>
      <w:r w:rsidR="00F14B7E">
        <w:t xml:space="preserve">the </w:t>
      </w:r>
      <w:r w:rsidR="00D9661D">
        <w:t xml:space="preserve">Core </w:t>
      </w:r>
      <w:r w:rsidR="00F10680">
        <w:t xml:space="preserve">Tax System in 2024 </w:t>
      </w:r>
      <w:r w:rsidR="00982A33">
        <w:t>will vastly improve</w:t>
      </w:r>
      <w:r w:rsidR="001C6D88">
        <w:t xml:space="preserve"> </w:t>
      </w:r>
      <w:r w:rsidR="009F19CD">
        <w:t>DGT’s</w:t>
      </w:r>
      <w:r w:rsidR="001C6D88">
        <w:t xml:space="preserve"> capacity to handle third</w:t>
      </w:r>
      <w:r w:rsidR="00F14B7E">
        <w:t>-</w:t>
      </w:r>
      <w:r w:rsidR="001C6D88">
        <w:t>party data</w:t>
      </w:r>
      <w:r w:rsidR="0015102F">
        <w:t xml:space="preserve">, such as having live data integration with </w:t>
      </w:r>
      <w:r w:rsidR="009F19CD">
        <w:t xml:space="preserve">the </w:t>
      </w:r>
      <w:r w:rsidR="00B20733">
        <w:t xml:space="preserve">civil registry. </w:t>
      </w:r>
    </w:p>
    <w:p w14:paraId="73155E3B" w14:textId="3D2B0B3E" w:rsidR="006259F7" w:rsidRPr="00513162" w:rsidRDefault="00D70C24" w:rsidP="00957E31">
      <w:pPr>
        <w:pStyle w:val="ListParagraph"/>
        <w:numPr>
          <w:ilvl w:val="0"/>
          <w:numId w:val="12"/>
        </w:numPr>
        <w:spacing w:before="120"/>
        <w:ind w:left="0" w:firstLine="0"/>
        <w:contextualSpacing w:val="0"/>
        <w:jc w:val="both"/>
      </w:pPr>
      <w:r w:rsidRPr="00513162">
        <w:rPr>
          <w:b/>
          <w:bCs/>
        </w:rPr>
        <w:t>While the overarching legal framework has been established, regulatory challenges and incentive</w:t>
      </w:r>
      <w:r w:rsidR="005B3675" w:rsidRPr="00513162">
        <w:rPr>
          <w:b/>
          <w:bCs/>
        </w:rPr>
        <w:t xml:space="preserve"> misalignment</w:t>
      </w:r>
      <w:r w:rsidRPr="00513162">
        <w:rPr>
          <w:b/>
          <w:bCs/>
        </w:rPr>
        <w:t xml:space="preserve"> hinder the implementation of third-party data sharing across institutions</w:t>
      </w:r>
      <w:r w:rsidR="004C679B" w:rsidRPr="00513162">
        <w:rPr>
          <w:b/>
          <w:bCs/>
        </w:rPr>
        <w:t>.</w:t>
      </w:r>
      <w:r w:rsidR="00962746" w:rsidRPr="00513162">
        <w:t xml:space="preserve"> </w:t>
      </w:r>
      <w:r w:rsidR="008A0D95" w:rsidRPr="00513162">
        <w:t>M</w:t>
      </w:r>
      <w:r w:rsidR="00AC2F3D">
        <w:t>inister of Finance</w:t>
      </w:r>
      <w:r w:rsidR="00A263DC" w:rsidRPr="00513162">
        <w:t xml:space="preserve"> Regulation No. 228/2017 requires 69 types of third parties to share data with DGT</w:t>
      </w:r>
      <w:r w:rsidR="007D7C3F" w:rsidRPr="00513162">
        <w:t xml:space="preserve">. These </w:t>
      </w:r>
      <w:r w:rsidR="0067061E" w:rsidRPr="00513162">
        <w:t xml:space="preserve">include </w:t>
      </w:r>
      <w:r w:rsidR="007D7C3F" w:rsidRPr="00513162">
        <w:t xml:space="preserve">asset data across different ministries, civil registration data, </w:t>
      </w:r>
      <w:r w:rsidR="00F14B7E">
        <w:t xml:space="preserve">and </w:t>
      </w:r>
      <w:r w:rsidR="007D7C3F" w:rsidRPr="00513162">
        <w:t xml:space="preserve">financial sector data from </w:t>
      </w:r>
      <w:r w:rsidR="0067061E" w:rsidRPr="00513162">
        <w:t xml:space="preserve">the </w:t>
      </w:r>
      <w:r w:rsidR="007D7C3F" w:rsidRPr="00513162">
        <w:t>government</w:t>
      </w:r>
      <w:r w:rsidR="00F14B7E">
        <w:t xml:space="preserve"> and</w:t>
      </w:r>
      <w:r w:rsidR="0067061E" w:rsidRPr="00513162">
        <w:t xml:space="preserve"> </w:t>
      </w:r>
      <w:r w:rsidR="007D7C3F" w:rsidRPr="00513162">
        <w:t>private sector</w:t>
      </w:r>
      <w:r w:rsidR="0067061E" w:rsidRPr="00513162">
        <w:t xml:space="preserve">. </w:t>
      </w:r>
      <w:r w:rsidR="00E02AA1" w:rsidRPr="00513162">
        <w:t xml:space="preserve">While this regulation represents the important first step, </w:t>
      </w:r>
      <w:r w:rsidR="005A496D" w:rsidRPr="00513162">
        <w:t>i</w:t>
      </w:r>
      <w:r w:rsidR="00E87A85" w:rsidRPr="00513162">
        <w:t xml:space="preserve">nconsistent and conflicting regulations across institutions prevent DGT from accessing </w:t>
      </w:r>
      <w:r w:rsidR="006D5D4F" w:rsidRPr="00513162">
        <w:t xml:space="preserve">many </w:t>
      </w:r>
      <w:r w:rsidR="005A496D" w:rsidRPr="00513162">
        <w:t xml:space="preserve">external </w:t>
      </w:r>
      <w:r w:rsidR="00E87A85" w:rsidRPr="00513162">
        <w:lastRenderedPageBreak/>
        <w:t xml:space="preserve">data sources. For example, </w:t>
      </w:r>
      <w:r w:rsidR="0044498B" w:rsidRPr="009252C7">
        <w:t xml:space="preserve">the </w:t>
      </w:r>
      <w:r w:rsidR="00F14B7E">
        <w:t>p</w:t>
      </w:r>
      <w:r w:rsidR="0044498B" w:rsidRPr="009252C7">
        <w:t xml:space="preserve">olice </w:t>
      </w:r>
      <w:r w:rsidR="0044498B" w:rsidRPr="00513162">
        <w:t>do not share car ownership data with DGT</w:t>
      </w:r>
      <w:r w:rsidR="0020389B" w:rsidRPr="00513162">
        <w:t xml:space="preserve">, citing an exception to the Freedom of Public Information Law and </w:t>
      </w:r>
      <w:proofErr w:type="gramStart"/>
      <w:r w:rsidR="0020389B" w:rsidRPr="00513162">
        <w:t>an internal</w:t>
      </w:r>
      <w:proofErr w:type="gramEnd"/>
      <w:r w:rsidR="0020389B" w:rsidRPr="00513162">
        <w:t xml:space="preserve"> </w:t>
      </w:r>
      <w:r w:rsidR="00F14B7E">
        <w:t>p</w:t>
      </w:r>
      <w:r w:rsidR="00957E31" w:rsidRPr="00513162">
        <w:t xml:space="preserve">olice regulation. Similarly, </w:t>
      </w:r>
      <w:r w:rsidR="00E87A85" w:rsidRPr="00513162">
        <w:t xml:space="preserve">data from the Financial </w:t>
      </w:r>
      <w:r w:rsidR="00D66452">
        <w:t>Transaction Analysis and Reporting Center</w:t>
      </w:r>
      <w:r w:rsidR="00E87A85" w:rsidRPr="00513162">
        <w:t xml:space="preserve"> can only be</w:t>
      </w:r>
      <w:r w:rsidR="00962746" w:rsidRPr="00513162">
        <w:t xml:space="preserve"> </w:t>
      </w:r>
      <w:r w:rsidR="00FE459C" w:rsidRPr="00513162">
        <w:t>use</w:t>
      </w:r>
      <w:r w:rsidR="00962746" w:rsidRPr="00513162">
        <w:t xml:space="preserve">d </w:t>
      </w:r>
      <w:r w:rsidR="00635493" w:rsidRPr="00513162">
        <w:t>for investigating tax crimes. Moreover, third parties often do not have strong incentives to share their data (or disincentives not to share data). This can be addressed by having standardized Memoranda of Understanding for clear incentives structures. Brazil was able to integrate several government and nongovernment databases through the implementation of such incentives</w:t>
      </w:r>
      <w:r w:rsidR="00FE459C" w:rsidRPr="00513162">
        <w:t>.</w:t>
      </w:r>
      <w:r w:rsidR="00E35CCC" w:rsidRPr="00513162">
        <w:t xml:space="preserve"> Reforms in the </w:t>
      </w:r>
      <w:r w:rsidR="00F24FA1" w:rsidRPr="00513162">
        <w:t>use of third-party data will also</w:t>
      </w:r>
      <w:r w:rsidR="005B4DE4" w:rsidRPr="00513162">
        <w:t xml:space="preserve"> improve the predictability of DG</w:t>
      </w:r>
      <w:r w:rsidR="00AC2F3D">
        <w:t>T</w:t>
      </w:r>
      <w:r w:rsidR="005B4DE4" w:rsidRPr="00513162">
        <w:t>’s CRM model</w:t>
      </w:r>
      <w:r w:rsidR="00F14B7E">
        <w:rPr>
          <w:rFonts w:cstheme="minorHAnsi"/>
        </w:rPr>
        <w:t>–</w:t>
      </w:r>
      <w:r w:rsidR="00A7344D" w:rsidRPr="00513162">
        <w:t xml:space="preserve">as previously noted in </w:t>
      </w:r>
      <w:r w:rsidR="00F14B7E">
        <w:t>the s</w:t>
      </w:r>
      <w:r w:rsidR="00A7344D" w:rsidRPr="00513162">
        <w:t xml:space="preserve">ubchapter </w:t>
      </w:r>
      <w:r w:rsidR="00513162" w:rsidRPr="00513162">
        <w:t>CIT’s Administration and Compliance).</w:t>
      </w:r>
    </w:p>
    <w:p w14:paraId="4BAFE6B2" w14:textId="77777777" w:rsidR="005E2EDA" w:rsidRDefault="005E2EDA">
      <w:pPr>
        <w:rPr>
          <w:rFonts w:asciiTheme="majorHAnsi" w:eastAsiaTheme="majorEastAsia" w:hAnsiTheme="majorHAnsi" w:cstheme="majorBidi"/>
          <w:color w:val="2F5496" w:themeColor="accent1" w:themeShade="BF"/>
          <w:sz w:val="32"/>
          <w:szCs w:val="32"/>
        </w:rPr>
      </w:pPr>
      <w:r>
        <w:br w:type="page"/>
      </w:r>
    </w:p>
    <w:p w14:paraId="7CDEEEC6" w14:textId="7B17CDBC" w:rsidR="00665049" w:rsidRDefault="00344D71" w:rsidP="00873C94">
      <w:pPr>
        <w:pStyle w:val="Heading1"/>
        <w:spacing w:after="240"/>
        <w:ind w:left="0" w:firstLine="0"/>
      </w:pPr>
      <w:bookmarkStart w:id="54" w:name="_Toc177819052"/>
      <w:r>
        <w:lastRenderedPageBreak/>
        <w:t xml:space="preserve">Section </w:t>
      </w:r>
      <w:r w:rsidR="00665049">
        <w:t>5</w:t>
      </w:r>
      <w:r w:rsidR="00665049" w:rsidRPr="00B71B7B">
        <w:t xml:space="preserve">. </w:t>
      </w:r>
      <w:r w:rsidR="00665049">
        <w:t>Summary and Recommendations</w:t>
      </w:r>
      <w:bookmarkEnd w:id="54"/>
    </w:p>
    <w:p w14:paraId="0BC85EF3" w14:textId="0E4A7844" w:rsidR="00922056" w:rsidRPr="008930E5" w:rsidRDefault="001B4840" w:rsidP="007A5685">
      <w:pPr>
        <w:pStyle w:val="ListParagraph"/>
        <w:numPr>
          <w:ilvl w:val="0"/>
          <w:numId w:val="12"/>
        </w:numPr>
        <w:spacing w:before="120"/>
        <w:ind w:left="0" w:firstLine="0"/>
        <w:contextualSpacing w:val="0"/>
        <w:jc w:val="both"/>
      </w:pPr>
      <w:r w:rsidRPr="008930E5">
        <w:rPr>
          <w:b/>
          <w:bCs/>
        </w:rPr>
        <w:t xml:space="preserve">The revenue collected from </w:t>
      </w:r>
      <w:r w:rsidR="00450D4E" w:rsidRPr="008930E5">
        <w:rPr>
          <w:b/>
          <w:bCs/>
        </w:rPr>
        <w:t xml:space="preserve">the CIT, AFT, and VAT </w:t>
      </w:r>
      <w:r w:rsidR="00E1625D" w:rsidRPr="008930E5">
        <w:rPr>
          <w:b/>
          <w:bCs/>
        </w:rPr>
        <w:t xml:space="preserve">is </w:t>
      </w:r>
      <w:r w:rsidRPr="008930E5">
        <w:rPr>
          <w:b/>
          <w:bCs/>
        </w:rPr>
        <w:t xml:space="preserve">significant but </w:t>
      </w:r>
      <w:r w:rsidR="000506C4" w:rsidRPr="008930E5">
        <w:rPr>
          <w:b/>
          <w:bCs/>
        </w:rPr>
        <w:t xml:space="preserve">Indonesia’s </w:t>
      </w:r>
      <w:r w:rsidRPr="008930E5">
        <w:rPr>
          <w:b/>
          <w:bCs/>
        </w:rPr>
        <w:t xml:space="preserve">efficiency in collecting them has been low. </w:t>
      </w:r>
      <w:r w:rsidRPr="008930E5">
        <w:t xml:space="preserve">In the past </w:t>
      </w:r>
      <w:r w:rsidR="004E184A" w:rsidRPr="008930E5">
        <w:t xml:space="preserve">three </w:t>
      </w:r>
      <w:r w:rsidRPr="008930E5">
        <w:t xml:space="preserve">decades, </w:t>
      </w:r>
      <w:r w:rsidR="00450D4E" w:rsidRPr="008930E5">
        <w:t xml:space="preserve">these taxes </w:t>
      </w:r>
      <w:r w:rsidRPr="008930E5">
        <w:t xml:space="preserve">have become the key source of </w:t>
      </w:r>
      <w:r w:rsidR="004022C1" w:rsidRPr="008930E5">
        <w:t xml:space="preserve">public </w:t>
      </w:r>
      <w:r w:rsidRPr="008930E5">
        <w:t>revenue</w:t>
      </w:r>
      <w:r w:rsidR="004022C1" w:rsidRPr="008930E5">
        <w:t>s in Indonesia</w:t>
      </w:r>
      <w:r w:rsidR="004465B6" w:rsidRPr="0083648C">
        <w:rPr>
          <w:rFonts w:cstheme="minorHAnsi"/>
        </w:rPr>
        <w:t>–</w:t>
      </w:r>
      <w:r w:rsidRPr="008930E5">
        <w:t>account</w:t>
      </w:r>
      <w:r w:rsidR="008C59C8" w:rsidRPr="008930E5">
        <w:t>ing</w:t>
      </w:r>
      <w:r w:rsidRPr="008930E5">
        <w:t xml:space="preserve"> for two-thirds of </w:t>
      </w:r>
      <w:r w:rsidR="00EC29C1" w:rsidRPr="008930E5">
        <w:t>total</w:t>
      </w:r>
      <w:r w:rsidR="003B2633" w:rsidRPr="008930E5">
        <w:t xml:space="preserve"> </w:t>
      </w:r>
      <w:r w:rsidRPr="008930E5">
        <w:t>tax</w:t>
      </w:r>
      <w:r w:rsidR="004022C1" w:rsidRPr="008930E5">
        <w:t>es</w:t>
      </w:r>
      <w:r w:rsidRPr="008930E5">
        <w:t>. However, the</w:t>
      </w:r>
      <w:r w:rsidR="00450D4E" w:rsidRPr="008930E5">
        <w:t>ir</w:t>
      </w:r>
      <w:r w:rsidRPr="008930E5">
        <w:t xml:space="preserve"> collection </w:t>
      </w:r>
      <w:r w:rsidR="00AE15C9" w:rsidRPr="008930E5">
        <w:t xml:space="preserve">efficiency </w:t>
      </w:r>
      <w:r w:rsidR="001067F5" w:rsidRPr="008930E5">
        <w:t xml:space="preserve">has </w:t>
      </w:r>
      <w:r w:rsidRPr="008930E5">
        <w:t>been low</w:t>
      </w:r>
      <w:r w:rsidR="00BD2101">
        <w:rPr>
          <w:rFonts w:cstheme="minorHAnsi"/>
        </w:rPr>
        <w:t xml:space="preserve">, </w:t>
      </w:r>
      <w:r w:rsidR="00AE15C9" w:rsidRPr="008930E5">
        <w:t xml:space="preserve">especially compared with </w:t>
      </w:r>
      <w:r w:rsidRPr="008930E5">
        <w:t xml:space="preserve">peer countries. </w:t>
      </w:r>
      <w:r w:rsidR="008F3B87" w:rsidRPr="008930E5">
        <w:t xml:space="preserve">The average of </w:t>
      </w:r>
      <w:r w:rsidRPr="008930E5">
        <w:t xml:space="preserve">Indonesia’s efficiency ratios </w:t>
      </w:r>
      <w:r w:rsidR="00B6659C" w:rsidRPr="008930E5">
        <w:t>has</w:t>
      </w:r>
      <w:r w:rsidR="00246091" w:rsidRPr="008930E5">
        <w:t xml:space="preserve"> been estimated at </w:t>
      </w:r>
      <w:r w:rsidRPr="008930E5">
        <w:t>0.2</w:t>
      </w:r>
      <w:r w:rsidR="000A3FD1">
        <w:t>5</w:t>
      </w:r>
      <w:r w:rsidRPr="008930E5">
        <w:t xml:space="preserve"> for </w:t>
      </w:r>
      <w:r w:rsidR="00246091" w:rsidRPr="008930E5">
        <w:t xml:space="preserve">the </w:t>
      </w:r>
      <w:r w:rsidRPr="008930E5">
        <w:t xml:space="preserve">CIT and 0.53 for </w:t>
      </w:r>
      <w:r w:rsidR="00246091" w:rsidRPr="008930E5">
        <w:t xml:space="preserve">the </w:t>
      </w:r>
      <w:r w:rsidRPr="008930E5">
        <w:t>VAT</w:t>
      </w:r>
      <w:r w:rsidR="004465B6" w:rsidRPr="0083648C">
        <w:rPr>
          <w:rFonts w:cstheme="minorHAnsi"/>
        </w:rPr>
        <w:t>–</w:t>
      </w:r>
      <w:r w:rsidR="00246091" w:rsidRPr="008930E5">
        <w:t>pointing to enormous lost revenue potential</w:t>
      </w:r>
      <w:r w:rsidRPr="008930E5">
        <w:t xml:space="preserve">. </w:t>
      </w:r>
      <w:r w:rsidR="003E306F" w:rsidRPr="008930E5">
        <w:t xml:space="preserve">Together, </w:t>
      </w:r>
      <w:r w:rsidRPr="008930E5">
        <w:t xml:space="preserve">revenue </w:t>
      </w:r>
      <w:r w:rsidR="00DF3035" w:rsidRPr="008930E5">
        <w:t xml:space="preserve">losses </w:t>
      </w:r>
      <w:r w:rsidRPr="008930E5">
        <w:t xml:space="preserve">due to the </w:t>
      </w:r>
      <w:r w:rsidR="00266ED8" w:rsidRPr="008930E5">
        <w:t xml:space="preserve">special treatments in </w:t>
      </w:r>
      <w:r w:rsidRPr="008930E5">
        <w:t xml:space="preserve">tax policy design and </w:t>
      </w:r>
      <w:r w:rsidR="00BA378D" w:rsidRPr="008930E5">
        <w:t xml:space="preserve">taxpayer </w:t>
      </w:r>
      <w:r w:rsidRPr="008930E5">
        <w:t xml:space="preserve">noncompliance </w:t>
      </w:r>
      <w:r w:rsidR="003051A1" w:rsidRPr="008930E5">
        <w:t xml:space="preserve">may </w:t>
      </w:r>
      <w:r w:rsidR="00BA378D" w:rsidRPr="008930E5">
        <w:t xml:space="preserve">be </w:t>
      </w:r>
      <w:r w:rsidRPr="008930E5">
        <w:t xml:space="preserve">as large as </w:t>
      </w:r>
      <w:r w:rsidR="003051A1" w:rsidRPr="008930E5">
        <w:t xml:space="preserve">total </w:t>
      </w:r>
      <w:r w:rsidR="002627B1" w:rsidRPr="008930E5">
        <w:t xml:space="preserve">revenues </w:t>
      </w:r>
      <w:r w:rsidRPr="008930E5">
        <w:t>collec</w:t>
      </w:r>
      <w:r w:rsidR="002627B1" w:rsidRPr="008930E5">
        <w:t>ted</w:t>
      </w:r>
      <w:r w:rsidRPr="008930E5">
        <w:t xml:space="preserve">. This </w:t>
      </w:r>
      <w:r w:rsidR="00B61C77" w:rsidRPr="008930E5">
        <w:t xml:space="preserve">paper has reviewed </w:t>
      </w:r>
      <w:r w:rsidR="000F48B5" w:rsidRPr="008930E5">
        <w:t xml:space="preserve">the core elements of Indonesia’s </w:t>
      </w:r>
      <w:r w:rsidR="000F52AB" w:rsidRPr="008930E5">
        <w:t xml:space="preserve">CIT, AFT, and VAT, and highlighted </w:t>
      </w:r>
      <w:r w:rsidR="00B7153A" w:rsidRPr="008930E5">
        <w:t>important challenges</w:t>
      </w:r>
      <w:r w:rsidR="00315D74" w:rsidRPr="008930E5">
        <w:t xml:space="preserve">, </w:t>
      </w:r>
      <w:r w:rsidR="00B7153A" w:rsidRPr="008930E5">
        <w:t xml:space="preserve">including critical </w:t>
      </w:r>
      <w:r w:rsidR="00E812F5" w:rsidRPr="008930E5">
        <w:t xml:space="preserve">factors </w:t>
      </w:r>
      <w:r w:rsidRPr="008930E5">
        <w:t xml:space="preserve">that may </w:t>
      </w:r>
      <w:r w:rsidR="002C0904" w:rsidRPr="008930E5">
        <w:t xml:space="preserve">underpin weak collection </w:t>
      </w:r>
      <w:r w:rsidRPr="008930E5">
        <w:t>efficien</w:t>
      </w:r>
      <w:r w:rsidR="00E812F5" w:rsidRPr="008930E5">
        <w:t>c</w:t>
      </w:r>
      <w:r w:rsidR="002C0904" w:rsidRPr="008930E5">
        <w:t>y</w:t>
      </w:r>
      <w:r w:rsidRPr="008930E5">
        <w:t xml:space="preserve">. </w:t>
      </w:r>
    </w:p>
    <w:p w14:paraId="66109C3D" w14:textId="416D0900" w:rsidR="00B0333C" w:rsidRDefault="00E1282A" w:rsidP="0083648C">
      <w:pPr>
        <w:pStyle w:val="ListParagraph"/>
        <w:numPr>
          <w:ilvl w:val="0"/>
          <w:numId w:val="12"/>
        </w:numPr>
        <w:spacing w:before="120"/>
        <w:ind w:left="0" w:firstLine="0"/>
        <w:contextualSpacing w:val="0"/>
        <w:jc w:val="both"/>
      </w:pPr>
      <w:r w:rsidRPr="008930E5">
        <w:rPr>
          <w:b/>
          <w:bCs/>
        </w:rPr>
        <w:t xml:space="preserve">High </w:t>
      </w:r>
      <w:r w:rsidR="001B4840" w:rsidRPr="008930E5">
        <w:rPr>
          <w:b/>
          <w:bCs/>
        </w:rPr>
        <w:t>tax thresholds and numerous exem</w:t>
      </w:r>
      <w:r w:rsidR="001B4840" w:rsidRPr="0083648C">
        <w:rPr>
          <w:b/>
          <w:bCs/>
        </w:rPr>
        <w:t xml:space="preserve">ptions </w:t>
      </w:r>
      <w:r w:rsidR="0083648C" w:rsidRPr="0083648C">
        <w:rPr>
          <w:b/>
          <w:bCs/>
        </w:rPr>
        <w:t>entail that a</w:t>
      </w:r>
      <w:r w:rsidR="00C22D89" w:rsidRPr="0083648C">
        <w:rPr>
          <w:b/>
          <w:bCs/>
        </w:rPr>
        <w:t xml:space="preserve"> large share of Indonesian businesses </w:t>
      </w:r>
      <w:r w:rsidR="003E29D5" w:rsidRPr="0083648C">
        <w:rPr>
          <w:b/>
          <w:bCs/>
        </w:rPr>
        <w:t>fall</w:t>
      </w:r>
      <w:r w:rsidR="000813C8" w:rsidRPr="0083648C">
        <w:rPr>
          <w:b/>
          <w:bCs/>
        </w:rPr>
        <w:t xml:space="preserve"> outside </w:t>
      </w:r>
      <w:r w:rsidR="0083648C" w:rsidRPr="0083648C">
        <w:rPr>
          <w:b/>
          <w:bCs/>
        </w:rPr>
        <w:t xml:space="preserve">of </w:t>
      </w:r>
      <w:r w:rsidR="000813C8" w:rsidRPr="0083648C">
        <w:rPr>
          <w:b/>
          <w:bCs/>
        </w:rPr>
        <w:t xml:space="preserve">the </w:t>
      </w:r>
      <w:r w:rsidR="001B4840" w:rsidRPr="0083648C">
        <w:rPr>
          <w:b/>
          <w:bCs/>
        </w:rPr>
        <w:t xml:space="preserve">CIT and VAT </w:t>
      </w:r>
      <w:r w:rsidR="0083648C" w:rsidRPr="0083648C">
        <w:rPr>
          <w:b/>
          <w:bCs/>
        </w:rPr>
        <w:t xml:space="preserve">tax bases. </w:t>
      </w:r>
      <w:r w:rsidR="001B4840">
        <w:t>The turnover threshold for mandatory VAT registration</w:t>
      </w:r>
      <w:r w:rsidR="0083648C">
        <w:t xml:space="preserve"> and for AFT eligibility–set at </w:t>
      </w:r>
      <w:r w:rsidR="001B4840">
        <w:t>R</w:t>
      </w:r>
      <w:r w:rsidR="0004266E">
        <w:t>p</w:t>
      </w:r>
      <w:r w:rsidR="001B4840">
        <w:t xml:space="preserve"> 4.8 billion (US</w:t>
      </w:r>
      <w:r w:rsidR="00CB262B">
        <w:t>$</w:t>
      </w:r>
      <w:r w:rsidR="001B4840">
        <w:t>320,000)</w:t>
      </w:r>
      <w:r w:rsidR="008930E5">
        <w:rPr>
          <w:rFonts w:cstheme="minorHAnsi"/>
        </w:rPr>
        <w:t>–</w:t>
      </w:r>
      <w:r w:rsidR="0083648C">
        <w:t>is far higher than in almost any other country</w:t>
      </w:r>
      <w:r w:rsidR="001B4840">
        <w:t xml:space="preserve">. </w:t>
      </w:r>
      <w:r w:rsidR="009F3D22">
        <w:t xml:space="preserve">Even within the CIT, significant tax </w:t>
      </w:r>
      <w:r w:rsidR="004339D8">
        <w:t>concessions are offered on the first R</w:t>
      </w:r>
      <w:r w:rsidR="0004266E">
        <w:t>p</w:t>
      </w:r>
      <w:r w:rsidR="004339D8">
        <w:t xml:space="preserve"> 4.8 billion of </w:t>
      </w:r>
      <w:r w:rsidR="004339D8" w:rsidRPr="004339D8">
        <w:t xml:space="preserve">revenue to all MSMEs. </w:t>
      </w:r>
      <w:r w:rsidR="0040406C" w:rsidRPr="004339D8">
        <w:t>Th</w:t>
      </w:r>
      <w:r w:rsidR="007548A6" w:rsidRPr="004339D8">
        <w:t>ese</w:t>
      </w:r>
      <w:r w:rsidR="0040406C" w:rsidRPr="004339D8">
        <w:t xml:space="preserve"> carve out</w:t>
      </w:r>
      <w:r w:rsidR="002D4E2E" w:rsidRPr="004339D8">
        <w:t>s</w:t>
      </w:r>
      <w:r w:rsidR="0040406C" w:rsidRPr="004339D8">
        <w:t xml:space="preserve"> for smaller firms </w:t>
      </w:r>
      <w:r w:rsidR="007548A6" w:rsidRPr="004339D8">
        <w:t xml:space="preserve">are </w:t>
      </w:r>
      <w:r w:rsidR="0040406C" w:rsidRPr="004339D8">
        <w:t xml:space="preserve">set at a level that is </w:t>
      </w:r>
      <w:r w:rsidR="00CB262B">
        <w:t>about</w:t>
      </w:r>
      <w:r w:rsidR="00D11988" w:rsidRPr="00E82594">
        <w:t xml:space="preserve"> 70 </w:t>
      </w:r>
      <w:r w:rsidR="0040406C" w:rsidRPr="004339D8">
        <w:t>times Indonesia’s GDP per capita</w:t>
      </w:r>
      <w:r w:rsidR="00165956">
        <w:rPr>
          <w:rFonts w:cstheme="minorHAnsi"/>
        </w:rPr>
        <w:t>–</w:t>
      </w:r>
      <w:r w:rsidR="005855B6" w:rsidRPr="004339D8">
        <w:t>greatly reducing participation in the</w:t>
      </w:r>
      <w:r w:rsidR="000D5682" w:rsidRPr="004339D8">
        <w:t xml:space="preserve"> standard CIT and VAT regimes</w:t>
      </w:r>
      <w:r w:rsidR="0040406C" w:rsidRPr="004339D8">
        <w:t xml:space="preserve">. </w:t>
      </w:r>
      <w:r w:rsidR="001B4840" w:rsidRPr="004339D8">
        <w:rPr>
          <w:rFonts w:cstheme="minorHAnsi"/>
          <w:color w:val="000000" w:themeColor="text1"/>
        </w:rPr>
        <w:t>Similarly</w:t>
      </w:r>
      <w:r w:rsidR="001B4840">
        <w:rPr>
          <w:rFonts w:cstheme="minorHAnsi"/>
          <w:color w:val="000000" w:themeColor="text1"/>
        </w:rPr>
        <w:t>, extensive VAT exemptions have been granted to final and intermediate consumption</w:t>
      </w:r>
      <w:r w:rsidR="00E82648">
        <w:rPr>
          <w:rFonts w:cstheme="minorHAnsi"/>
          <w:color w:val="000000" w:themeColor="text1"/>
        </w:rPr>
        <w:t xml:space="preserve"> items</w:t>
      </w:r>
      <w:r w:rsidR="001B4840">
        <w:rPr>
          <w:rFonts w:cstheme="minorHAnsi"/>
          <w:color w:val="000000" w:themeColor="text1"/>
        </w:rPr>
        <w:t xml:space="preserve">, </w:t>
      </w:r>
      <w:r w:rsidR="00EF0AD2">
        <w:rPr>
          <w:rFonts w:cstheme="minorHAnsi"/>
          <w:color w:val="000000" w:themeColor="text1"/>
        </w:rPr>
        <w:t xml:space="preserve">further </w:t>
      </w:r>
      <w:r w:rsidR="00E82648">
        <w:rPr>
          <w:rFonts w:cstheme="minorHAnsi"/>
          <w:color w:val="000000" w:themeColor="text1"/>
        </w:rPr>
        <w:t>narrow</w:t>
      </w:r>
      <w:r w:rsidR="00EF0AD2">
        <w:rPr>
          <w:rFonts w:cstheme="minorHAnsi"/>
          <w:color w:val="000000" w:themeColor="text1"/>
        </w:rPr>
        <w:t>ing</w:t>
      </w:r>
      <w:r w:rsidR="00E82648">
        <w:rPr>
          <w:rFonts w:cstheme="minorHAnsi"/>
          <w:color w:val="000000" w:themeColor="text1"/>
        </w:rPr>
        <w:t xml:space="preserve"> the tax </w:t>
      </w:r>
      <w:r w:rsidR="001068CA">
        <w:rPr>
          <w:rFonts w:cstheme="minorHAnsi"/>
          <w:color w:val="000000" w:themeColor="text1"/>
        </w:rPr>
        <w:t>base,</w:t>
      </w:r>
      <w:r w:rsidR="007F55B5">
        <w:rPr>
          <w:rFonts w:cstheme="minorHAnsi"/>
          <w:color w:val="000000" w:themeColor="text1"/>
        </w:rPr>
        <w:t xml:space="preserve"> and introducing economic distortions</w:t>
      </w:r>
      <w:r w:rsidR="00E82648">
        <w:rPr>
          <w:rFonts w:cstheme="minorHAnsi"/>
          <w:color w:val="000000" w:themeColor="text1"/>
        </w:rPr>
        <w:t xml:space="preserve">. </w:t>
      </w:r>
    </w:p>
    <w:tbl>
      <w:tblPr>
        <w:tblStyle w:val="TableGrid7"/>
        <w:tblW w:w="97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8"/>
        <w:gridCol w:w="4857"/>
      </w:tblGrid>
      <w:tr w:rsidR="00C35E84" w:rsidRPr="008455DB" w14:paraId="426DBF20" w14:textId="77777777" w:rsidTr="00713FC9">
        <w:trPr>
          <w:trHeight w:val="287"/>
        </w:trPr>
        <w:tc>
          <w:tcPr>
            <w:tcW w:w="4860" w:type="dxa"/>
          </w:tcPr>
          <w:p w14:paraId="01F4831D" w14:textId="797E6926" w:rsidR="00C35E84" w:rsidRPr="0083648C" w:rsidRDefault="00C35E84" w:rsidP="0083648C">
            <w:pPr>
              <w:pStyle w:val="Caption"/>
              <w:rPr>
                <w:rFonts w:asciiTheme="minorHAnsi" w:hAnsiTheme="minorHAnsi" w:cstheme="minorHAnsi"/>
                <w:b w:val="0"/>
                <w:sz w:val="22"/>
                <w:szCs w:val="22"/>
              </w:rPr>
            </w:pPr>
            <w:bookmarkStart w:id="55" w:name="_Toc177576309"/>
            <w:r w:rsidRPr="008455DB">
              <w:rPr>
                <w:rFonts w:asciiTheme="minorHAnsi" w:hAnsiTheme="minorHAnsi" w:cstheme="minorHAnsi"/>
                <w:szCs w:val="22"/>
              </w:rPr>
              <w:t xml:space="preserve">Table </w:t>
            </w:r>
            <w:r w:rsidR="00363E2E" w:rsidRPr="008455DB">
              <w:rPr>
                <w:rFonts w:asciiTheme="minorHAnsi" w:hAnsiTheme="minorHAnsi" w:cstheme="minorHAnsi"/>
                <w:szCs w:val="22"/>
              </w:rPr>
              <w:t>5.1</w:t>
            </w:r>
            <w:r w:rsidRPr="008455DB">
              <w:rPr>
                <w:rFonts w:asciiTheme="minorHAnsi" w:hAnsiTheme="minorHAnsi" w:cstheme="minorHAnsi"/>
                <w:szCs w:val="22"/>
              </w:rPr>
              <w:t>: Varying CIT regimes in Indonesia</w:t>
            </w:r>
            <w:bookmarkEnd w:id="55"/>
          </w:p>
        </w:tc>
        <w:tc>
          <w:tcPr>
            <w:tcW w:w="4855" w:type="dxa"/>
          </w:tcPr>
          <w:p w14:paraId="1C56A111" w14:textId="7E1DA00D" w:rsidR="00C35E84" w:rsidRPr="0083648C" w:rsidRDefault="00C35E84" w:rsidP="0083648C">
            <w:pPr>
              <w:pStyle w:val="Caption"/>
              <w:rPr>
                <w:rFonts w:asciiTheme="minorHAnsi" w:hAnsiTheme="minorHAnsi" w:cstheme="minorHAnsi"/>
                <w:b w:val="0"/>
                <w:sz w:val="22"/>
                <w:szCs w:val="22"/>
              </w:rPr>
            </w:pPr>
            <w:bookmarkStart w:id="56" w:name="_Toc177576310"/>
            <w:r w:rsidRPr="008455DB">
              <w:rPr>
                <w:rFonts w:asciiTheme="minorHAnsi" w:hAnsiTheme="minorHAnsi" w:cstheme="minorHAnsi"/>
                <w:szCs w:val="22"/>
              </w:rPr>
              <w:t xml:space="preserve">Table </w:t>
            </w:r>
            <w:r w:rsidR="00363E2E" w:rsidRPr="008455DB">
              <w:rPr>
                <w:rFonts w:asciiTheme="minorHAnsi" w:hAnsiTheme="minorHAnsi" w:cstheme="minorHAnsi"/>
                <w:szCs w:val="22"/>
              </w:rPr>
              <w:t>5.2</w:t>
            </w:r>
            <w:r w:rsidRPr="008455DB">
              <w:rPr>
                <w:rFonts w:asciiTheme="minorHAnsi" w:hAnsiTheme="minorHAnsi" w:cstheme="minorHAnsi"/>
                <w:szCs w:val="22"/>
              </w:rPr>
              <w:t>: The multi-rate structure of VAT</w:t>
            </w:r>
            <w:bookmarkEnd w:id="56"/>
          </w:p>
        </w:tc>
      </w:tr>
      <w:tr w:rsidR="00C35E84" w:rsidRPr="00C35E84" w14:paraId="7DFE0DF2" w14:textId="77777777" w:rsidTr="00713FC9">
        <w:trPr>
          <w:trHeight w:val="3329"/>
        </w:trPr>
        <w:tc>
          <w:tcPr>
            <w:tcW w:w="4860" w:type="dxa"/>
          </w:tcPr>
          <w:tbl>
            <w:tblPr>
              <w:tblStyle w:val="TableGrid7"/>
              <w:tblW w:w="4714" w:type="dxa"/>
              <w:tblLayout w:type="fixed"/>
              <w:tblLook w:val="04A0" w:firstRow="1" w:lastRow="0" w:firstColumn="1" w:lastColumn="0" w:noHBand="0" w:noVBand="1"/>
            </w:tblPr>
            <w:tblGrid>
              <w:gridCol w:w="2410"/>
              <w:gridCol w:w="2304"/>
            </w:tblGrid>
            <w:tr w:rsidR="00C35E84" w:rsidRPr="00C35E84" w14:paraId="62727576" w14:textId="77777777" w:rsidTr="00184AD9">
              <w:trPr>
                <w:trHeight w:val="269"/>
              </w:trPr>
              <w:tc>
                <w:tcPr>
                  <w:tcW w:w="2410" w:type="dxa"/>
                  <w:shd w:val="clear" w:color="auto" w:fill="4472C4" w:themeFill="accent1"/>
                </w:tcPr>
                <w:p w14:paraId="406415AF" w14:textId="77777777" w:rsidR="00C35E84" w:rsidRPr="00C35E84" w:rsidRDefault="00C35E84" w:rsidP="0083648C">
                  <w:pPr>
                    <w:jc w:val="center"/>
                    <w:rPr>
                      <w:rFonts w:asciiTheme="minorHAnsi" w:hAnsiTheme="minorHAnsi" w:cstheme="minorHAnsi"/>
                      <w:b/>
                      <w:bCs/>
                      <w:color w:val="FFFFFF" w:themeColor="background1"/>
                      <w:sz w:val="18"/>
                      <w:szCs w:val="18"/>
                    </w:rPr>
                  </w:pPr>
                  <w:r w:rsidRPr="00C35E84">
                    <w:rPr>
                      <w:rFonts w:asciiTheme="minorHAnsi" w:hAnsiTheme="minorHAnsi" w:cstheme="minorHAnsi"/>
                      <w:b/>
                      <w:bCs/>
                      <w:color w:val="FFFFFF" w:themeColor="background1"/>
                      <w:sz w:val="18"/>
                      <w:szCs w:val="18"/>
                    </w:rPr>
                    <w:t>Categories</w:t>
                  </w:r>
                </w:p>
              </w:tc>
              <w:tc>
                <w:tcPr>
                  <w:tcW w:w="2304" w:type="dxa"/>
                  <w:shd w:val="clear" w:color="auto" w:fill="4472C4" w:themeFill="accent1"/>
                </w:tcPr>
                <w:p w14:paraId="5AA0B5FC" w14:textId="77777777" w:rsidR="00C35E84" w:rsidRPr="00C35E84" w:rsidRDefault="00C35E84" w:rsidP="0083648C">
                  <w:pPr>
                    <w:jc w:val="center"/>
                    <w:rPr>
                      <w:rFonts w:asciiTheme="minorHAnsi" w:hAnsiTheme="minorHAnsi" w:cstheme="minorHAnsi"/>
                      <w:b/>
                      <w:bCs/>
                      <w:color w:val="FFFFFF" w:themeColor="background1"/>
                      <w:sz w:val="18"/>
                      <w:szCs w:val="18"/>
                    </w:rPr>
                  </w:pPr>
                  <w:r w:rsidRPr="00C35E84">
                    <w:rPr>
                      <w:rFonts w:asciiTheme="minorHAnsi" w:hAnsiTheme="minorHAnsi" w:cstheme="minorHAnsi"/>
                      <w:b/>
                      <w:bCs/>
                      <w:color w:val="FFFFFF" w:themeColor="background1"/>
                      <w:sz w:val="18"/>
                      <w:szCs w:val="18"/>
                    </w:rPr>
                    <w:t>Tax rate</w:t>
                  </w:r>
                </w:p>
              </w:tc>
            </w:tr>
            <w:tr w:rsidR="00C35E84" w:rsidRPr="00C35E84" w14:paraId="4310502C" w14:textId="77777777" w:rsidTr="00F614E5">
              <w:tc>
                <w:tcPr>
                  <w:tcW w:w="2410" w:type="dxa"/>
                  <w:vAlign w:val="center"/>
                </w:tcPr>
                <w:p w14:paraId="5C1125CE" w14:textId="77777777" w:rsidR="00C35E84" w:rsidRPr="00E82594" w:rsidRDefault="00C35E84" w:rsidP="00C35E84">
                  <w:pPr>
                    <w:rPr>
                      <w:rFonts w:asciiTheme="minorHAnsi" w:eastAsiaTheme="minorEastAsia" w:hAnsiTheme="minorHAnsi" w:cstheme="minorHAnsi"/>
                      <w:b/>
                      <w:bCs/>
                      <w:sz w:val="18"/>
                      <w:szCs w:val="18"/>
                    </w:rPr>
                  </w:pPr>
                  <w:r w:rsidRPr="00BB28EA">
                    <w:rPr>
                      <w:rFonts w:asciiTheme="minorHAnsi" w:eastAsiaTheme="minorEastAsia" w:hAnsiTheme="minorHAnsi" w:cstheme="minorHAnsi"/>
                      <w:b/>
                      <w:sz w:val="18"/>
                      <w:szCs w:val="18"/>
                    </w:rPr>
                    <w:t>Standard CIT rate</w:t>
                  </w:r>
                </w:p>
              </w:tc>
              <w:tc>
                <w:tcPr>
                  <w:tcW w:w="2304" w:type="dxa"/>
                  <w:vAlign w:val="center"/>
                </w:tcPr>
                <w:p w14:paraId="038FE9FD" w14:textId="007D54D0" w:rsidR="00C35E84" w:rsidRPr="00E82594" w:rsidRDefault="00C35E84" w:rsidP="00F614E5">
                  <w:pPr>
                    <w:rPr>
                      <w:rFonts w:asciiTheme="minorHAnsi" w:eastAsiaTheme="minorEastAsia" w:hAnsiTheme="minorHAnsi" w:cstheme="minorHAnsi"/>
                      <w:b/>
                      <w:bCs/>
                      <w:sz w:val="18"/>
                      <w:szCs w:val="18"/>
                    </w:rPr>
                  </w:pPr>
                  <w:r w:rsidRPr="00BB28EA">
                    <w:rPr>
                      <w:rFonts w:asciiTheme="minorHAnsi" w:eastAsiaTheme="minorEastAsia" w:hAnsiTheme="minorHAnsi" w:cstheme="minorHAnsi"/>
                      <w:b/>
                      <w:sz w:val="18"/>
                      <w:szCs w:val="18"/>
                    </w:rPr>
                    <w:t>22%</w:t>
                  </w:r>
                  <w:r w:rsidR="006A40EC">
                    <w:rPr>
                      <w:rFonts w:asciiTheme="minorHAnsi" w:eastAsiaTheme="minorEastAsia" w:hAnsiTheme="minorHAnsi" w:cstheme="minorHAnsi"/>
                      <w:b/>
                      <w:sz w:val="18"/>
                      <w:szCs w:val="18"/>
                    </w:rPr>
                    <w:t xml:space="preserve"> </w:t>
                  </w:r>
                  <w:r w:rsidRPr="00BB28EA">
                    <w:rPr>
                      <w:rFonts w:asciiTheme="minorHAnsi" w:eastAsiaTheme="minorEastAsia" w:hAnsiTheme="minorHAnsi" w:cstheme="minorHAnsi"/>
                      <w:b/>
                      <w:sz w:val="18"/>
                      <w:szCs w:val="18"/>
                    </w:rPr>
                    <w:t xml:space="preserve">(of taxable income) </w:t>
                  </w:r>
                </w:p>
              </w:tc>
            </w:tr>
            <w:tr w:rsidR="00C35E84" w:rsidRPr="00C35E84" w14:paraId="74CB226A" w14:textId="77777777" w:rsidTr="00F614E5">
              <w:tc>
                <w:tcPr>
                  <w:tcW w:w="2410" w:type="dxa"/>
                  <w:vAlign w:val="center"/>
                </w:tcPr>
                <w:p w14:paraId="63E089D7" w14:textId="77777777" w:rsidR="00C35E84" w:rsidRPr="00C35E84" w:rsidRDefault="00C35E84" w:rsidP="00C35E84">
                  <w:pP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Publicly listed companies</w:t>
                  </w:r>
                </w:p>
              </w:tc>
              <w:tc>
                <w:tcPr>
                  <w:tcW w:w="2304" w:type="dxa"/>
                  <w:vAlign w:val="center"/>
                </w:tcPr>
                <w:p w14:paraId="13CE84D9" w14:textId="1A46F9B1" w:rsidR="00C35E84" w:rsidRPr="00C35E84" w:rsidRDefault="00C35E84" w:rsidP="00F614E5">
                  <w:pP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19%</w:t>
                  </w:r>
                  <w:r w:rsidR="006A40EC">
                    <w:rPr>
                      <w:rFonts w:asciiTheme="minorHAnsi" w:eastAsiaTheme="minorEastAsia" w:hAnsiTheme="minorHAnsi" w:cstheme="minorHAnsi"/>
                      <w:sz w:val="18"/>
                      <w:szCs w:val="18"/>
                    </w:rPr>
                    <w:t xml:space="preserve"> </w:t>
                  </w:r>
                  <w:r w:rsidRPr="00C35E84">
                    <w:rPr>
                      <w:rFonts w:asciiTheme="minorHAnsi" w:eastAsiaTheme="minorEastAsia" w:hAnsiTheme="minorHAnsi" w:cstheme="minorHAnsi"/>
                      <w:sz w:val="18"/>
                      <w:szCs w:val="18"/>
                    </w:rPr>
                    <w:t>(of taxable income)</w:t>
                  </w:r>
                </w:p>
              </w:tc>
            </w:tr>
            <w:tr w:rsidR="00C35E84" w:rsidRPr="00C35E84" w14:paraId="108E1EE6" w14:textId="77777777" w:rsidTr="00F614E5">
              <w:tc>
                <w:tcPr>
                  <w:tcW w:w="2410" w:type="dxa"/>
                  <w:vAlign w:val="center"/>
                </w:tcPr>
                <w:p w14:paraId="2FF43572" w14:textId="632D8541" w:rsidR="00C35E84" w:rsidRPr="00C35E84" w:rsidRDefault="00C35E84" w:rsidP="00C35E84">
                  <w:pP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Medium-sized businesses</w:t>
                  </w:r>
                </w:p>
                <w:p w14:paraId="46B3107C" w14:textId="66ED9BD7" w:rsidR="00C35E84" w:rsidRPr="00C35E84" w:rsidRDefault="00C35E84" w:rsidP="00C35E84">
                  <w:pP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(Annual turnover &lt; R</w:t>
                  </w:r>
                  <w:r w:rsidR="0004266E">
                    <w:rPr>
                      <w:rFonts w:asciiTheme="minorHAnsi" w:eastAsiaTheme="minorEastAsia" w:hAnsiTheme="minorHAnsi" w:cstheme="minorHAnsi"/>
                      <w:sz w:val="18"/>
                      <w:szCs w:val="18"/>
                    </w:rPr>
                    <w:t>p</w:t>
                  </w:r>
                  <w:r w:rsidRPr="00C35E84">
                    <w:rPr>
                      <w:rFonts w:asciiTheme="minorHAnsi" w:eastAsiaTheme="minorEastAsia" w:hAnsiTheme="minorHAnsi" w:cstheme="minorHAnsi"/>
                      <w:sz w:val="18"/>
                      <w:szCs w:val="18"/>
                    </w:rPr>
                    <w:t xml:space="preserve"> 50 bn)</w:t>
                  </w:r>
                </w:p>
              </w:tc>
              <w:tc>
                <w:tcPr>
                  <w:tcW w:w="2304" w:type="dxa"/>
                  <w:vAlign w:val="center"/>
                </w:tcPr>
                <w:p w14:paraId="44050B45" w14:textId="4AAF43AE" w:rsidR="00C35E84" w:rsidRPr="00C35E84" w:rsidRDefault="00C35E84" w:rsidP="00F614E5">
                  <w:pP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11%</w:t>
                  </w:r>
                  <w:r w:rsidR="006A40EC">
                    <w:rPr>
                      <w:rFonts w:asciiTheme="minorHAnsi" w:eastAsiaTheme="minorEastAsia" w:hAnsiTheme="minorHAnsi" w:cstheme="minorHAnsi"/>
                      <w:sz w:val="18"/>
                      <w:szCs w:val="18"/>
                    </w:rPr>
                    <w:t xml:space="preserve"> </w:t>
                  </w:r>
                  <w:r w:rsidRPr="00C35E84">
                    <w:rPr>
                      <w:rFonts w:asciiTheme="minorHAnsi" w:eastAsiaTheme="minorEastAsia" w:hAnsiTheme="minorHAnsi" w:cstheme="minorHAnsi"/>
                      <w:sz w:val="18"/>
                      <w:szCs w:val="18"/>
                    </w:rPr>
                    <w:t xml:space="preserve">(applied on </w:t>
                  </w:r>
                  <w:r w:rsidR="00066403">
                    <w:rPr>
                      <w:rFonts w:asciiTheme="minorHAnsi" w:eastAsiaTheme="minorEastAsia" w:hAnsiTheme="minorHAnsi" w:cstheme="minorHAnsi"/>
                      <w:sz w:val="18"/>
                      <w:szCs w:val="18"/>
                    </w:rPr>
                    <w:t xml:space="preserve">taxable income from the </w:t>
                  </w:r>
                  <w:r w:rsidRPr="00C35E84">
                    <w:rPr>
                      <w:rFonts w:asciiTheme="minorHAnsi" w:eastAsiaTheme="minorEastAsia" w:hAnsiTheme="minorHAnsi" w:cstheme="minorHAnsi"/>
                      <w:sz w:val="18"/>
                      <w:szCs w:val="18"/>
                    </w:rPr>
                    <w:t xml:space="preserve">first </w:t>
                  </w:r>
                  <w:r w:rsidR="00184AD9">
                    <w:rPr>
                      <w:rFonts w:asciiTheme="minorHAnsi" w:eastAsiaTheme="minorEastAsia" w:hAnsiTheme="minorHAnsi" w:cstheme="minorHAnsi"/>
                      <w:sz w:val="18"/>
                      <w:szCs w:val="18"/>
                    </w:rPr>
                    <w:br/>
                  </w:r>
                  <w:r w:rsidRPr="00C35E84">
                    <w:rPr>
                      <w:rFonts w:asciiTheme="minorHAnsi" w:eastAsiaTheme="minorEastAsia" w:hAnsiTheme="minorHAnsi" w:cstheme="minorHAnsi"/>
                      <w:sz w:val="18"/>
                      <w:szCs w:val="18"/>
                    </w:rPr>
                    <w:t>R</w:t>
                  </w:r>
                  <w:r w:rsidR="0004266E">
                    <w:rPr>
                      <w:rFonts w:asciiTheme="minorHAnsi" w:eastAsiaTheme="minorEastAsia" w:hAnsiTheme="minorHAnsi" w:cstheme="minorHAnsi"/>
                      <w:sz w:val="18"/>
                      <w:szCs w:val="18"/>
                    </w:rPr>
                    <w:t>p</w:t>
                  </w:r>
                  <w:r w:rsidRPr="00C35E84">
                    <w:rPr>
                      <w:rFonts w:asciiTheme="minorHAnsi" w:eastAsiaTheme="minorEastAsia" w:hAnsiTheme="minorHAnsi" w:cstheme="minorHAnsi"/>
                      <w:sz w:val="18"/>
                      <w:szCs w:val="18"/>
                    </w:rPr>
                    <w:t xml:space="preserve"> 4.8</w:t>
                  </w:r>
                  <w:r w:rsidR="00C771E7">
                    <w:rPr>
                      <w:rFonts w:asciiTheme="minorHAnsi" w:eastAsiaTheme="minorEastAsia" w:hAnsiTheme="minorHAnsi" w:cstheme="minorHAnsi"/>
                      <w:sz w:val="18"/>
                      <w:szCs w:val="18"/>
                    </w:rPr>
                    <w:t xml:space="preserve"> </w:t>
                  </w:r>
                  <w:r w:rsidRPr="00C35E84">
                    <w:rPr>
                      <w:rFonts w:asciiTheme="minorHAnsi" w:eastAsiaTheme="minorEastAsia" w:hAnsiTheme="minorHAnsi" w:cstheme="minorHAnsi"/>
                      <w:sz w:val="18"/>
                      <w:szCs w:val="18"/>
                    </w:rPr>
                    <w:t>bn of</w:t>
                  </w:r>
                  <w:r w:rsidR="00066403">
                    <w:rPr>
                      <w:rFonts w:asciiTheme="minorHAnsi" w:eastAsiaTheme="minorEastAsia" w:hAnsiTheme="minorHAnsi" w:cstheme="minorHAnsi"/>
                      <w:sz w:val="18"/>
                      <w:szCs w:val="18"/>
                    </w:rPr>
                    <w:t xml:space="preserve"> gross </w:t>
                  </w:r>
                  <w:r w:rsidR="002663D7">
                    <w:rPr>
                      <w:rFonts w:asciiTheme="minorHAnsi" w:eastAsiaTheme="minorEastAsia" w:hAnsiTheme="minorHAnsi" w:cstheme="minorHAnsi"/>
                      <w:sz w:val="18"/>
                      <w:szCs w:val="18"/>
                    </w:rPr>
                    <w:t>turnover</w:t>
                  </w:r>
                  <w:r w:rsidRPr="00C35E84">
                    <w:rPr>
                      <w:rFonts w:asciiTheme="minorHAnsi" w:eastAsiaTheme="minorEastAsia" w:hAnsiTheme="minorHAnsi" w:cstheme="minorHAnsi"/>
                      <w:sz w:val="18"/>
                      <w:szCs w:val="18"/>
                    </w:rPr>
                    <w:t>)</w:t>
                  </w:r>
                </w:p>
              </w:tc>
            </w:tr>
            <w:tr w:rsidR="00C35E84" w:rsidRPr="00C35E84" w14:paraId="612F5B06" w14:textId="77777777" w:rsidTr="00F614E5">
              <w:tc>
                <w:tcPr>
                  <w:tcW w:w="2410" w:type="dxa"/>
                  <w:vAlign w:val="center"/>
                </w:tcPr>
                <w:p w14:paraId="37442650" w14:textId="15BC3AC0" w:rsidR="00C35E84" w:rsidRPr="00C35E84" w:rsidRDefault="00C35E84" w:rsidP="00C35E84">
                  <w:pP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Small-sized businesses</w:t>
                  </w:r>
                  <w:r w:rsidR="0088088A">
                    <w:rPr>
                      <w:rFonts w:asciiTheme="minorHAnsi" w:eastAsiaTheme="minorEastAsia" w:hAnsiTheme="minorHAnsi" w:cstheme="minorHAnsi"/>
                      <w:sz w:val="18"/>
                      <w:szCs w:val="18"/>
                    </w:rPr>
                    <w:t>*</w:t>
                  </w:r>
                </w:p>
                <w:p w14:paraId="4C7E8CD9" w14:textId="40D5BD42" w:rsidR="00C35E84" w:rsidRPr="00C35E84" w:rsidRDefault="00C35E84" w:rsidP="00C35E84">
                  <w:pP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(Annual turnover &lt; R</w:t>
                  </w:r>
                  <w:r w:rsidR="0004266E">
                    <w:rPr>
                      <w:rFonts w:asciiTheme="minorHAnsi" w:eastAsiaTheme="minorEastAsia" w:hAnsiTheme="minorHAnsi" w:cstheme="minorHAnsi"/>
                      <w:sz w:val="18"/>
                      <w:szCs w:val="18"/>
                    </w:rPr>
                    <w:t>p</w:t>
                  </w:r>
                  <w:r w:rsidRPr="00C35E84">
                    <w:rPr>
                      <w:rFonts w:asciiTheme="minorHAnsi" w:eastAsiaTheme="minorEastAsia" w:hAnsiTheme="minorHAnsi" w:cstheme="minorHAnsi"/>
                      <w:sz w:val="18"/>
                      <w:szCs w:val="18"/>
                    </w:rPr>
                    <w:t xml:space="preserve"> 4.8 bn)</w:t>
                  </w:r>
                </w:p>
              </w:tc>
              <w:tc>
                <w:tcPr>
                  <w:tcW w:w="2304" w:type="dxa"/>
                  <w:vAlign w:val="center"/>
                </w:tcPr>
                <w:p w14:paraId="2A10CA58" w14:textId="608A0600" w:rsidR="00C35E84" w:rsidRPr="00C35E84" w:rsidRDefault="00C35E84" w:rsidP="00F614E5">
                  <w:pP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0.5%</w:t>
                  </w:r>
                  <w:r w:rsidR="006A40EC">
                    <w:rPr>
                      <w:rFonts w:asciiTheme="minorHAnsi" w:eastAsiaTheme="minorEastAsia" w:hAnsiTheme="minorHAnsi" w:cstheme="minorHAnsi"/>
                      <w:sz w:val="18"/>
                      <w:szCs w:val="18"/>
                    </w:rPr>
                    <w:t xml:space="preserve"> </w:t>
                  </w:r>
                  <w:r w:rsidRPr="00C35E84">
                    <w:rPr>
                      <w:rFonts w:asciiTheme="minorHAnsi" w:eastAsiaTheme="minorEastAsia" w:hAnsiTheme="minorHAnsi" w:cstheme="minorHAnsi"/>
                      <w:sz w:val="18"/>
                      <w:szCs w:val="18"/>
                    </w:rPr>
                    <w:t>(of gross turnover)</w:t>
                  </w:r>
                </w:p>
              </w:tc>
            </w:tr>
            <w:tr w:rsidR="00C35E84" w:rsidRPr="00C35E84" w14:paraId="752AE14C" w14:textId="77777777" w:rsidTr="00F614E5">
              <w:tc>
                <w:tcPr>
                  <w:tcW w:w="2410" w:type="dxa"/>
                  <w:vAlign w:val="center"/>
                </w:tcPr>
                <w:p w14:paraId="70C3D2D6" w14:textId="77777777" w:rsidR="00C35E84" w:rsidRPr="00C35E84" w:rsidRDefault="00C35E84" w:rsidP="00C35E84">
                  <w:pP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Specific sectors:</w:t>
                  </w:r>
                </w:p>
              </w:tc>
              <w:tc>
                <w:tcPr>
                  <w:tcW w:w="2304" w:type="dxa"/>
                  <w:vAlign w:val="center"/>
                </w:tcPr>
                <w:p w14:paraId="237C5DE5" w14:textId="77777777" w:rsidR="00C35E84" w:rsidRPr="00C35E84" w:rsidRDefault="00C35E84" w:rsidP="00F614E5">
                  <w:pPr>
                    <w:jc w:val="cente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(of gross turnover)</w:t>
                  </w:r>
                </w:p>
              </w:tc>
            </w:tr>
            <w:tr w:rsidR="00C35E84" w:rsidRPr="00C35E84" w14:paraId="78BBED10" w14:textId="77777777" w:rsidTr="00F614E5">
              <w:tc>
                <w:tcPr>
                  <w:tcW w:w="2410" w:type="dxa"/>
                  <w:vAlign w:val="center"/>
                </w:tcPr>
                <w:p w14:paraId="091208EA" w14:textId="77777777" w:rsidR="00C35E84" w:rsidRPr="00C35E84" w:rsidRDefault="00C35E84" w:rsidP="00C35E84">
                  <w:pPr>
                    <w:ind w:left="507"/>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Construction services</w:t>
                  </w:r>
                </w:p>
              </w:tc>
              <w:tc>
                <w:tcPr>
                  <w:tcW w:w="2304" w:type="dxa"/>
                  <w:vAlign w:val="center"/>
                </w:tcPr>
                <w:p w14:paraId="13ECA67E" w14:textId="77777777" w:rsidR="00C35E84" w:rsidRPr="00C35E84" w:rsidRDefault="00C35E84" w:rsidP="00F614E5">
                  <w:pPr>
                    <w:jc w:val="cente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1.75% - 6%</w:t>
                  </w:r>
                </w:p>
              </w:tc>
            </w:tr>
            <w:tr w:rsidR="00C35E84" w:rsidRPr="00C35E84" w14:paraId="79329648" w14:textId="77777777" w:rsidTr="00F614E5">
              <w:tc>
                <w:tcPr>
                  <w:tcW w:w="2410" w:type="dxa"/>
                  <w:vAlign w:val="center"/>
                </w:tcPr>
                <w:p w14:paraId="5C826EFB" w14:textId="77777777" w:rsidR="00C35E84" w:rsidRPr="00C35E84" w:rsidRDefault="00C35E84" w:rsidP="00C35E84">
                  <w:pPr>
                    <w:ind w:left="507"/>
                    <w:rPr>
                      <w:rFonts w:asciiTheme="minorHAnsi" w:eastAsiaTheme="minorEastAsia" w:hAnsiTheme="minorHAnsi" w:cstheme="minorHAnsi"/>
                      <w:sz w:val="18"/>
                      <w:szCs w:val="18"/>
                    </w:rPr>
                  </w:pPr>
                  <w:r w:rsidRPr="00C35E84">
                    <w:rPr>
                      <w:rFonts w:asciiTheme="minorHAnsi" w:eastAsiaTheme="minorEastAsia" w:hAnsiTheme="minorHAnsi" w:cstheme="minorHAnsi"/>
                      <w:color w:val="000000" w:themeColor="text1"/>
                      <w:sz w:val="18"/>
                      <w:szCs w:val="18"/>
                    </w:rPr>
                    <w:t>Rent of land and/or buildings</w:t>
                  </w:r>
                </w:p>
              </w:tc>
              <w:tc>
                <w:tcPr>
                  <w:tcW w:w="2304" w:type="dxa"/>
                  <w:vAlign w:val="center"/>
                </w:tcPr>
                <w:p w14:paraId="12E869E1" w14:textId="77777777" w:rsidR="00C35E84" w:rsidRPr="00C35E84" w:rsidRDefault="00C35E84" w:rsidP="00F614E5">
                  <w:pPr>
                    <w:jc w:val="cente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10%</w:t>
                  </w:r>
                </w:p>
              </w:tc>
            </w:tr>
            <w:tr w:rsidR="00C35E84" w:rsidRPr="00C35E84" w14:paraId="315244F8" w14:textId="77777777" w:rsidTr="00F614E5">
              <w:trPr>
                <w:trHeight w:val="252"/>
              </w:trPr>
              <w:tc>
                <w:tcPr>
                  <w:tcW w:w="2410" w:type="dxa"/>
                  <w:vAlign w:val="center"/>
                </w:tcPr>
                <w:p w14:paraId="24BC352E" w14:textId="77777777" w:rsidR="00C35E84" w:rsidRPr="00C35E84" w:rsidRDefault="00C35E84" w:rsidP="00C35E84">
                  <w:pPr>
                    <w:ind w:left="507"/>
                    <w:rPr>
                      <w:rFonts w:asciiTheme="minorHAnsi" w:eastAsiaTheme="minorEastAsia" w:hAnsiTheme="minorHAnsi" w:cstheme="minorHAnsi"/>
                      <w:color w:val="000000" w:themeColor="text1"/>
                      <w:sz w:val="18"/>
                      <w:szCs w:val="18"/>
                    </w:rPr>
                  </w:pPr>
                  <w:r w:rsidRPr="00C35E84">
                    <w:rPr>
                      <w:rFonts w:asciiTheme="minorHAnsi" w:eastAsiaTheme="minorEastAsia" w:hAnsiTheme="minorHAnsi" w:cstheme="minorHAnsi"/>
                      <w:color w:val="000000" w:themeColor="text1"/>
                      <w:sz w:val="18"/>
                      <w:szCs w:val="18"/>
                    </w:rPr>
                    <w:t>Transfer of land and/or buildings</w:t>
                  </w:r>
                </w:p>
              </w:tc>
              <w:tc>
                <w:tcPr>
                  <w:tcW w:w="2304" w:type="dxa"/>
                  <w:vAlign w:val="center"/>
                </w:tcPr>
                <w:p w14:paraId="6350E446" w14:textId="77777777" w:rsidR="00C35E84" w:rsidRPr="00C35E84" w:rsidRDefault="00C35E84" w:rsidP="00F614E5">
                  <w:pPr>
                    <w:jc w:val="center"/>
                    <w:rPr>
                      <w:rFonts w:asciiTheme="minorHAnsi" w:eastAsiaTheme="minorEastAsia" w:hAnsiTheme="minorHAnsi" w:cstheme="minorHAnsi"/>
                      <w:sz w:val="18"/>
                      <w:szCs w:val="18"/>
                    </w:rPr>
                  </w:pPr>
                  <w:r w:rsidRPr="00C35E84">
                    <w:rPr>
                      <w:rFonts w:asciiTheme="minorHAnsi" w:eastAsiaTheme="minorEastAsia" w:hAnsiTheme="minorHAnsi" w:cstheme="minorHAnsi"/>
                      <w:sz w:val="18"/>
                      <w:szCs w:val="18"/>
                    </w:rPr>
                    <w:t>0-2.5%</w:t>
                  </w:r>
                </w:p>
              </w:tc>
            </w:tr>
          </w:tbl>
          <w:p w14:paraId="3C2CBB61" w14:textId="77777777" w:rsidR="00C35E84" w:rsidRPr="00BB28EA" w:rsidRDefault="00C35E84" w:rsidP="00C35E84">
            <w:pPr>
              <w:keepNext/>
              <w:ind w:right="144"/>
              <w:jc w:val="center"/>
              <w:rPr>
                <w:rFonts w:asciiTheme="minorHAnsi" w:hAnsiTheme="minorHAnsi" w:cstheme="minorHAnsi"/>
                <w:b/>
                <w:color w:val="808080" w:themeColor="background1" w:themeShade="80"/>
                <w:sz w:val="16"/>
                <w:szCs w:val="16"/>
              </w:rPr>
            </w:pPr>
          </w:p>
        </w:tc>
        <w:tc>
          <w:tcPr>
            <w:tcW w:w="4855" w:type="dxa"/>
          </w:tcPr>
          <w:tbl>
            <w:tblPr>
              <w:tblW w:w="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9"/>
              <w:gridCol w:w="1152"/>
            </w:tblGrid>
            <w:tr w:rsidR="00C35E84" w:rsidRPr="00C35E84" w14:paraId="4D1E54CB" w14:textId="77777777" w:rsidTr="00F614E5">
              <w:trPr>
                <w:trHeight w:val="296"/>
              </w:trPr>
              <w:tc>
                <w:tcPr>
                  <w:tcW w:w="3129" w:type="dxa"/>
                  <w:shd w:val="clear" w:color="000000" w:fill="4472C4"/>
                  <w:noWrap/>
                  <w:hideMark/>
                </w:tcPr>
                <w:p w14:paraId="4FB4717F" w14:textId="77777777" w:rsidR="00C35E84" w:rsidRPr="00BB28EA" w:rsidRDefault="00C35E84" w:rsidP="0083648C">
                  <w:pPr>
                    <w:spacing w:after="0"/>
                    <w:ind w:left="0" w:firstLine="0"/>
                    <w:jc w:val="center"/>
                    <w:rPr>
                      <w:rFonts w:eastAsia="Times New Roman" w:cstheme="minorHAnsi"/>
                      <w:b/>
                      <w:color w:val="FFFFFF"/>
                      <w:sz w:val="18"/>
                      <w:szCs w:val="18"/>
                    </w:rPr>
                  </w:pPr>
                  <w:r w:rsidRPr="00BB28EA">
                    <w:rPr>
                      <w:rFonts w:eastAsia="Times New Roman" w:cstheme="minorHAnsi"/>
                      <w:b/>
                      <w:color w:val="FFFFFF"/>
                      <w:sz w:val="18"/>
                      <w:szCs w:val="18"/>
                    </w:rPr>
                    <w:t>Categories</w:t>
                  </w:r>
                </w:p>
              </w:tc>
              <w:tc>
                <w:tcPr>
                  <w:tcW w:w="1152" w:type="dxa"/>
                  <w:shd w:val="clear" w:color="000000" w:fill="4472C4"/>
                  <w:noWrap/>
                  <w:hideMark/>
                </w:tcPr>
                <w:p w14:paraId="5872F498" w14:textId="422F72DC" w:rsidR="00C35E84" w:rsidRPr="00BB28EA" w:rsidRDefault="00C35E84" w:rsidP="0083648C">
                  <w:pPr>
                    <w:spacing w:after="0"/>
                    <w:ind w:left="0" w:firstLine="0"/>
                    <w:jc w:val="center"/>
                    <w:rPr>
                      <w:rFonts w:eastAsia="Times New Roman" w:cstheme="minorHAnsi"/>
                      <w:b/>
                      <w:color w:val="FFFFFF"/>
                      <w:sz w:val="18"/>
                      <w:szCs w:val="18"/>
                    </w:rPr>
                  </w:pPr>
                  <w:r w:rsidRPr="00BB28EA">
                    <w:rPr>
                      <w:rFonts w:eastAsia="Times New Roman" w:cstheme="minorHAnsi"/>
                      <w:b/>
                      <w:color w:val="FFFFFF"/>
                      <w:sz w:val="18"/>
                      <w:szCs w:val="18"/>
                    </w:rPr>
                    <w:t>Tax rate</w:t>
                  </w:r>
                  <w:r w:rsidR="006A40EC">
                    <w:rPr>
                      <w:rFonts w:eastAsia="Times New Roman" w:cstheme="minorHAnsi"/>
                      <w:b/>
                      <w:color w:val="FFFFFF"/>
                      <w:sz w:val="18"/>
                      <w:szCs w:val="18"/>
                    </w:rPr>
                    <w:t xml:space="preserve"> (%)</w:t>
                  </w:r>
                </w:p>
              </w:tc>
            </w:tr>
            <w:tr w:rsidR="00C35E84" w:rsidRPr="00C35E84" w14:paraId="51AF1779" w14:textId="77777777" w:rsidTr="00F614E5">
              <w:trPr>
                <w:trHeight w:val="98"/>
              </w:trPr>
              <w:tc>
                <w:tcPr>
                  <w:tcW w:w="3129" w:type="dxa"/>
                  <w:shd w:val="clear" w:color="auto" w:fill="auto"/>
                  <w:noWrap/>
                  <w:hideMark/>
                </w:tcPr>
                <w:p w14:paraId="1FA7C6F7" w14:textId="77777777" w:rsidR="00C35E84" w:rsidRPr="00BB28EA" w:rsidRDefault="00C35E84" w:rsidP="006A40EC">
                  <w:pPr>
                    <w:spacing w:after="0"/>
                    <w:ind w:left="0" w:firstLine="0"/>
                    <w:rPr>
                      <w:rFonts w:eastAsia="Times New Roman" w:cstheme="minorHAnsi"/>
                      <w:b/>
                      <w:color w:val="000000"/>
                      <w:sz w:val="18"/>
                      <w:szCs w:val="18"/>
                    </w:rPr>
                  </w:pPr>
                  <w:r w:rsidRPr="00BB28EA">
                    <w:rPr>
                      <w:rFonts w:eastAsia="Times New Roman" w:cstheme="minorHAnsi"/>
                      <w:b/>
                      <w:color w:val="000000"/>
                      <w:sz w:val="18"/>
                      <w:szCs w:val="18"/>
                    </w:rPr>
                    <w:t>Standard VAT rate</w:t>
                  </w:r>
                </w:p>
              </w:tc>
              <w:tc>
                <w:tcPr>
                  <w:tcW w:w="1152" w:type="dxa"/>
                  <w:shd w:val="clear" w:color="auto" w:fill="auto"/>
                  <w:noWrap/>
                  <w:vAlign w:val="center"/>
                  <w:hideMark/>
                </w:tcPr>
                <w:p w14:paraId="0288B5B2" w14:textId="6072909F" w:rsidR="00C35E84" w:rsidRPr="00BB28EA" w:rsidRDefault="00C35E84" w:rsidP="00F614E5">
                  <w:pPr>
                    <w:spacing w:after="0"/>
                    <w:ind w:left="0" w:firstLine="0"/>
                    <w:jc w:val="center"/>
                    <w:rPr>
                      <w:rFonts w:eastAsia="Times New Roman" w:cstheme="minorHAnsi"/>
                      <w:b/>
                      <w:color w:val="000000"/>
                      <w:sz w:val="18"/>
                      <w:szCs w:val="18"/>
                    </w:rPr>
                  </w:pPr>
                  <w:r w:rsidRPr="00BB28EA">
                    <w:rPr>
                      <w:rFonts w:eastAsia="Times New Roman" w:cstheme="minorHAnsi"/>
                      <w:b/>
                      <w:color w:val="000000"/>
                      <w:sz w:val="18"/>
                      <w:szCs w:val="18"/>
                    </w:rPr>
                    <w:t>11</w:t>
                  </w:r>
                </w:p>
              </w:tc>
            </w:tr>
            <w:tr w:rsidR="00C35E84" w:rsidRPr="00C35E84" w14:paraId="1B270F72" w14:textId="77777777" w:rsidTr="00F614E5">
              <w:trPr>
                <w:trHeight w:val="161"/>
              </w:trPr>
              <w:tc>
                <w:tcPr>
                  <w:tcW w:w="3129" w:type="dxa"/>
                  <w:shd w:val="clear" w:color="auto" w:fill="auto"/>
                  <w:noWrap/>
                  <w:hideMark/>
                </w:tcPr>
                <w:p w14:paraId="4524646F" w14:textId="22A80801" w:rsidR="00C35E84" w:rsidRPr="00BB28EA" w:rsidRDefault="00C35E84" w:rsidP="006A40EC">
                  <w:pPr>
                    <w:spacing w:after="0"/>
                    <w:ind w:left="0" w:firstLine="0"/>
                    <w:rPr>
                      <w:rFonts w:eastAsia="Times New Roman" w:cstheme="minorHAnsi"/>
                      <w:b/>
                      <w:color w:val="000000"/>
                      <w:sz w:val="18"/>
                      <w:szCs w:val="18"/>
                    </w:rPr>
                  </w:pPr>
                  <w:r w:rsidRPr="00BB28EA">
                    <w:rPr>
                      <w:rFonts w:eastAsia="Times New Roman" w:cstheme="minorHAnsi"/>
                      <w:b/>
                      <w:color w:val="000000"/>
                      <w:sz w:val="18"/>
                      <w:szCs w:val="18"/>
                    </w:rPr>
                    <w:t>Final VAT rate</w:t>
                  </w:r>
                  <w:r w:rsidR="00184AD9">
                    <w:rPr>
                      <w:rFonts w:eastAsia="Times New Roman" w:cstheme="minorHAnsi"/>
                      <w:b/>
                      <w:color w:val="000000"/>
                      <w:sz w:val="18"/>
                      <w:szCs w:val="18"/>
                    </w:rPr>
                    <w:t>s</w:t>
                  </w:r>
                  <w:r w:rsidRPr="00BB28EA">
                    <w:rPr>
                      <w:rFonts w:eastAsia="Times New Roman" w:cstheme="minorHAnsi"/>
                      <w:b/>
                      <w:color w:val="000000"/>
                      <w:sz w:val="18"/>
                      <w:szCs w:val="18"/>
                    </w:rPr>
                    <w:t>:</w:t>
                  </w:r>
                </w:p>
              </w:tc>
              <w:tc>
                <w:tcPr>
                  <w:tcW w:w="1152" w:type="dxa"/>
                  <w:shd w:val="clear" w:color="auto" w:fill="auto"/>
                  <w:noWrap/>
                  <w:vAlign w:val="center"/>
                  <w:hideMark/>
                </w:tcPr>
                <w:p w14:paraId="202DE140" w14:textId="3A46FEBD" w:rsidR="00C35E84" w:rsidRPr="00BB28EA" w:rsidRDefault="00C35E84" w:rsidP="00F614E5">
                  <w:pPr>
                    <w:spacing w:after="0"/>
                    <w:ind w:left="0" w:firstLine="0"/>
                    <w:jc w:val="center"/>
                    <w:rPr>
                      <w:rFonts w:eastAsia="Times New Roman" w:cstheme="minorHAnsi"/>
                      <w:b/>
                      <w:color w:val="000000"/>
                      <w:sz w:val="18"/>
                      <w:szCs w:val="18"/>
                    </w:rPr>
                  </w:pPr>
                </w:p>
              </w:tc>
            </w:tr>
            <w:tr w:rsidR="00C35E84" w:rsidRPr="00C35E84" w14:paraId="45FBF71E" w14:textId="77777777" w:rsidTr="00F614E5">
              <w:trPr>
                <w:trHeight w:val="134"/>
              </w:trPr>
              <w:tc>
                <w:tcPr>
                  <w:tcW w:w="3129" w:type="dxa"/>
                  <w:shd w:val="clear" w:color="auto" w:fill="auto"/>
                  <w:noWrap/>
                  <w:hideMark/>
                </w:tcPr>
                <w:p w14:paraId="44884EEC" w14:textId="2622FD74" w:rsidR="00C35E84" w:rsidRPr="00BB28EA" w:rsidRDefault="00C35E84" w:rsidP="006A40EC">
                  <w:pPr>
                    <w:spacing w:after="0"/>
                    <w:ind w:left="0" w:firstLineChars="100" w:firstLine="180"/>
                    <w:rPr>
                      <w:rFonts w:eastAsia="Times New Roman" w:cstheme="minorHAnsi"/>
                      <w:color w:val="000000"/>
                      <w:sz w:val="18"/>
                      <w:szCs w:val="18"/>
                    </w:rPr>
                  </w:pPr>
                  <w:r w:rsidRPr="00BB28EA">
                    <w:rPr>
                      <w:rFonts w:eastAsia="Times New Roman" w:cstheme="minorHAnsi"/>
                      <w:color w:val="000000"/>
                      <w:sz w:val="18"/>
                      <w:szCs w:val="18"/>
                    </w:rPr>
                    <w:t>Self</w:t>
                  </w:r>
                  <w:r w:rsidR="006A40EC">
                    <w:rPr>
                      <w:rFonts w:eastAsia="Times New Roman" w:cstheme="minorHAnsi"/>
                      <w:color w:val="000000"/>
                      <w:sz w:val="18"/>
                      <w:szCs w:val="18"/>
                    </w:rPr>
                    <w:t>-</w:t>
                  </w:r>
                  <w:r w:rsidRPr="00BB28EA">
                    <w:rPr>
                      <w:rFonts w:eastAsia="Times New Roman" w:cstheme="minorHAnsi"/>
                      <w:color w:val="000000"/>
                      <w:sz w:val="18"/>
                      <w:szCs w:val="18"/>
                    </w:rPr>
                    <w:t>construction activity</w:t>
                  </w:r>
                </w:p>
              </w:tc>
              <w:tc>
                <w:tcPr>
                  <w:tcW w:w="1152" w:type="dxa"/>
                  <w:shd w:val="clear" w:color="auto" w:fill="auto"/>
                  <w:noWrap/>
                  <w:vAlign w:val="center"/>
                  <w:hideMark/>
                </w:tcPr>
                <w:p w14:paraId="3C488AA7" w14:textId="27620EE1" w:rsidR="00C35E84" w:rsidRPr="00BB28EA" w:rsidRDefault="00C35E84" w:rsidP="00F614E5">
                  <w:pPr>
                    <w:spacing w:after="0"/>
                    <w:ind w:left="0" w:firstLine="0"/>
                    <w:jc w:val="center"/>
                    <w:rPr>
                      <w:rFonts w:eastAsia="Times New Roman" w:cstheme="minorHAnsi"/>
                      <w:color w:val="000000"/>
                      <w:sz w:val="18"/>
                      <w:szCs w:val="18"/>
                    </w:rPr>
                  </w:pPr>
                  <w:r w:rsidRPr="00BB28EA">
                    <w:rPr>
                      <w:rFonts w:eastAsia="Times New Roman" w:cstheme="minorHAnsi"/>
                      <w:color w:val="000000"/>
                      <w:sz w:val="18"/>
                      <w:szCs w:val="18"/>
                    </w:rPr>
                    <w:t>2.2</w:t>
                  </w:r>
                </w:p>
              </w:tc>
            </w:tr>
            <w:tr w:rsidR="00C35E84" w:rsidRPr="00C35E84" w14:paraId="49E53965" w14:textId="77777777" w:rsidTr="00F614E5">
              <w:trPr>
                <w:trHeight w:val="27"/>
              </w:trPr>
              <w:tc>
                <w:tcPr>
                  <w:tcW w:w="3129" w:type="dxa"/>
                  <w:shd w:val="clear" w:color="auto" w:fill="auto"/>
                  <w:noWrap/>
                  <w:hideMark/>
                </w:tcPr>
                <w:p w14:paraId="6E441A8E" w14:textId="77777777" w:rsidR="00C35E84" w:rsidRPr="00BB28EA" w:rsidRDefault="00C35E84" w:rsidP="006A40EC">
                  <w:pPr>
                    <w:spacing w:after="0"/>
                    <w:ind w:left="0" w:firstLineChars="100" w:firstLine="180"/>
                    <w:rPr>
                      <w:rFonts w:eastAsia="Times New Roman" w:cstheme="minorHAnsi"/>
                      <w:color w:val="000000"/>
                      <w:sz w:val="18"/>
                      <w:szCs w:val="18"/>
                    </w:rPr>
                  </w:pPr>
                  <w:r w:rsidRPr="00BB28EA">
                    <w:rPr>
                      <w:rFonts w:eastAsia="Times New Roman" w:cstheme="minorHAnsi"/>
                      <w:color w:val="000000"/>
                      <w:sz w:val="18"/>
                      <w:szCs w:val="18"/>
                    </w:rPr>
                    <w:t>Insurance brokerage services</w:t>
                  </w:r>
                </w:p>
              </w:tc>
              <w:tc>
                <w:tcPr>
                  <w:tcW w:w="1152" w:type="dxa"/>
                  <w:shd w:val="clear" w:color="auto" w:fill="auto"/>
                  <w:noWrap/>
                  <w:vAlign w:val="center"/>
                  <w:hideMark/>
                </w:tcPr>
                <w:p w14:paraId="45BB9F90" w14:textId="77E18901" w:rsidR="00C35E84" w:rsidRPr="00BB28EA" w:rsidRDefault="00C35E84" w:rsidP="00F614E5">
                  <w:pPr>
                    <w:spacing w:after="0"/>
                    <w:ind w:left="0" w:firstLine="0"/>
                    <w:jc w:val="center"/>
                    <w:rPr>
                      <w:rFonts w:eastAsia="Times New Roman" w:cstheme="minorHAnsi"/>
                      <w:color w:val="000000"/>
                      <w:sz w:val="18"/>
                      <w:szCs w:val="18"/>
                    </w:rPr>
                  </w:pPr>
                  <w:r w:rsidRPr="00BB28EA">
                    <w:rPr>
                      <w:rFonts w:eastAsia="Times New Roman" w:cstheme="minorHAnsi"/>
                      <w:color w:val="000000"/>
                      <w:sz w:val="18"/>
                      <w:szCs w:val="18"/>
                    </w:rPr>
                    <w:t>2.2</w:t>
                  </w:r>
                </w:p>
              </w:tc>
            </w:tr>
            <w:tr w:rsidR="00C35E84" w:rsidRPr="00C35E84" w14:paraId="17FD1FBE" w14:textId="77777777" w:rsidTr="00F614E5">
              <w:trPr>
                <w:trHeight w:val="71"/>
              </w:trPr>
              <w:tc>
                <w:tcPr>
                  <w:tcW w:w="3129" w:type="dxa"/>
                  <w:shd w:val="clear" w:color="auto" w:fill="auto"/>
                  <w:noWrap/>
                  <w:hideMark/>
                </w:tcPr>
                <w:p w14:paraId="79D7A89C" w14:textId="77777777" w:rsidR="00C35E84" w:rsidRPr="00BB28EA" w:rsidRDefault="00C35E84" w:rsidP="006A40EC">
                  <w:pPr>
                    <w:spacing w:after="0"/>
                    <w:ind w:left="0" w:firstLineChars="100" w:firstLine="180"/>
                    <w:rPr>
                      <w:rFonts w:eastAsia="Times New Roman" w:cstheme="minorHAnsi"/>
                      <w:color w:val="000000"/>
                      <w:sz w:val="18"/>
                      <w:szCs w:val="18"/>
                    </w:rPr>
                  </w:pPr>
                  <w:r w:rsidRPr="00BB28EA">
                    <w:rPr>
                      <w:rFonts w:eastAsia="Times New Roman" w:cstheme="minorHAnsi"/>
                      <w:color w:val="000000"/>
                      <w:sz w:val="18"/>
                      <w:szCs w:val="18"/>
                    </w:rPr>
                    <w:t>Insurance agent services</w:t>
                  </w:r>
                </w:p>
              </w:tc>
              <w:tc>
                <w:tcPr>
                  <w:tcW w:w="1152" w:type="dxa"/>
                  <w:shd w:val="clear" w:color="auto" w:fill="auto"/>
                  <w:noWrap/>
                  <w:vAlign w:val="center"/>
                  <w:hideMark/>
                </w:tcPr>
                <w:p w14:paraId="616C6F77" w14:textId="2251DF34" w:rsidR="00C35E84" w:rsidRPr="00BB28EA" w:rsidRDefault="00C35E84" w:rsidP="00F614E5">
                  <w:pPr>
                    <w:spacing w:after="0"/>
                    <w:ind w:left="0" w:firstLine="0"/>
                    <w:jc w:val="center"/>
                    <w:rPr>
                      <w:rFonts w:eastAsia="Times New Roman" w:cstheme="minorHAnsi"/>
                      <w:color w:val="000000"/>
                      <w:sz w:val="18"/>
                      <w:szCs w:val="18"/>
                    </w:rPr>
                  </w:pPr>
                  <w:r w:rsidRPr="00BB28EA">
                    <w:rPr>
                      <w:rFonts w:eastAsia="Times New Roman" w:cstheme="minorHAnsi"/>
                      <w:color w:val="000000"/>
                      <w:sz w:val="18"/>
                      <w:szCs w:val="18"/>
                    </w:rPr>
                    <w:t>1.1</w:t>
                  </w:r>
                </w:p>
              </w:tc>
            </w:tr>
            <w:tr w:rsidR="00184AD9" w:rsidRPr="00C35E84" w14:paraId="1E9E6640" w14:textId="77777777" w:rsidTr="00F614E5">
              <w:trPr>
                <w:trHeight w:val="454"/>
              </w:trPr>
              <w:tc>
                <w:tcPr>
                  <w:tcW w:w="3129" w:type="dxa"/>
                  <w:shd w:val="clear" w:color="auto" w:fill="auto"/>
                  <w:noWrap/>
                  <w:hideMark/>
                </w:tcPr>
                <w:p w14:paraId="549FCC84" w14:textId="77777777" w:rsidR="00184AD9" w:rsidRPr="00BB28EA" w:rsidRDefault="00184AD9" w:rsidP="006A40EC">
                  <w:pPr>
                    <w:spacing w:after="0"/>
                    <w:ind w:left="0" w:firstLineChars="100" w:firstLine="180"/>
                    <w:rPr>
                      <w:rFonts w:eastAsia="Times New Roman" w:cstheme="minorHAnsi"/>
                      <w:color w:val="000000"/>
                      <w:sz w:val="18"/>
                      <w:szCs w:val="18"/>
                    </w:rPr>
                  </w:pPr>
                  <w:r w:rsidRPr="00BB28EA">
                    <w:rPr>
                      <w:rFonts w:eastAsia="Times New Roman" w:cstheme="minorHAnsi"/>
                      <w:sz w:val="18"/>
                    </w:rPr>
                    <w:t>Certain agricultural products</w:t>
                  </w:r>
                </w:p>
                <w:p w14:paraId="64B78AFF" w14:textId="0AFA72AD" w:rsidR="00184AD9" w:rsidRPr="00BB28EA" w:rsidRDefault="00184AD9" w:rsidP="006A40EC">
                  <w:pPr>
                    <w:spacing w:after="0"/>
                    <w:ind w:left="0" w:firstLineChars="100" w:firstLine="180"/>
                    <w:rPr>
                      <w:rFonts w:eastAsia="Times New Roman" w:cstheme="minorHAnsi"/>
                      <w:color w:val="000000"/>
                      <w:sz w:val="18"/>
                      <w:szCs w:val="18"/>
                    </w:rPr>
                  </w:pPr>
                  <w:r w:rsidRPr="00BB28EA">
                    <w:rPr>
                      <w:rFonts w:eastAsia="Times New Roman" w:cstheme="minorHAnsi"/>
                      <w:color w:val="000000"/>
                      <w:sz w:val="18"/>
                      <w:szCs w:val="18"/>
                    </w:rPr>
                    <w:t>(palm oil, tobacco, rice, rubber, etc.)</w:t>
                  </w:r>
                </w:p>
              </w:tc>
              <w:tc>
                <w:tcPr>
                  <w:tcW w:w="1152" w:type="dxa"/>
                  <w:shd w:val="clear" w:color="auto" w:fill="auto"/>
                  <w:noWrap/>
                  <w:vAlign w:val="center"/>
                  <w:hideMark/>
                </w:tcPr>
                <w:p w14:paraId="705C43B5" w14:textId="39ECA0D6" w:rsidR="00184AD9" w:rsidRPr="00BB28EA" w:rsidRDefault="00184AD9" w:rsidP="00F614E5">
                  <w:pPr>
                    <w:spacing w:after="0"/>
                    <w:ind w:left="0" w:firstLine="0"/>
                    <w:jc w:val="center"/>
                    <w:rPr>
                      <w:rFonts w:eastAsia="Times New Roman" w:cstheme="minorHAnsi"/>
                      <w:color w:val="000000"/>
                      <w:sz w:val="18"/>
                      <w:szCs w:val="18"/>
                    </w:rPr>
                  </w:pPr>
                  <w:r w:rsidRPr="00BB28EA">
                    <w:rPr>
                      <w:rFonts w:eastAsia="Times New Roman" w:cstheme="minorHAnsi"/>
                      <w:color w:val="000000"/>
                      <w:sz w:val="18"/>
                      <w:szCs w:val="18"/>
                    </w:rPr>
                    <w:t>1.1</w:t>
                  </w:r>
                </w:p>
              </w:tc>
            </w:tr>
            <w:tr w:rsidR="00C35E84" w:rsidRPr="00C35E84" w14:paraId="3C2953CE" w14:textId="77777777" w:rsidTr="00F614E5">
              <w:trPr>
                <w:trHeight w:val="40"/>
              </w:trPr>
              <w:tc>
                <w:tcPr>
                  <w:tcW w:w="3129" w:type="dxa"/>
                  <w:shd w:val="clear" w:color="auto" w:fill="auto"/>
                  <w:noWrap/>
                  <w:hideMark/>
                </w:tcPr>
                <w:p w14:paraId="6C94646E" w14:textId="77777777" w:rsidR="00C35E84" w:rsidRPr="00BB28EA" w:rsidRDefault="00C35E84" w:rsidP="006A40EC">
                  <w:pPr>
                    <w:spacing w:after="0"/>
                    <w:ind w:left="0" w:firstLineChars="100" w:firstLine="180"/>
                    <w:rPr>
                      <w:rFonts w:eastAsia="Times New Roman" w:cstheme="minorHAnsi"/>
                      <w:color w:val="000000"/>
                      <w:sz w:val="18"/>
                      <w:szCs w:val="18"/>
                    </w:rPr>
                  </w:pPr>
                  <w:r w:rsidRPr="00BB28EA">
                    <w:rPr>
                      <w:rFonts w:eastAsia="Times New Roman" w:cstheme="minorHAnsi"/>
                      <w:sz w:val="18"/>
                    </w:rPr>
                    <w:t>Delivery of used motor vehicles</w:t>
                  </w:r>
                </w:p>
              </w:tc>
              <w:tc>
                <w:tcPr>
                  <w:tcW w:w="1152" w:type="dxa"/>
                  <w:shd w:val="clear" w:color="auto" w:fill="auto"/>
                  <w:noWrap/>
                  <w:vAlign w:val="center"/>
                  <w:hideMark/>
                </w:tcPr>
                <w:p w14:paraId="13DDB9B0" w14:textId="45E30E81" w:rsidR="00C35E84" w:rsidRPr="00BB28EA" w:rsidRDefault="00C35E84" w:rsidP="00F614E5">
                  <w:pPr>
                    <w:spacing w:after="0"/>
                    <w:ind w:left="0" w:firstLine="0"/>
                    <w:jc w:val="center"/>
                    <w:rPr>
                      <w:rFonts w:eastAsia="Times New Roman" w:cstheme="minorHAnsi"/>
                      <w:color w:val="000000"/>
                      <w:sz w:val="18"/>
                      <w:szCs w:val="18"/>
                    </w:rPr>
                  </w:pPr>
                  <w:r w:rsidRPr="00BB28EA">
                    <w:rPr>
                      <w:rFonts w:eastAsia="Times New Roman" w:cstheme="minorHAnsi"/>
                      <w:color w:val="000000"/>
                      <w:sz w:val="18"/>
                      <w:szCs w:val="18"/>
                    </w:rPr>
                    <w:t>1.1</w:t>
                  </w:r>
                </w:p>
              </w:tc>
            </w:tr>
            <w:tr w:rsidR="00C35E84" w:rsidRPr="00C35E84" w14:paraId="603C147D" w14:textId="77777777" w:rsidTr="00F614E5">
              <w:trPr>
                <w:trHeight w:val="40"/>
              </w:trPr>
              <w:tc>
                <w:tcPr>
                  <w:tcW w:w="3129" w:type="dxa"/>
                  <w:shd w:val="clear" w:color="auto" w:fill="auto"/>
                  <w:noWrap/>
                  <w:hideMark/>
                </w:tcPr>
                <w:p w14:paraId="1880C886" w14:textId="77777777" w:rsidR="00C35E84" w:rsidRPr="00BB28EA" w:rsidRDefault="00C35E84" w:rsidP="006A40EC">
                  <w:pPr>
                    <w:spacing w:after="0"/>
                    <w:ind w:left="0" w:firstLineChars="100" w:firstLine="180"/>
                    <w:rPr>
                      <w:rFonts w:eastAsia="Times New Roman" w:cstheme="minorHAnsi"/>
                      <w:color w:val="000000"/>
                      <w:sz w:val="18"/>
                      <w:szCs w:val="18"/>
                    </w:rPr>
                  </w:pPr>
                  <w:r w:rsidRPr="00BB28EA">
                    <w:rPr>
                      <w:rFonts w:eastAsia="Times New Roman" w:cstheme="minorHAnsi"/>
                      <w:color w:val="000000"/>
                      <w:sz w:val="18"/>
                      <w:szCs w:val="18"/>
                    </w:rPr>
                    <w:t>Packaged delivery services</w:t>
                  </w:r>
                </w:p>
              </w:tc>
              <w:tc>
                <w:tcPr>
                  <w:tcW w:w="1152" w:type="dxa"/>
                  <w:shd w:val="clear" w:color="auto" w:fill="auto"/>
                  <w:noWrap/>
                  <w:vAlign w:val="center"/>
                  <w:hideMark/>
                </w:tcPr>
                <w:p w14:paraId="1F99897C" w14:textId="32B03FC2" w:rsidR="00C35E84" w:rsidRPr="00BB28EA" w:rsidRDefault="00C35E84" w:rsidP="00F614E5">
                  <w:pPr>
                    <w:spacing w:after="0"/>
                    <w:ind w:left="0" w:firstLine="0"/>
                    <w:jc w:val="center"/>
                    <w:rPr>
                      <w:rFonts w:eastAsia="Times New Roman" w:cstheme="minorHAnsi"/>
                      <w:color w:val="000000"/>
                      <w:sz w:val="18"/>
                      <w:szCs w:val="18"/>
                    </w:rPr>
                  </w:pPr>
                  <w:r w:rsidRPr="00BB28EA">
                    <w:rPr>
                      <w:rFonts w:eastAsia="Times New Roman" w:cstheme="minorHAnsi"/>
                      <w:color w:val="000000"/>
                      <w:sz w:val="18"/>
                      <w:szCs w:val="18"/>
                    </w:rPr>
                    <w:t>1.1</w:t>
                  </w:r>
                </w:p>
              </w:tc>
            </w:tr>
            <w:tr w:rsidR="00C35E84" w:rsidRPr="00C35E84" w14:paraId="4215523A" w14:textId="77777777" w:rsidTr="00F614E5">
              <w:trPr>
                <w:trHeight w:val="143"/>
              </w:trPr>
              <w:tc>
                <w:tcPr>
                  <w:tcW w:w="3129" w:type="dxa"/>
                  <w:shd w:val="clear" w:color="auto" w:fill="auto"/>
                  <w:noWrap/>
                  <w:hideMark/>
                </w:tcPr>
                <w:p w14:paraId="7BEAF352" w14:textId="77777777" w:rsidR="00C35E84" w:rsidRPr="00BB28EA" w:rsidRDefault="00C35E84" w:rsidP="006A40EC">
                  <w:pPr>
                    <w:spacing w:after="0"/>
                    <w:ind w:left="0" w:firstLineChars="100" w:firstLine="180"/>
                    <w:rPr>
                      <w:rFonts w:eastAsia="Times New Roman" w:cstheme="minorHAnsi"/>
                      <w:color w:val="000000"/>
                      <w:sz w:val="18"/>
                      <w:szCs w:val="18"/>
                    </w:rPr>
                  </w:pPr>
                  <w:r w:rsidRPr="00BB28EA">
                    <w:rPr>
                      <w:rFonts w:eastAsia="Times New Roman" w:cstheme="minorHAnsi"/>
                      <w:color w:val="000000"/>
                      <w:sz w:val="18"/>
                      <w:szCs w:val="18"/>
                    </w:rPr>
                    <w:t>Travel agency (travel packages)</w:t>
                  </w:r>
                </w:p>
              </w:tc>
              <w:tc>
                <w:tcPr>
                  <w:tcW w:w="1152" w:type="dxa"/>
                  <w:shd w:val="clear" w:color="auto" w:fill="auto"/>
                  <w:noWrap/>
                  <w:vAlign w:val="center"/>
                  <w:hideMark/>
                </w:tcPr>
                <w:p w14:paraId="7F8590EA" w14:textId="2E8AC799" w:rsidR="00C35E84" w:rsidRPr="00BB28EA" w:rsidRDefault="00C35E84" w:rsidP="00F614E5">
                  <w:pPr>
                    <w:spacing w:after="0"/>
                    <w:ind w:left="0" w:firstLine="0"/>
                    <w:jc w:val="center"/>
                    <w:rPr>
                      <w:rFonts w:eastAsia="Times New Roman" w:cstheme="minorHAnsi"/>
                      <w:color w:val="000000"/>
                      <w:sz w:val="18"/>
                      <w:szCs w:val="18"/>
                    </w:rPr>
                  </w:pPr>
                  <w:r w:rsidRPr="00BB28EA">
                    <w:rPr>
                      <w:rFonts w:eastAsia="Times New Roman" w:cstheme="minorHAnsi"/>
                      <w:color w:val="000000"/>
                      <w:sz w:val="18"/>
                      <w:szCs w:val="18"/>
                    </w:rPr>
                    <w:t>1.1</w:t>
                  </w:r>
                </w:p>
              </w:tc>
            </w:tr>
            <w:tr w:rsidR="00C35E84" w:rsidRPr="00C35E84" w14:paraId="56B412FE" w14:textId="77777777" w:rsidTr="00F614E5">
              <w:trPr>
                <w:trHeight w:val="40"/>
              </w:trPr>
              <w:tc>
                <w:tcPr>
                  <w:tcW w:w="3129" w:type="dxa"/>
                  <w:shd w:val="clear" w:color="auto" w:fill="auto"/>
                  <w:hideMark/>
                </w:tcPr>
                <w:p w14:paraId="4700403B" w14:textId="77777777" w:rsidR="00C35E84" w:rsidRPr="00BB28EA" w:rsidRDefault="00C35E84" w:rsidP="006A40EC">
                  <w:pPr>
                    <w:spacing w:after="0"/>
                    <w:ind w:left="0" w:firstLineChars="100" w:firstLine="180"/>
                    <w:rPr>
                      <w:rFonts w:eastAsia="Times New Roman" w:cstheme="minorHAnsi"/>
                      <w:color w:val="000000"/>
                      <w:sz w:val="18"/>
                      <w:szCs w:val="18"/>
                    </w:rPr>
                  </w:pPr>
                  <w:r w:rsidRPr="00BB28EA">
                    <w:rPr>
                      <w:rFonts w:eastAsia="Times New Roman" w:cstheme="minorHAnsi"/>
                      <w:color w:val="000000"/>
                      <w:sz w:val="18"/>
                      <w:szCs w:val="18"/>
                    </w:rPr>
                    <w:t>Religious travel services</w:t>
                  </w:r>
                </w:p>
              </w:tc>
              <w:tc>
                <w:tcPr>
                  <w:tcW w:w="1152" w:type="dxa"/>
                  <w:shd w:val="clear" w:color="auto" w:fill="auto"/>
                  <w:vAlign w:val="center"/>
                  <w:hideMark/>
                </w:tcPr>
                <w:p w14:paraId="6FACE402" w14:textId="3FFA85BC" w:rsidR="00C35E84" w:rsidRPr="00BB28EA" w:rsidRDefault="00C35E84" w:rsidP="00F614E5">
                  <w:pPr>
                    <w:spacing w:after="0"/>
                    <w:ind w:left="0" w:firstLine="0"/>
                    <w:jc w:val="center"/>
                    <w:rPr>
                      <w:rFonts w:eastAsia="Times New Roman" w:cstheme="minorHAnsi"/>
                      <w:color w:val="000000"/>
                      <w:sz w:val="18"/>
                      <w:szCs w:val="18"/>
                    </w:rPr>
                  </w:pPr>
                  <w:r w:rsidRPr="00BB28EA">
                    <w:rPr>
                      <w:rFonts w:eastAsia="Times New Roman" w:cstheme="minorHAnsi"/>
                      <w:color w:val="000000"/>
                      <w:sz w:val="18"/>
                      <w:szCs w:val="18"/>
                    </w:rPr>
                    <w:t xml:space="preserve">0.55 </w:t>
                  </w:r>
                  <w:r w:rsidR="009D53FC" w:rsidRPr="00BB28EA">
                    <w:rPr>
                      <w:rFonts w:eastAsia="Times New Roman" w:cstheme="minorHAnsi"/>
                      <w:color w:val="000000"/>
                      <w:sz w:val="18"/>
                      <w:szCs w:val="18"/>
                    </w:rPr>
                    <w:t>-</w:t>
                  </w:r>
                  <w:r w:rsidRPr="00BB28EA">
                    <w:rPr>
                      <w:rFonts w:eastAsia="Times New Roman" w:cstheme="minorHAnsi"/>
                      <w:color w:val="000000"/>
                      <w:sz w:val="18"/>
                      <w:szCs w:val="18"/>
                    </w:rPr>
                    <w:t>1.1</w:t>
                  </w:r>
                </w:p>
              </w:tc>
            </w:tr>
          </w:tbl>
          <w:p w14:paraId="55497443" w14:textId="77777777" w:rsidR="00C35E84" w:rsidRPr="00BB28EA" w:rsidRDefault="00C35E84" w:rsidP="00C35E84">
            <w:pPr>
              <w:keepNext/>
              <w:ind w:right="144"/>
              <w:jc w:val="both"/>
              <w:rPr>
                <w:rFonts w:asciiTheme="minorHAnsi" w:hAnsiTheme="minorHAnsi" w:cstheme="minorHAnsi"/>
                <w:b/>
                <w:color w:val="808080" w:themeColor="background1" w:themeShade="80"/>
                <w:sz w:val="18"/>
                <w:szCs w:val="18"/>
              </w:rPr>
            </w:pPr>
          </w:p>
        </w:tc>
      </w:tr>
      <w:tr w:rsidR="00B82CD7" w:rsidRPr="00C35E84" w14:paraId="266853FC" w14:textId="77777777" w:rsidTr="00713FC9">
        <w:trPr>
          <w:trHeight w:val="349"/>
        </w:trPr>
        <w:tc>
          <w:tcPr>
            <w:tcW w:w="4857" w:type="dxa"/>
          </w:tcPr>
          <w:p w14:paraId="57C38A6A" w14:textId="77777777" w:rsidR="00B82CD7" w:rsidRDefault="00B82CD7" w:rsidP="00B82CD7">
            <w:pPr>
              <w:keepNext/>
              <w:ind w:right="144"/>
              <w:rPr>
                <w:rFonts w:cstheme="minorHAnsi"/>
                <w:bCs/>
                <w:noProof/>
                <w:color w:val="000000" w:themeColor="text1"/>
                <w:sz w:val="18"/>
                <w:szCs w:val="18"/>
              </w:rPr>
            </w:pPr>
            <w:r w:rsidRPr="0083648C">
              <w:rPr>
                <w:rFonts w:cstheme="minorHAnsi"/>
                <w:bCs/>
                <w:i/>
                <w:iCs/>
                <w:noProof/>
                <w:color w:val="000000" w:themeColor="text1"/>
                <w:sz w:val="18"/>
                <w:szCs w:val="18"/>
              </w:rPr>
              <w:t>Source</w:t>
            </w:r>
            <w:r w:rsidRPr="0083648C">
              <w:rPr>
                <w:rFonts w:cstheme="minorHAnsi"/>
                <w:bCs/>
                <w:noProof/>
                <w:color w:val="000000" w:themeColor="text1"/>
                <w:sz w:val="18"/>
                <w:szCs w:val="18"/>
              </w:rPr>
              <w:t>: World Bank staff elaboration based on laws &amp; regulations.</w:t>
            </w:r>
          </w:p>
          <w:p w14:paraId="71062832" w14:textId="57B53B33" w:rsidR="00B82CD7" w:rsidRPr="00B82CD7" w:rsidRDefault="00B82CD7" w:rsidP="00B82CD7">
            <w:pPr>
              <w:keepNext/>
              <w:ind w:right="144"/>
              <w:rPr>
                <w:rFonts w:asciiTheme="minorHAnsi" w:hAnsiTheme="minorHAnsi" w:cstheme="minorHAnsi"/>
                <w:bCs/>
                <w:noProof/>
                <w:color w:val="000000" w:themeColor="text1"/>
                <w:sz w:val="16"/>
                <w:szCs w:val="16"/>
              </w:rPr>
            </w:pPr>
            <w:r w:rsidRPr="0083648C">
              <w:rPr>
                <w:rFonts w:cstheme="minorHAnsi"/>
                <w:bCs/>
                <w:i/>
                <w:iCs/>
                <w:noProof/>
                <w:color w:val="000000" w:themeColor="text1"/>
                <w:sz w:val="18"/>
                <w:szCs w:val="18"/>
              </w:rPr>
              <w:t>Note</w:t>
            </w:r>
            <w:r w:rsidRPr="0083648C">
              <w:rPr>
                <w:rFonts w:cstheme="minorHAnsi"/>
                <w:bCs/>
                <w:noProof/>
                <w:color w:val="000000" w:themeColor="text1"/>
                <w:sz w:val="18"/>
                <w:szCs w:val="18"/>
              </w:rPr>
              <w:t>: *</w:t>
            </w:r>
            <w:r w:rsidRPr="00F21E2A">
              <w:rPr>
                <w:rFonts w:asciiTheme="minorHAnsi" w:hAnsiTheme="minorHAnsi" w:cstheme="minorHAnsi"/>
                <w:bCs/>
                <w:noProof/>
                <w:color w:val="000000" w:themeColor="text1"/>
                <w:sz w:val="18"/>
                <w:szCs w:val="18"/>
              </w:rPr>
              <w:t>S</w:t>
            </w:r>
            <w:r w:rsidRPr="0083648C">
              <w:rPr>
                <w:rFonts w:cstheme="minorHAnsi"/>
                <w:bCs/>
                <w:noProof/>
                <w:color w:val="000000" w:themeColor="text1"/>
                <w:sz w:val="18"/>
                <w:szCs w:val="18"/>
              </w:rPr>
              <w:t xml:space="preserve">unset clauses of between </w:t>
            </w:r>
            <w:r w:rsidRPr="00F21E2A">
              <w:rPr>
                <w:rFonts w:asciiTheme="minorHAnsi" w:hAnsiTheme="minorHAnsi" w:cstheme="minorHAnsi"/>
                <w:bCs/>
                <w:noProof/>
                <w:color w:val="000000" w:themeColor="text1"/>
                <w:sz w:val="18"/>
                <w:szCs w:val="18"/>
              </w:rPr>
              <w:t>three</w:t>
            </w:r>
            <w:r w:rsidRPr="0083648C">
              <w:rPr>
                <w:rFonts w:cstheme="minorHAnsi"/>
                <w:bCs/>
                <w:noProof/>
                <w:color w:val="000000" w:themeColor="text1"/>
                <w:sz w:val="18"/>
                <w:szCs w:val="18"/>
              </w:rPr>
              <w:t xml:space="preserve"> and </w:t>
            </w:r>
            <w:r w:rsidRPr="00F21E2A">
              <w:rPr>
                <w:rFonts w:asciiTheme="minorHAnsi" w:hAnsiTheme="minorHAnsi" w:cstheme="minorHAnsi"/>
                <w:bCs/>
                <w:noProof/>
                <w:color w:val="000000" w:themeColor="text1"/>
                <w:sz w:val="18"/>
                <w:szCs w:val="18"/>
              </w:rPr>
              <w:t>seven</w:t>
            </w:r>
            <w:r w:rsidRPr="0083648C">
              <w:rPr>
                <w:rFonts w:cstheme="minorHAnsi"/>
                <w:bCs/>
                <w:noProof/>
                <w:color w:val="000000" w:themeColor="text1"/>
                <w:sz w:val="18"/>
                <w:szCs w:val="18"/>
              </w:rPr>
              <w:t xml:space="preserve"> years are applicable.</w:t>
            </w:r>
            <w:r w:rsidRPr="00F21E2A">
              <w:rPr>
                <w:rFonts w:asciiTheme="minorHAnsi" w:hAnsiTheme="minorHAnsi" w:cstheme="minorHAnsi"/>
                <w:bCs/>
                <w:noProof/>
                <w:color w:val="000000" w:themeColor="text1"/>
                <w:sz w:val="16"/>
                <w:szCs w:val="16"/>
              </w:rPr>
              <w:t xml:space="preserve"> </w:t>
            </w:r>
          </w:p>
        </w:tc>
        <w:tc>
          <w:tcPr>
            <w:tcW w:w="4858" w:type="dxa"/>
          </w:tcPr>
          <w:p w14:paraId="79D2C8A5" w14:textId="35360022" w:rsidR="00B82CD7" w:rsidRPr="0083648C" w:rsidRDefault="00B82CD7" w:rsidP="00B82CD7">
            <w:pPr>
              <w:keepNext/>
              <w:ind w:right="144"/>
              <w:rPr>
                <w:rFonts w:asciiTheme="minorHAnsi" w:hAnsiTheme="minorHAnsi" w:cstheme="minorHAnsi"/>
                <w:bCs/>
                <w:noProof/>
                <w:color w:val="000000" w:themeColor="text1"/>
                <w:sz w:val="18"/>
                <w:szCs w:val="18"/>
              </w:rPr>
            </w:pPr>
            <w:r w:rsidRPr="0083648C">
              <w:rPr>
                <w:rFonts w:cstheme="minorHAnsi"/>
                <w:bCs/>
                <w:i/>
                <w:iCs/>
                <w:noProof/>
                <w:color w:val="000000" w:themeColor="text1"/>
                <w:sz w:val="18"/>
                <w:szCs w:val="18"/>
              </w:rPr>
              <w:t>Source</w:t>
            </w:r>
            <w:r w:rsidRPr="0083648C">
              <w:rPr>
                <w:rFonts w:cstheme="minorHAnsi"/>
                <w:bCs/>
                <w:noProof/>
                <w:color w:val="000000" w:themeColor="text1"/>
                <w:sz w:val="18"/>
                <w:szCs w:val="18"/>
              </w:rPr>
              <w:t>: World Bank staff elaboration based on laws &amp; regulations.</w:t>
            </w:r>
          </w:p>
        </w:tc>
      </w:tr>
    </w:tbl>
    <w:p w14:paraId="70349E7D" w14:textId="04C5975E" w:rsidR="00B24CC0" w:rsidRDefault="00B24CC0" w:rsidP="00096C52">
      <w:pPr>
        <w:pStyle w:val="ListParagraph"/>
        <w:numPr>
          <w:ilvl w:val="0"/>
          <w:numId w:val="12"/>
        </w:numPr>
        <w:spacing w:before="240"/>
        <w:ind w:left="0" w:firstLine="0"/>
        <w:contextualSpacing w:val="0"/>
        <w:jc w:val="both"/>
      </w:pPr>
      <w:r w:rsidRPr="00BD7E9D">
        <w:rPr>
          <w:b/>
          <w:bCs/>
        </w:rPr>
        <w:t xml:space="preserve">Multi-rate regimes and widespread preferential treatments weaken </w:t>
      </w:r>
      <w:r w:rsidR="00241A06" w:rsidRPr="00BD7E9D">
        <w:rPr>
          <w:b/>
          <w:bCs/>
        </w:rPr>
        <w:t xml:space="preserve">tax </w:t>
      </w:r>
      <w:r w:rsidRPr="00BD7E9D">
        <w:rPr>
          <w:b/>
          <w:bCs/>
        </w:rPr>
        <w:t>collection efficiency.</w:t>
      </w:r>
      <w:r w:rsidRPr="00BD7E9D">
        <w:t xml:space="preserve"> The adoption of various multi-rate regimes, both in the CIT and VAT, has become </w:t>
      </w:r>
      <w:r w:rsidR="00241A06" w:rsidRPr="00BD7E9D">
        <w:t xml:space="preserve">a </w:t>
      </w:r>
      <w:r w:rsidRPr="00BD7E9D">
        <w:t xml:space="preserve">source of complexity </w:t>
      </w:r>
      <w:r w:rsidR="00435594" w:rsidRPr="00BD7E9D">
        <w:t xml:space="preserve">impeding </w:t>
      </w:r>
      <w:r w:rsidRPr="00BD7E9D">
        <w:t>tax administration</w:t>
      </w:r>
      <w:r w:rsidR="00E15F25" w:rsidRPr="00BD7E9D">
        <w:t xml:space="preserve"> and tax compliance</w:t>
      </w:r>
      <w:r w:rsidRPr="00BD7E9D">
        <w:t xml:space="preserve">. Under the CIT structure, an extensive set of special rates are given for firms of different </w:t>
      </w:r>
      <w:proofErr w:type="gramStart"/>
      <w:r w:rsidRPr="00BD7E9D">
        <w:t>size</w:t>
      </w:r>
      <w:proofErr w:type="gramEnd"/>
      <w:r w:rsidRPr="00BD7E9D">
        <w:t xml:space="preserve"> and </w:t>
      </w:r>
      <w:r w:rsidRPr="00BD7E9D">
        <w:rPr>
          <w:color w:val="000000" w:themeColor="text1"/>
        </w:rPr>
        <w:t xml:space="preserve">sectors (Table </w:t>
      </w:r>
      <w:r w:rsidR="00E644F4" w:rsidRPr="00BD7E9D">
        <w:rPr>
          <w:color w:val="000000" w:themeColor="text1"/>
        </w:rPr>
        <w:t>5.1</w:t>
      </w:r>
      <w:r w:rsidRPr="00BD7E9D">
        <w:rPr>
          <w:color w:val="000000" w:themeColor="text1"/>
        </w:rPr>
        <w:t xml:space="preserve">). </w:t>
      </w:r>
      <w:r w:rsidR="00A171DC" w:rsidRPr="00BD7E9D">
        <w:t xml:space="preserve">Added to these are a variety of </w:t>
      </w:r>
      <w:r w:rsidR="008D1321" w:rsidRPr="00BD7E9D">
        <w:t>tax incentive schemes</w:t>
      </w:r>
      <w:r w:rsidR="006A40EC" w:rsidRPr="00BD7E9D">
        <w:rPr>
          <w:rFonts w:cstheme="minorHAnsi"/>
        </w:rPr>
        <w:t>–</w:t>
      </w:r>
      <w:r w:rsidR="009C3DAC" w:rsidRPr="00BD7E9D">
        <w:t>among the most generous in ASEAN</w:t>
      </w:r>
      <w:r w:rsidR="006A40EC" w:rsidRPr="00BD7E9D">
        <w:rPr>
          <w:rFonts w:cstheme="minorHAnsi"/>
        </w:rPr>
        <w:t>–</w:t>
      </w:r>
      <w:r w:rsidR="009C3DAC" w:rsidRPr="00BD7E9D">
        <w:t>aimed at promoting investment in priority sectors</w:t>
      </w:r>
      <w:r w:rsidR="003C3EB6" w:rsidRPr="00BD7E9D">
        <w:t>, although take</w:t>
      </w:r>
      <w:r w:rsidR="00667241" w:rsidRPr="00BD7E9D">
        <w:t>-</w:t>
      </w:r>
      <w:r w:rsidR="003C3EB6" w:rsidRPr="00BD7E9D">
        <w:t>up is not high</w:t>
      </w:r>
      <w:r w:rsidR="009C3DAC" w:rsidRPr="00BD7E9D">
        <w:t xml:space="preserve">. </w:t>
      </w:r>
      <w:r w:rsidR="006833FC" w:rsidRPr="00BD7E9D">
        <w:t>Likewise</w:t>
      </w:r>
      <w:r w:rsidRPr="00BD7E9D">
        <w:t xml:space="preserve">, there are varying final VAT rates for certain sectors </w:t>
      </w:r>
      <w:r w:rsidRPr="00BD7E9D">
        <w:rPr>
          <w:color w:val="000000" w:themeColor="text1"/>
        </w:rPr>
        <w:t xml:space="preserve">(Table </w:t>
      </w:r>
      <w:r w:rsidR="00E644F4" w:rsidRPr="00BD7E9D">
        <w:rPr>
          <w:color w:val="000000" w:themeColor="text1"/>
        </w:rPr>
        <w:t>5.2</w:t>
      </w:r>
      <w:r w:rsidRPr="00BD7E9D">
        <w:rPr>
          <w:color w:val="000000" w:themeColor="text1"/>
        </w:rPr>
        <w:t xml:space="preserve">). </w:t>
      </w:r>
      <w:r w:rsidR="002E2E2D" w:rsidRPr="00BD7E9D">
        <w:rPr>
          <w:color w:val="000000" w:themeColor="text1"/>
        </w:rPr>
        <w:t xml:space="preserve">Multi-rate schemes </w:t>
      </w:r>
      <w:r w:rsidR="00F7517B" w:rsidRPr="00BD7E9D">
        <w:rPr>
          <w:color w:val="000000" w:themeColor="text1"/>
        </w:rPr>
        <w:t xml:space="preserve">raise </w:t>
      </w:r>
      <w:r w:rsidR="002C6BA6" w:rsidRPr="00BD7E9D">
        <w:rPr>
          <w:color w:val="000000" w:themeColor="text1"/>
        </w:rPr>
        <w:t xml:space="preserve">the </w:t>
      </w:r>
      <w:r w:rsidRPr="00BD7E9D">
        <w:rPr>
          <w:color w:val="000000" w:themeColor="text1"/>
        </w:rPr>
        <w:t>cost</w:t>
      </w:r>
      <w:r w:rsidR="002C6BA6" w:rsidRPr="00BD7E9D">
        <w:rPr>
          <w:color w:val="000000" w:themeColor="text1"/>
        </w:rPr>
        <w:t xml:space="preserve"> of tax</w:t>
      </w:r>
      <w:r w:rsidR="002C6BA6" w:rsidRPr="00096C52">
        <w:rPr>
          <w:color w:val="000000" w:themeColor="text1"/>
        </w:rPr>
        <w:t xml:space="preserve"> compliance</w:t>
      </w:r>
      <w:r w:rsidRPr="00096C52">
        <w:rPr>
          <w:color w:val="000000" w:themeColor="text1"/>
        </w:rPr>
        <w:t>, as tax form</w:t>
      </w:r>
      <w:r w:rsidR="00F7517B" w:rsidRPr="00096C52">
        <w:rPr>
          <w:color w:val="000000" w:themeColor="text1"/>
        </w:rPr>
        <w:t>s</w:t>
      </w:r>
      <w:r w:rsidRPr="00096C52">
        <w:rPr>
          <w:color w:val="000000" w:themeColor="text1"/>
        </w:rPr>
        <w:t xml:space="preserve"> become </w:t>
      </w:r>
      <w:r w:rsidR="00F7517B" w:rsidRPr="00096C52">
        <w:rPr>
          <w:color w:val="000000" w:themeColor="text1"/>
        </w:rPr>
        <w:t xml:space="preserve">increasingly </w:t>
      </w:r>
      <w:r w:rsidRPr="00096C52">
        <w:rPr>
          <w:color w:val="000000" w:themeColor="text1"/>
        </w:rPr>
        <w:t>complex</w:t>
      </w:r>
      <w:r>
        <w:t xml:space="preserve"> and </w:t>
      </w:r>
      <w:r w:rsidR="0059245F">
        <w:t xml:space="preserve">business </w:t>
      </w:r>
      <w:r>
        <w:t xml:space="preserve">accounting records need to be </w:t>
      </w:r>
      <w:r w:rsidR="00EF416C">
        <w:t xml:space="preserve">ever </w:t>
      </w:r>
      <w:r>
        <w:t xml:space="preserve">more </w:t>
      </w:r>
      <w:r w:rsidR="002C6BA6">
        <w:t>comprehensive</w:t>
      </w:r>
      <w:r>
        <w:t xml:space="preserve">. </w:t>
      </w:r>
      <w:r>
        <w:rPr>
          <w:color w:val="000000" w:themeColor="text1"/>
        </w:rPr>
        <w:t xml:space="preserve">Scarce administrative resources </w:t>
      </w:r>
      <w:r w:rsidR="009D427C">
        <w:rPr>
          <w:color w:val="000000" w:themeColor="text1"/>
        </w:rPr>
        <w:t>must</w:t>
      </w:r>
      <w:r>
        <w:rPr>
          <w:color w:val="000000" w:themeColor="text1"/>
        </w:rPr>
        <w:t xml:space="preserve"> </w:t>
      </w:r>
      <w:r w:rsidR="009D427C">
        <w:rPr>
          <w:color w:val="000000" w:themeColor="text1"/>
        </w:rPr>
        <w:t xml:space="preserve">also </w:t>
      </w:r>
      <w:r>
        <w:rPr>
          <w:color w:val="000000" w:themeColor="text1"/>
        </w:rPr>
        <w:t xml:space="preserve">be channeled into </w:t>
      </w:r>
      <w:r w:rsidR="009D427C">
        <w:rPr>
          <w:color w:val="000000" w:themeColor="text1"/>
        </w:rPr>
        <w:t xml:space="preserve">checking and </w:t>
      </w:r>
      <w:r>
        <w:rPr>
          <w:color w:val="000000" w:themeColor="text1"/>
        </w:rPr>
        <w:t xml:space="preserve">resolving potential errors </w:t>
      </w:r>
      <w:r w:rsidR="009D427C">
        <w:rPr>
          <w:color w:val="000000" w:themeColor="text1"/>
        </w:rPr>
        <w:t xml:space="preserve">in </w:t>
      </w:r>
      <w:r>
        <w:rPr>
          <w:color w:val="000000" w:themeColor="text1"/>
        </w:rPr>
        <w:t>tax filings.</w:t>
      </w:r>
      <w:r>
        <w:t xml:space="preserve"> </w:t>
      </w:r>
      <w:r w:rsidR="002651F1">
        <w:t xml:space="preserve">Furthermore, </w:t>
      </w:r>
      <w:r w:rsidR="00F040A7">
        <w:t xml:space="preserve">the long menu of </w:t>
      </w:r>
      <w:r>
        <w:t xml:space="preserve">preferential treatments </w:t>
      </w:r>
      <w:r w:rsidR="00311131">
        <w:t xml:space="preserve">can </w:t>
      </w:r>
      <w:r>
        <w:t>distort business decisions</w:t>
      </w:r>
      <w:r w:rsidR="00FD112C">
        <w:t xml:space="preserve"> and erode broader allocative efficiency</w:t>
      </w:r>
      <w:r>
        <w:t xml:space="preserve">, </w:t>
      </w:r>
      <w:r w:rsidR="00FD112C">
        <w:t xml:space="preserve">by incentivizing </w:t>
      </w:r>
      <w:r w:rsidR="008D3F01">
        <w:t xml:space="preserve">firms to </w:t>
      </w:r>
      <w:r>
        <w:t xml:space="preserve">strategically structure their operations to exploit </w:t>
      </w:r>
      <w:r w:rsidR="00955A22">
        <w:t>tax advantages</w:t>
      </w:r>
      <w:r>
        <w:t>.</w:t>
      </w:r>
      <w:r w:rsidR="000F262D">
        <w:t xml:space="preserve"> </w:t>
      </w:r>
    </w:p>
    <w:p w14:paraId="77EE3BCF" w14:textId="1FC42CEB" w:rsidR="00AC72FF" w:rsidRPr="006810D2" w:rsidRDefault="00AC72FF" w:rsidP="006810D2">
      <w:pPr>
        <w:pStyle w:val="Heading2"/>
        <w:rPr>
          <w:b w:val="0"/>
          <w:color w:val="4472C4" w:themeColor="accent1"/>
        </w:rPr>
      </w:pPr>
      <w:bookmarkStart w:id="57" w:name="_Toc177819053"/>
      <w:r w:rsidRPr="006810D2">
        <w:rPr>
          <w:rFonts w:asciiTheme="minorHAnsi" w:hAnsiTheme="minorHAnsi" w:cstheme="minorHAnsi"/>
          <w:color w:val="4472C4" w:themeColor="accent1"/>
          <w:sz w:val="24"/>
          <w:szCs w:val="24"/>
        </w:rPr>
        <w:lastRenderedPageBreak/>
        <w:t>Recommendations</w:t>
      </w:r>
      <w:bookmarkEnd w:id="57"/>
    </w:p>
    <w:p w14:paraId="0189818A" w14:textId="3AF8F3FC" w:rsidR="003B6B12" w:rsidRPr="003B6B12" w:rsidRDefault="003B6B12" w:rsidP="003B6B12">
      <w:pPr>
        <w:spacing w:before="120"/>
        <w:rPr>
          <w:b/>
          <w:bCs/>
          <w:u w:val="single"/>
        </w:rPr>
      </w:pPr>
      <w:r w:rsidRPr="003B6B12">
        <w:rPr>
          <w:b/>
          <w:bCs/>
          <w:u w:val="single"/>
        </w:rPr>
        <w:t>Corporate Income Tax</w:t>
      </w:r>
    </w:p>
    <w:p w14:paraId="61EF2314" w14:textId="66204A30" w:rsidR="003B6B12" w:rsidRDefault="00704275" w:rsidP="00096C52">
      <w:pPr>
        <w:numPr>
          <w:ilvl w:val="0"/>
          <w:numId w:val="13"/>
        </w:numPr>
        <w:spacing w:after="60"/>
        <w:jc w:val="both"/>
      </w:pPr>
      <w:r w:rsidRPr="00704275">
        <w:rPr>
          <w:b/>
          <w:bCs/>
        </w:rPr>
        <w:t>Withdraw special treatment of the construction services sector</w:t>
      </w:r>
      <w:r w:rsidR="003B6B12" w:rsidRPr="003B6B12">
        <w:rPr>
          <w:b/>
          <w:bCs/>
        </w:rPr>
        <w:t xml:space="preserve">. </w:t>
      </w:r>
      <w:r w:rsidR="00223C10" w:rsidRPr="00223C10">
        <w:t>Although final tax treatment can make sense for sectors with high informality and a concentration of small operators, the associated simplified filing requirements reduce the tax authority’</w:t>
      </w:r>
      <w:r w:rsidR="00317C32">
        <w:t>s</w:t>
      </w:r>
      <w:r w:rsidR="00223C10" w:rsidRPr="00223C10">
        <w:t xml:space="preserve"> ability to monitor and audit compliance. </w:t>
      </w:r>
      <w:r w:rsidR="009D033F" w:rsidRPr="00223C10">
        <w:t xml:space="preserve">Despite the availability of simplified final tax provisions for </w:t>
      </w:r>
      <w:r w:rsidR="00223C10" w:rsidRPr="00223C10">
        <w:t xml:space="preserve">the </w:t>
      </w:r>
      <w:r w:rsidR="009D033F" w:rsidRPr="00223C10">
        <w:t>construction services sector</w:t>
      </w:r>
      <w:r w:rsidR="00BD7E9D">
        <w:rPr>
          <w:rFonts w:cstheme="minorHAnsi"/>
        </w:rPr>
        <w:t>–</w:t>
      </w:r>
      <w:r w:rsidR="009D033F" w:rsidRPr="00223C10">
        <w:t xml:space="preserve">or perhaps because of </w:t>
      </w:r>
      <w:r w:rsidR="00223C10" w:rsidRPr="00223C10">
        <w:t>it</w:t>
      </w:r>
      <w:r w:rsidR="00BD7E9D">
        <w:rPr>
          <w:rFonts w:cstheme="minorHAnsi"/>
        </w:rPr>
        <w:t>–</w:t>
      </w:r>
      <w:r w:rsidR="009D033F" w:rsidRPr="00223C10">
        <w:t>income tax revenues from the sector have been significantly lagging growth in the sector’s GDP.</w:t>
      </w:r>
      <w:r w:rsidR="009D033F">
        <w:rPr>
          <w:b/>
          <w:bCs/>
        </w:rPr>
        <w:t xml:space="preserve"> </w:t>
      </w:r>
      <w:r w:rsidR="00223C10">
        <w:t>The sector should be wound back into the standard CIT regime and smaller operators offer</w:t>
      </w:r>
      <w:r w:rsidR="00DF1706">
        <w:t>ed</w:t>
      </w:r>
      <w:r w:rsidR="00223C10">
        <w:t xml:space="preserve"> the same </w:t>
      </w:r>
      <w:r w:rsidR="00856D64">
        <w:t xml:space="preserve">alternative scheme </w:t>
      </w:r>
      <w:r w:rsidR="00223C10">
        <w:t xml:space="preserve">provisions </w:t>
      </w:r>
      <w:r w:rsidR="00DF1706">
        <w:t xml:space="preserve">available </w:t>
      </w:r>
      <w:r w:rsidR="00223C10">
        <w:t xml:space="preserve">to any other </w:t>
      </w:r>
      <w:r w:rsidR="00856D64">
        <w:t xml:space="preserve">small </w:t>
      </w:r>
      <w:r w:rsidR="00223C10">
        <w:t xml:space="preserve">firm. </w:t>
      </w:r>
    </w:p>
    <w:p w14:paraId="4D2A58D7" w14:textId="075BC3D5" w:rsidR="00D90702" w:rsidRPr="00437CA1" w:rsidRDefault="00300A92" w:rsidP="00096C52">
      <w:pPr>
        <w:numPr>
          <w:ilvl w:val="0"/>
          <w:numId w:val="13"/>
        </w:numPr>
        <w:spacing w:after="60"/>
        <w:jc w:val="both"/>
        <w:rPr>
          <w:b/>
        </w:rPr>
      </w:pPr>
      <w:r w:rsidRPr="00437CA1">
        <w:rPr>
          <w:b/>
        </w:rPr>
        <w:t xml:space="preserve">Withdraw special treatment </w:t>
      </w:r>
      <w:proofErr w:type="gramStart"/>
      <w:r w:rsidRPr="00437CA1">
        <w:rPr>
          <w:b/>
        </w:rPr>
        <w:t>of</w:t>
      </w:r>
      <w:proofErr w:type="gramEnd"/>
      <w:r w:rsidRPr="00437CA1">
        <w:rPr>
          <w:b/>
        </w:rPr>
        <w:t xml:space="preserve"> publicly</w:t>
      </w:r>
      <w:r w:rsidR="000346DF">
        <w:rPr>
          <w:b/>
        </w:rPr>
        <w:t xml:space="preserve"> </w:t>
      </w:r>
      <w:r w:rsidRPr="00437CA1">
        <w:rPr>
          <w:b/>
        </w:rPr>
        <w:t>listed firms</w:t>
      </w:r>
      <w:r w:rsidR="00437CA1" w:rsidRPr="00437CA1">
        <w:rPr>
          <w:b/>
          <w:bCs/>
        </w:rPr>
        <w:t xml:space="preserve">. </w:t>
      </w:r>
      <w:r w:rsidR="004A0E01">
        <w:t>There is no</w:t>
      </w:r>
      <w:r w:rsidR="007312D8">
        <w:t xml:space="preserve"> longer</w:t>
      </w:r>
      <w:r w:rsidR="004A0E01">
        <w:t xml:space="preserve"> </w:t>
      </w:r>
      <w:r w:rsidR="005A7B49">
        <w:t>a</w:t>
      </w:r>
      <w:r w:rsidR="004A0E01">
        <w:t xml:space="preserve"> </w:t>
      </w:r>
      <w:r w:rsidR="0043030F">
        <w:t xml:space="preserve">strong </w:t>
      </w:r>
      <w:r w:rsidR="004A0E01">
        <w:t xml:space="preserve">justification </w:t>
      </w:r>
      <w:r w:rsidR="0043030F">
        <w:t xml:space="preserve">for the ongoing tax preferencing of these firms. </w:t>
      </w:r>
      <w:r w:rsidR="005336E9">
        <w:t xml:space="preserve">The Indonesia Stock Exchange </w:t>
      </w:r>
      <w:r w:rsidR="00A9371F">
        <w:t xml:space="preserve">is one of the most active </w:t>
      </w:r>
      <w:r w:rsidR="00AA06C7">
        <w:t xml:space="preserve">Initial-Public-Offering </w:t>
      </w:r>
      <w:r w:rsidR="00A9371F">
        <w:t xml:space="preserve">markets in the world </w:t>
      </w:r>
      <w:r w:rsidR="003F7D58">
        <w:t>and has experienced rapid growth in recent years. The benefits of stock</w:t>
      </w:r>
      <w:r w:rsidR="00AD6341">
        <w:t xml:space="preserve"> </w:t>
      </w:r>
      <w:r w:rsidR="003F7D58">
        <w:t xml:space="preserve">market listing can and should stand on their own without additional tax concessions. </w:t>
      </w:r>
    </w:p>
    <w:p w14:paraId="4B63D39D" w14:textId="07AAF588" w:rsidR="00964982" w:rsidRPr="00E82594" w:rsidRDefault="00964982" w:rsidP="00096C52">
      <w:pPr>
        <w:numPr>
          <w:ilvl w:val="0"/>
          <w:numId w:val="13"/>
        </w:numPr>
        <w:spacing w:after="60"/>
        <w:jc w:val="both"/>
      </w:pPr>
      <w:r w:rsidRPr="00E82594">
        <w:rPr>
          <w:b/>
          <w:bCs/>
        </w:rPr>
        <w:t>Abolish the concessional CIT scheme for MSMEs</w:t>
      </w:r>
      <w:r w:rsidR="002B59A1" w:rsidRPr="00E82594">
        <w:rPr>
          <w:b/>
          <w:bCs/>
        </w:rPr>
        <w:t xml:space="preserve">. </w:t>
      </w:r>
      <w:r w:rsidR="002B59A1" w:rsidRPr="00E82594">
        <w:t>The concessional scheme</w:t>
      </w:r>
      <w:r w:rsidR="00432395" w:rsidRPr="00E82594">
        <w:t xml:space="preserve"> has an unnecessarily complex design </w:t>
      </w:r>
      <w:r w:rsidR="00CE5C77" w:rsidRPr="00E82594">
        <w:t xml:space="preserve">that diverges from </w:t>
      </w:r>
      <w:r w:rsidR="00FE1225">
        <w:t xml:space="preserve">common </w:t>
      </w:r>
      <w:r w:rsidR="00676CCF" w:rsidRPr="00E82594">
        <w:t>international practice</w:t>
      </w:r>
      <w:r w:rsidR="00207909" w:rsidRPr="00E82594">
        <w:t xml:space="preserve">. </w:t>
      </w:r>
      <w:r w:rsidR="00676CCF" w:rsidRPr="00E82594">
        <w:t>Moreover, i</w:t>
      </w:r>
      <w:r w:rsidR="000D21F7" w:rsidRPr="00E82594">
        <w:t xml:space="preserve">t offers indefinite tax </w:t>
      </w:r>
      <w:r w:rsidR="00F30961" w:rsidRPr="00E82594">
        <w:t xml:space="preserve">expenditures </w:t>
      </w:r>
      <w:r w:rsidR="000D21F7" w:rsidRPr="00E82594">
        <w:t xml:space="preserve">to </w:t>
      </w:r>
      <w:r w:rsidR="00EF3157" w:rsidRPr="00E82594">
        <w:t>all MS</w:t>
      </w:r>
      <w:r w:rsidR="006D5726" w:rsidRPr="00E82594">
        <w:t xml:space="preserve">MEs and is horizontally inequitable in that firms and sectors with higher profit margins receive </w:t>
      </w:r>
      <w:r w:rsidR="00DD5193" w:rsidRPr="00E82594">
        <w:t xml:space="preserve">larger </w:t>
      </w:r>
      <w:proofErr w:type="gramStart"/>
      <w:r w:rsidR="00DD5193" w:rsidRPr="00E82594">
        <w:t>benefits</w:t>
      </w:r>
      <w:proofErr w:type="gramEnd"/>
      <w:r w:rsidR="00DD5193" w:rsidRPr="00E82594">
        <w:t>.</w:t>
      </w:r>
      <w:r w:rsidR="006D5726" w:rsidRPr="00E82594">
        <w:t xml:space="preserve"> </w:t>
      </w:r>
      <w:r w:rsidR="00D46334" w:rsidRPr="00E82594">
        <w:t xml:space="preserve">There is no clear evidence that </w:t>
      </w:r>
      <w:r w:rsidR="00196B58" w:rsidRPr="00E82594">
        <w:t xml:space="preserve">such </w:t>
      </w:r>
      <w:r w:rsidR="006C2C9F" w:rsidRPr="00E82594">
        <w:t xml:space="preserve">blanket </w:t>
      </w:r>
      <w:r w:rsidR="00196B58" w:rsidRPr="00E82594">
        <w:t xml:space="preserve">incentives to all MSMEs </w:t>
      </w:r>
      <w:r w:rsidR="009F082F" w:rsidRPr="00E82594">
        <w:t xml:space="preserve">are economically sound. </w:t>
      </w:r>
      <w:r w:rsidR="007207D0" w:rsidRPr="00E82594">
        <w:t xml:space="preserve">Despite the tax concessions </w:t>
      </w:r>
      <w:r w:rsidR="00771BF9" w:rsidRPr="00E82594">
        <w:t>it offers</w:t>
      </w:r>
      <w:r w:rsidR="007816F3" w:rsidRPr="00E82594">
        <w:t xml:space="preserve">, </w:t>
      </w:r>
      <w:r w:rsidR="00606BB3" w:rsidRPr="00E82594">
        <w:t xml:space="preserve">the scheme </w:t>
      </w:r>
      <w:r w:rsidR="009F082F" w:rsidRPr="00E82594">
        <w:t xml:space="preserve">also </w:t>
      </w:r>
      <w:r w:rsidR="007816F3" w:rsidRPr="00E82594">
        <w:t xml:space="preserve">does not </w:t>
      </w:r>
      <w:r w:rsidR="004905B7" w:rsidRPr="00E82594">
        <w:t xml:space="preserve">in any way reduce the CIT compliance burden that smaller firms face. </w:t>
      </w:r>
      <w:r w:rsidR="00144797">
        <w:t>Nevertheless</w:t>
      </w:r>
      <w:r w:rsidR="00A84D5B" w:rsidRPr="00E82594">
        <w:t xml:space="preserve">, all smaller </w:t>
      </w:r>
      <w:r w:rsidR="007E1DD2" w:rsidRPr="00E82594">
        <w:t xml:space="preserve">registered </w:t>
      </w:r>
      <w:r w:rsidR="00A84D5B" w:rsidRPr="00E82594">
        <w:t>businesses</w:t>
      </w:r>
      <w:r w:rsidR="007E1DD2" w:rsidRPr="00E82594">
        <w:t xml:space="preserve"> are ultimately subject to these CIT compliance burdens as eligibility for the </w:t>
      </w:r>
      <w:r w:rsidR="00676CCF" w:rsidRPr="00E82594">
        <w:t xml:space="preserve">simpler </w:t>
      </w:r>
      <w:r w:rsidR="007E1DD2" w:rsidRPr="00E82594">
        <w:t>AFT regime</w:t>
      </w:r>
      <w:r w:rsidR="001655F6" w:rsidRPr="00E82594">
        <w:t xml:space="preserve"> </w:t>
      </w:r>
      <w:r w:rsidR="00C432F2" w:rsidRPr="00E82594">
        <w:t xml:space="preserve">expires after just a few years. </w:t>
      </w:r>
      <w:r w:rsidR="00831FEC" w:rsidRPr="00E82594">
        <w:t xml:space="preserve">The concessional CIT scheme could be replaced by </w:t>
      </w:r>
      <w:r w:rsidR="008748AE" w:rsidRPr="00E82594">
        <w:t xml:space="preserve">an improved, permanent AFT scheme for the smallest firms. </w:t>
      </w:r>
    </w:p>
    <w:p w14:paraId="331278F6" w14:textId="363543DE" w:rsidR="00DE69D5" w:rsidRPr="00CD3BC9" w:rsidRDefault="00DE69D5" w:rsidP="003C07E9">
      <w:pPr>
        <w:numPr>
          <w:ilvl w:val="0"/>
          <w:numId w:val="13"/>
        </w:numPr>
        <w:spacing w:after="240"/>
        <w:jc w:val="both"/>
      </w:pPr>
      <w:r w:rsidRPr="00DE69D5">
        <w:rPr>
          <w:b/>
          <w:bCs/>
        </w:rPr>
        <w:t xml:space="preserve">Eliminate all tax holidays and, where necessary, </w:t>
      </w:r>
      <w:proofErr w:type="gramStart"/>
      <w:r w:rsidRPr="00DE69D5">
        <w:rPr>
          <w:b/>
          <w:bCs/>
        </w:rPr>
        <w:t>replace</w:t>
      </w:r>
      <w:proofErr w:type="gramEnd"/>
      <w:r w:rsidRPr="00DE69D5">
        <w:rPr>
          <w:b/>
          <w:bCs/>
        </w:rPr>
        <w:t xml:space="preserve"> with cost-based incentives</w:t>
      </w:r>
      <w:r w:rsidR="00490EA7">
        <w:rPr>
          <w:b/>
          <w:bCs/>
        </w:rPr>
        <w:t xml:space="preserve">. </w:t>
      </w:r>
      <w:r w:rsidR="00490EA7" w:rsidRPr="004F0A61">
        <w:t xml:space="preserve">Tax holidays are an inefficient instrument for incentivizing investment activity. They have high redundancy as they are biased towards projects that are already profitable. </w:t>
      </w:r>
      <w:r w:rsidR="00B55CBB" w:rsidRPr="004F0A61">
        <w:t>Moreover, there is evidence that tax incentives are not a primary consideration of foreign investors</w:t>
      </w:r>
      <w:r w:rsidR="004F0A61">
        <w:t xml:space="preserve">, </w:t>
      </w:r>
      <w:r w:rsidR="004F0A61" w:rsidRPr="004F0A61">
        <w:t xml:space="preserve">cannot reliably attract </w:t>
      </w:r>
      <w:r w:rsidR="00144797">
        <w:t>FDI</w:t>
      </w:r>
      <w:r w:rsidR="004F0A61">
        <w:t xml:space="preserve">, and are </w:t>
      </w:r>
      <w:r w:rsidR="00BD2F41">
        <w:t xml:space="preserve">not </w:t>
      </w:r>
      <w:r w:rsidR="004F0A61">
        <w:t xml:space="preserve">worth the losses in </w:t>
      </w:r>
      <w:r w:rsidR="00BD2F41">
        <w:t xml:space="preserve">foregone tax </w:t>
      </w:r>
      <w:r w:rsidR="004F0A61">
        <w:t>revenues</w:t>
      </w:r>
      <w:r w:rsidR="004F0A61" w:rsidRPr="004F0A61">
        <w:t xml:space="preserve">. </w:t>
      </w:r>
      <w:r w:rsidR="004F0A61">
        <w:t xml:space="preserve">Cost-based tax incentives are preferred to tax holidays as they have the </w:t>
      </w:r>
      <w:r w:rsidR="00BD2F41">
        <w:t xml:space="preserve">potential </w:t>
      </w:r>
      <w:r w:rsidR="004F0A61">
        <w:t xml:space="preserve">to flip an investment from loss-making into profit-making. Tax holidays </w:t>
      </w:r>
      <w:r w:rsidR="00BD2F41">
        <w:t>should</w:t>
      </w:r>
      <w:r w:rsidR="00144797">
        <w:t>,</w:t>
      </w:r>
      <w:r w:rsidR="00BD2F41">
        <w:t xml:space="preserve"> </w:t>
      </w:r>
      <w:r w:rsidR="00BD2F41" w:rsidRPr="00931F9E">
        <w:t>therefore</w:t>
      </w:r>
      <w:r w:rsidR="00144797">
        <w:t>,</w:t>
      </w:r>
      <w:r w:rsidR="00BD2F41" w:rsidRPr="00931F9E">
        <w:t xml:space="preserve"> be eliminated</w:t>
      </w:r>
      <w:r w:rsidR="00BD2101">
        <w:t>. B</w:t>
      </w:r>
      <w:r w:rsidR="00BD2F41" w:rsidRPr="00931F9E">
        <w:t xml:space="preserve">ut where this is </w:t>
      </w:r>
      <w:r w:rsidR="00144797">
        <w:t xml:space="preserve">not </w:t>
      </w:r>
      <w:r w:rsidR="00BD2F41" w:rsidRPr="00931F9E">
        <w:t xml:space="preserve">politically feasible, they should at least be replaced with cost-based incentives as the preferred instrument. </w:t>
      </w:r>
      <w:r w:rsidR="009850E8" w:rsidRPr="00931F9E">
        <w:t>More generally, all tax incentives should be t</w:t>
      </w:r>
      <w:r w:rsidR="009850E8" w:rsidRPr="00931F9E">
        <w:rPr>
          <w:rFonts w:ascii="Calibri" w:hAnsi="Calibri" w:cs="Calibri"/>
        </w:rPr>
        <w:t>argeted, performance-based, and time-bound.</w:t>
      </w:r>
    </w:p>
    <w:p w14:paraId="2E2197F0" w14:textId="4737E670" w:rsidR="003B6B12" w:rsidRPr="003B6B12" w:rsidRDefault="003B6B12" w:rsidP="003B6B12">
      <w:pPr>
        <w:rPr>
          <w:b/>
          <w:bCs/>
          <w:u w:val="single"/>
        </w:rPr>
      </w:pPr>
      <w:r w:rsidRPr="003B6B12">
        <w:rPr>
          <w:b/>
          <w:bCs/>
          <w:u w:val="single"/>
        </w:rPr>
        <w:t>Alternative Final Tax</w:t>
      </w:r>
    </w:p>
    <w:p w14:paraId="3F7C9691" w14:textId="68167A84" w:rsidR="00E34C6E" w:rsidRDefault="00E34C6E" w:rsidP="006A482B">
      <w:pPr>
        <w:numPr>
          <w:ilvl w:val="0"/>
          <w:numId w:val="14"/>
        </w:numPr>
        <w:spacing w:after="60"/>
        <w:jc w:val="both"/>
        <w:rPr>
          <w:b/>
          <w:bCs/>
          <w:color w:val="000000" w:themeColor="text1"/>
        </w:rPr>
      </w:pPr>
      <w:r w:rsidRPr="00E34C6E">
        <w:rPr>
          <w:b/>
          <w:bCs/>
          <w:color w:val="000000" w:themeColor="text1"/>
        </w:rPr>
        <w:t>Replace the AFT with a new alternative scheme with a lower eligibility threshold and no time restrictions.</w:t>
      </w:r>
      <w:r w:rsidRPr="00E82594">
        <w:rPr>
          <w:color w:val="000000" w:themeColor="text1"/>
        </w:rPr>
        <w:t xml:space="preserve"> </w:t>
      </w:r>
      <w:r w:rsidR="00EB2CC4">
        <w:rPr>
          <w:color w:val="000000" w:themeColor="text1"/>
        </w:rPr>
        <w:t xml:space="preserve">Rather than </w:t>
      </w:r>
      <w:r w:rsidR="00407D9F">
        <w:rPr>
          <w:color w:val="000000" w:themeColor="text1"/>
        </w:rPr>
        <w:t xml:space="preserve">the current setup of a temporary AFT </w:t>
      </w:r>
      <w:r w:rsidR="00BC072B">
        <w:rPr>
          <w:color w:val="000000" w:themeColor="text1"/>
        </w:rPr>
        <w:t xml:space="preserve">scheme </w:t>
      </w:r>
      <w:r w:rsidR="00F218E0">
        <w:rPr>
          <w:color w:val="000000" w:themeColor="text1"/>
        </w:rPr>
        <w:t xml:space="preserve">and </w:t>
      </w:r>
      <w:r w:rsidR="00BC072B">
        <w:rPr>
          <w:color w:val="000000" w:themeColor="text1"/>
        </w:rPr>
        <w:t xml:space="preserve">a subsequent </w:t>
      </w:r>
      <w:r w:rsidR="00F218E0">
        <w:rPr>
          <w:color w:val="000000" w:themeColor="text1"/>
        </w:rPr>
        <w:t>indefinite concessional CIT scheme</w:t>
      </w:r>
      <w:r w:rsidR="00BC072B">
        <w:rPr>
          <w:color w:val="000000" w:themeColor="text1"/>
        </w:rPr>
        <w:t>,</w:t>
      </w:r>
      <w:r w:rsidR="00471AD2">
        <w:rPr>
          <w:color w:val="000000" w:themeColor="text1"/>
        </w:rPr>
        <w:t xml:space="preserve"> </w:t>
      </w:r>
      <w:r w:rsidR="00E05652">
        <w:rPr>
          <w:color w:val="000000" w:themeColor="text1"/>
        </w:rPr>
        <w:t xml:space="preserve">a new single scheme </w:t>
      </w:r>
      <w:r w:rsidR="00B5752E">
        <w:rPr>
          <w:color w:val="000000" w:themeColor="text1"/>
        </w:rPr>
        <w:t xml:space="preserve">could </w:t>
      </w:r>
      <w:r w:rsidR="00E05652">
        <w:rPr>
          <w:color w:val="000000" w:themeColor="text1"/>
        </w:rPr>
        <w:t xml:space="preserve">replace both. </w:t>
      </w:r>
      <w:r w:rsidR="00826994">
        <w:rPr>
          <w:color w:val="000000" w:themeColor="text1"/>
        </w:rPr>
        <w:t xml:space="preserve">It </w:t>
      </w:r>
      <w:r w:rsidR="00E40E59">
        <w:rPr>
          <w:color w:val="000000" w:themeColor="text1"/>
        </w:rPr>
        <w:t>should hav</w:t>
      </w:r>
      <w:r w:rsidR="00B5752E">
        <w:rPr>
          <w:color w:val="000000" w:themeColor="text1"/>
        </w:rPr>
        <w:t>e</w:t>
      </w:r>
      <w:r w:rsidR="00E40E59">
        <w:rPr>
          <w:color w:val="000000" w:themeColor="text1"/>
        </w:rPr>
        <w:t xml:space="preserve"> a </w:t>
      </w:r>
      <w:r w:rsidR="00B5752E">
        <w:rPr>
          <w:color w:val="000000" w:themeColor="text1"/>
        </w:rPr>
        <w:t xml:space="preserve">low eligibility threshold, restricting it to </w:t>
      </w:r>
      <w:r w:rsidR="00826994" w:rsidRPr="006714F1">
        <w:rPr>
          <w:bCs/>
        </w:rPr>
        <w:t>the smallest firms</w:t>
      </w:r>
      <w:r w:rsidR="00144797">
        <w:rPr>
          <w:rFonts w:cstheme="minorHAnsi"/>
          <w:bCs/>
        </w:rPr>
        <w:t>–</w:t>
      </w:r>
      <w:r w:rsidR="00826994" w:rsidRPr="006714F1">
        <w:rPr>
          <w:bCs/>
        </w:rPr>
        <w:t>particularly economically marginal or subsistence-type firms that have low administrative capacity, low productivity, and limited growth prospects.</w:t>
      </w:r>
      <w:r w:rsidR="00B5752E">
        <w:rPr>
          <w:bCs/>
        </w:rPr>
        <w:t xml:space="preserve"> </w:t>
      </w:r>
      <w:r w:rsidR="00BC265C" w:rsidRPr="00E01798">
        <w:rPr>
          <w:bCs/>
        </w:rPr>
        <w:t xml:space="preserve">For example, </w:t>
      </w:r>
      <w:r w:rsidR="00840A99" w:rsidRPr="00E01798">
        <w:rPr>
          <w:bCs/>
        </w:rPr>
        <w:t xml:space="preserve">a turnover threshold </w:t>
      </w:r>
      <w:r w:rsidR="00986F27" w:rsidRPr="00E01798">
        <w:rPr>
          <w:bCs/>
        </w:rPr>
        <w:t xml:space="preserve">of </w:t>
      </w:r>
      <w:r w:rsidR="00CB262B">
        <w:rPr>
          <w:bCs/>
        </w:rPr>
        <w:t>about</w:t>
      </w:r>
      <w:r w:rsidR="00986F27" w:rsidRPr="00E01798">
        <w:rPr>
          <w:bCs/>
        </w:rPr>
        <w:t xml:space="preserve"> </w:t>
      </w:r>
      <w:r w:rsidR="001D4C41" w:rsidRPr="00E01798">
        <w:rPr>
          <w:color w:val="000000" w:themeColor="text1"/>
        </w:rPr>
        <w:t>R</w:t>
      </w:r>
      <w:r w:rsidR="0004266E">
        <w:rPr>
          <w:color w:val="000000" w:themeColor="text1"/>
        </w:rPr>
        <w:t>p</w:t>
      </w:r>
      <w:r w:rsidR="001D4C41" w:rsidRPr="00E01798">
        <w:rPr>
          <w:color w:val="000000" w:themeColor="text1"/>
        </w:rPr>
        <w:t xml:space="preserve"> </w:t>
      </w:r>
      <w:r w:rsidR="00144797">
        <w:rPr>
          <w:color w:val="000000" w:themeColor="text1"/>
        </w:rPr>
        <w:t>500</w:t>
      </w:r>
      <w:r w:rsidR="001D4C41" w:rsidRPr="00E01798">
        <w:rPr>
          <w:color w:val="000000" w:themeColor="text1"/>
        </w:rPr>
        <w:t xml:space="preserve"> </w:t>
      </w:r>
      <w:r w:rsidR="00144797">
        <w:rPr>
          <w:color w:val="000000" w:themeColor="text1"/>
        </w:rPr>
        <w:t>m</w:t>
      </w:r>
      <w:r w:rsidR="001D4C41" w:rsidRPr="00E01798">
        <w:rPr>
          <w:color w:val="000000" w:themeColor="text1"/>
        </w:rPr>
        <w:t>illion, consistent with proposed reforms to the VAT regime</w:t>
      </w:r>
      <w:r w:rsidR="00141247">
        <w:rPr>
          <w:color w:val="000000" w:themeColor="text1"/>
        </w:rPr>
        <w:t xml:space="preserve"> (see below)</w:t>
      </w:r>
      <w:r w:rsidR="00840A99" w:rsidRPr="00E01798">
        <w:rPr>
          <w:color w:val="000000" w:themeColor="text1"/>
        </w:rPr>
        <w:t xml:space="preserve">, might be suitable. </w:t>
      </w:r>
      <w:r w:rsidR="001D4C41" w:rsidRPr="00E01798">
        <w:rPr>
          <w:color w:val="000000" w:themeColor="text1"/>
        </w:rPr>
        <w:t xml:space="preserve">This new scheme </w:t>
      </w:r>
      <w:r w:rsidR="00B5752E" w:rsidRPr="00E01798">
        <w:rPr>
          <w:bCs/>
        </w:rPr>
        <w:t>should be permanent</w:t>
      </w:r>
      <w:r w:rsidR="00005B0D" w:rsidRPr="00E01798">
        <w:rPr>
          <w:bCs/>
        </w:rPr>
        <w:t xml:space="preserve"> </w:t>
      </w:r>
      <w:r w:rsidR="00B5752E" w:rsidRPr="00E01798">
        <w:rPr>
          <w:bCs/>
        </w:rPr>
        <w:t>for those that remain of the eligible size</w:t>
      </w:r>
      <w:r w:rsidR="007E057D" w:rsidRPr="00E01798">
        <w:rPr>
          <w:bCs/>
        </w:rPr>
        <w:t xml:space="preserve">, so that </w:t>
      </w:r>
      <w:r w:rsidR="00AB46EB" w:rsidRPr="00E01798">
        <w:rPr>
          <w:bCs/>
        </w:rPr>
        <w:t xml:space="preserve">the </w:t>
      </w:r>
      <w:r w:rsidR="007E057D" w:rsidRPr="00E01798">
        <w:rPr>
          <w:bCs/>
        </w:rPr>
        <w:t xml:space="preserve">firms </w:t>
      </w:r>
      <w:r w:rsidR="00005B0D" w:rsidRPr="00E01798">
        <w:rPr>
          <w:bCs/>
        </w:rPr>
        <w:t>never need to worry about complex tax compliance requirements.</w:t>
      </w:r>
      <w:r w:rsidR="00005B0D">
        <w:rPr>
          <w:bCs/>
        </w:rPr>
        <w:t xml:space="preserve"> </w:t>
      </w:r>
    </w:p>
    <w:p w14:paraId="1DEE083B" w14:textId="5C04CE77" w:rsidR="004D4BA3" w:rsidRPr="00353B79" w:rsidRDefault="004D4BA3" w:rsidP="006A482B">
      <w:pPr>
        <w:numPr>
          <w:ilvl w:val="0"/>
          <w:numId w:val="14"/>
        </w:numPr>
        <w:spacing w:after="60"/>
        <w:jc w:val="both"/>
        <w:rPr>
          <w:b/>
        </w:rPr>
      </w:pPr>
      <w:r w:rsidRPr="00353B79">
        <w:rPr>
          <w:b/>
        </w:rPr>
        <w:t>Withdraw the eligibility of incorporated firms</w:t>
      </w:r>
      <w:r w:rsidRPr="00353B79">
        <w:rPr>
          <w:b/>
          <w:bCs/>
        </w:rPr>
        <w:t xml:space="preserve">. </w:t>
      </w:r>
      <w:r w:rsidRPr="00526FD7">
        <w:t xml:space="preserve">Given the additional legal formalities </w:t>
      </w:r>
      <w:r w:rsidR="00D67C66">
        <w:t xml:space="preserve">and costs </w:t>
      </w:r>
      <w:r w:rsidRPr="00526FD7">
        <w:t xml:space="preserve">surrounding incorporation and the riskier profile of such businesses, such firms should be </w:t>
      </w:r>
      <w:r w:rsidRPr="00526FD7">
        <w:lastRenderedPageBreak/>
        <w:t xml:space="preserve">expected to hold the minimum taxpayer capacity needed to manage their CIT </w:t>
      </w:r>
      <w:r w:rsidR="007C6DDD">
        <w:t xml:space="preserve">reporting </w:t>
      </w:r>
      <w:r w:rsidRPr="00526FD7">
        <w:t xml:space="preserve">affairs. </w:t>
      </w:r>
      <w:r w:rsidR="007C6DDD">
        <w:t>They should be excluded</w:t>
      </w:r>
      <w:r w:rsidRPr="00526FD7">
        <w:t>.</w:t>
      </w:r>
      <w:r w:rsidRPr="00526FD7">
        <w:rPr>
          <w:b/>
          <w:bCs/>
        </w:rPr>
        <w:t xml:space="preserve"> </w:t>
      </w:r>
    </w:p>
    <w:p w14:paraId="569793B3" w14:textId="22EF6EFC" w:rsidR="003B6B12" w:rsidRPr="003B6B12" w:rsidRDefault="003B6B12" w:rsidP="00237EA3">
      <w:pPr>
        <w:rPr>
          <w:b/>
          <w:bCs/>
          <w:u w:val="single"/>
        </w:rPr>
      </w:pPr>
      <w:r w:rsidRPr="003B6B12">
        <w:rPr>
          <w:b/>
          <w:bCs/>
          <w:u w:val="single"/>
        </w:rPr>
        <w:t>Value-added Tax</w:t>
      </w:r>
    </w:p>
    <w:p w14:paraId="034F83C0" w14:textId="0BF0151B" w:rsidR="00730D2C" w:rsidRPr="00AB035D" w:rsidRDefault="00EB3922" w:rsidP="0023040F">
      <w:pPr>
        <w:numPr>
          <w:ilvl w:val="0"/>
          <w:numId w:val="15"/>
        </w:numPr>
        <w:spacing w:after="60"/>
        <w:ind w:left="634"/>
        <w:jc w:val="both"/>
        <w:rPr>
          <w:color w:val="000000" w:themeColor="text1"/>
        </w:rPr>
      </w:pPr>
      <w:r w:rsidRPr="00B64265">
        <w:rPr>
          <w:b/>
          <w:bCs/>
          <w:color w:val="000000" w:themeColor="text1"/>
        </w:rPr>
        <w:t>Reduce the registration threshold</w:t>
      </w:r>
      <w:r w:rsidR="008C361D" w:rsidRPr="00B64265">
        <w:rPr>
          <w:b/>
          <w:bCs/>
          <w:color w:val="000000" w:themeColor="text1"/>
        </w:rPr>
        <w:t xml:space="preserve"> </w:t>
      </w:r>
      <w:r w:rsidR="00A079B1" w:rsidRPr="009E5FA1">
        <w:rPr>
          <w:b/>
          <w:color w:val="000000" w:themeColor="text1"/>
        </w:rPr>
        <w:t>to R</w:t>
      </w:r>
      <w:r w:rsidR="0004266E">
        <w:rPr>
          <w:b/>
          <w:color w:val="000000" w:themeColor="text1"/>
        </w:rPr>
        <w:t>p</w:t>
      </w:r>
      <w:r w:rsidR="00A079B1" w:rsidRPr="009E5FA1">
        <w:rPr>
          <w:b/>
          <w:color w:val="000000" w:themeColor="text1"/>
        </w:rPr>
        <w:t xml:space="preserve"> </w:t>
      </w:r>
      <w:r w:rsidR="00144797">
        <w:rPr>
          <w:b/>
          <w:color w:val="000000" w:themeColor="text1"/>
        </w:rPr>
        <w:t>500</w:t>
      </w:r>
      <w:r w:rsidR="00A079B1" w:rsidRPr="009E5FA1">
        <w:rPr>
          <w:b/>
          <w:color w:val="000000" w:themeColor="text1"/>
        </w:rPr>
        <w:t xml:space="preserve"> </w:t>
      </w:r>
      <w:r w:rsidR="00144797">
        <w:rPr>
          <w:b/>
          <w:color w:val="000000" w:themeColor="text1"/>
        </w:rPr>
        <w:t>m</w:t>
      </w:r>
      <w:r w:rsidR="00A079B1" w:rsidRPr="009E5FA1">
        <w:rPr>
          <w:b/>
          <w:color w:val="000000" w:themeColor="text1"/>
        </w:rPr>
        <w:t>illion</w:t>
      </w:r>
      <w:r w:rsidR="00002E1A" w:rsidRPr="00B64265">
        <w:rPr>
          <w:color w:val="000000" w:themeColor="text1"/>
        </w:rPr>
        <w:t>.</w:t>
      </w:r>
      <w:r w:rsidR="00C20093">
        <w:rPr>
          <w:color w:val="000000" w:themeColor="text1"/>
        </w:rPr>
        <w:t xml:space="preserve"> </w:t>
      </w:r>
      <w:r w:rsidR="00EA551C">
        <w:rPr>
          <w:color w:val="000000" w:themeColor="text1"/>
        </w:rPr>
        <w:t xml:space="preserve">Lowering the VAT </w:t>
      </w:r>
      <w:r w:rsidR="003A286D">
        <w:rPr>
          <w:color w:val="000000" w:themeColor="text1"/>
        </w:rPr>
        <w:t>threshold to R</w:t>
      </w:r>
      <w:r w:rsidR="0004266E">
        <w:rPr>
          <w:color w:val="000000" w:themeColor="text1"/>
        </w:rPr>
        <w:t>p</w:t>
      </w:r>
      <w:r w:rsidR="003A286D">
        <w:rPr>
          <w:color w:val="000000" w:themeColor="text1"/>
        </w:rPr>
        <w:t xml:space="preserve"> </w:t>
      </w:r>
      <w:r w:rsidR="00144797">
        <w:rPr>
          <w:color w:val="000000" w:themeColor="text1"/>
        </w:rPr>
        <w:t>500</w:t>
      </w:r>
      <w:r w:rsidR="00F119DB">
        <w:rPr>
          <w:color w:val="000000" w:themeColor="text1"/>
        </w:rPr>
        <w:t xml:space="preserve"> </w:t>
      </w:r>
      <w:r w:rsidR="00144797">
        <w:rPr>
          <w:color w:val="000000" w:themeColor="text1"/>
        </w:rPr>
        <w:t>m</w:t>
      </w:r>
      <w:r w:rsidR="00F119DB">
        <w:rPr>
          <w:color w:val="000000" w:themeColor="text1"/>
        </w:rPr>
        <w:t>illion is deemed appropriate</w:t>
      </w:r>
      <w:r w:rsidR="00A83FA4">
        <w:rPr>
          <w:color w:val="000000" w:themeColor="text1"/>
        </w:rPr>
        <w:t xml:space="preserve">, </w:t>
      </w:r>
      <w:r w:rsidR="007D47C9">
        <w:rPr>
          <w:color w:val="000000" w:themeColor="text1"/>
        </w:rPr>
        <w:t xml:space="preserve">balancing </w:t>
      </w:r>
      <w:r w:rsidR="00602CB7">
        <w:rPr>
          <w:color w:val="000000" w:themeColor="text1"/>
        </w:rPr>
        <w:t xml:space="preserve">the </w:t>
      </w:r>
      <w:r w:rsidR="00AE111F">
        <w:rPr>
          <w:color w:val="000000" w:themeColor="text1"/>
        </w:rPr>
        <w:t>tax administration</w:t>
      </w:r>
      <w:r w:rsidR="00391765">
        <w:rPr>
          <w:color w:val="000000" w:themeColor="text1"/>
        </w:rPr>
        <w:t>’s</w:t>
      </w:r>
      <w:r w:rsidR="00AE111F">
        <w:rPr>
          <w:color w:val="000000" w:themeColor="text1"/>
        </w:rPr>
        <w:t xml:space="preserve"> capacity to enforce compliance while expanding the base. </w:t>
      </w:r>
      <w:r w:rsidR="003125AC">
        <w:rPr>
          <w:color w:val="000000" w:themeColor="text1"/>
        </w:rPr>
        <w:t>Furthermore</w:t>
      </w:r>
      <w:r w:rsidR="00F16FD7" w:rsidRPr="00AB035D">
        <w:rPr>
          <w:color w:val="000000" w:themeColor="text1"/>
        </w:rPr>
        <w:t xml:space="preserve">, </w:t>
      </w:r>
      <w:r w:rsidR="00EE1465" w:rsidRPr="00AB035D">
        <w:rPr>
          <w:color w:val="000000" w:themeColor="text1"/>
        </w:rPr>
        <w:t>l</w:t>
      </w:r>
      <w:r w:rsidR="004072C7" w:rsidRPr="00AB035D">
        <w:rPr>
          <w:color w:val="000000" w:themeColor="text1"/>
        </w:rPr>
        <w:t xml:space="preserve">owering the </w:t>
      </w:r>
      <w:r w:rsidR="00AB1568" w:rsidRPr="00AB035D">
        <w:rPr>
          <w:color w:val="000000" w:themeColor="text1"/>
        </w:rPr>
        <w:t xml:space="preserve">VAT </w:t>
      </w:r>
      <w:r w:rsidR="004072C7" w:rsidRPr="00AB035D">
        <w:rPr>
          <w:color w:val="000000" w:themeColor="text1"/>
        </w:rPr>
        <w:t xml:space="preserve">threshold </w:t>
      </w:r>
      <w:r w:rsidR="00AB1568" w:rsidRPr="00AB035D">
        <w:rPr>
          <w:color w:val="000000" w:themeColor="text1"/>
        </w:rPr>
        <w:t>could</w:t>
      </w:r>
      <w:r w:rsidR="0060063E" w:rsidRPr="00AB035D">
        <w:rPr>
          <w:color w:val="000000" w:themeColor="text1"/>
        </w:rPr>
        <w:t xml:space="preserve"> help foster </w:t>
      </w:r>
      <w:r w:rsidR="00892F00" w:rsidRPr="00AB035D">
        <w:rPr>
          <w:color w:val="000000" w:themeColor="text1"/>
        </w:rPr>
        <w:t xml:space="preserve">more formal </w:t>
      </w:r>
      <w:r w:rsidR="0060063E" w:rsidRPr="00AB035D">
        <w:rPr>
          <w:color w:val="000000" w:themeColor="text1"/>
        </w:rPr>
        <w:t xml:space="preserve">business interactions between small and large firms. </w:t>
      </w:r>
      <w:r w:rsidR="00AC6F3A" w:rsidRPr="00AB035D">
        <w:rPr>
          <w:color w:val="000000" w:themeColor="text1"/>
        </w:rPr>
        <w:t xml:space="preserve">With </w:t>
      </w:r>
      <w:r w:rsidR="00994235" w:rsidRPr="00AB035D">
        <w:rPr>
          <w:color w:val="000000" w:themeColor="text1"/>
        </w:rPr>
        <w:t>a</w:t>
      </w:r>
      <w:r w:rsidR="00F0782C" w:rsidRPr="00AB035D">
        <w:rPr>
          <w:color w:val="000000" w:themeColor="text1"/>
        </w:rPr>
        <w:t>n exceptionally</w:t>
      </w:r>
      <w:r w:rsidR="00994235" w:rsidRPr="00AB035D">
        <w:rPr>
          <w:color w:val="000000" w:themeColor="text1"/>
        </w:rPr>
        <w:t xml:space="preserve"> high threshol</w:t>
      </w:r>
      <w:r w:rsidR="007C6C6B" w:rsidRPr="00AB035D">
        <w:rPr>
          <w:color w:val="000000" w:themeColor="text1"/>
        </w:rPr>
        <w:t xml:space="preserve">d, </w:t>
      </w:r>
      <w:r w:rsidR="00F0782C" w:rsidRPr="00AB035D">
        <w:rPr>
          <w:color w:val="000000" w:themeColor="text1"/>
        </w:rPr>
        <w:t xml:space="preserve">most </w:t>
      </w:r>
      <w:r w:rsidR="005C1618" w:rsidRPr="00AB035D">
        <w:rPr>
          <w:color w:val="000000" w:themeColor="text1"/>
        </w:rPr>
        <w:t>small firms are exempt</w:t>
      </w:r>
      <w:r w:rsidR="00ED266E">
        <w:rPr>
          <w:rFonts w:cstheme="minorHAnsi"/>
          <w:color w:val="000000" w:themeColor="text1"/>
        </w:rPr>
        <w:t>–</w:t>
      </w:r>
      <w:r w:rsidR="00607BD8" w:rsidRPr="00AB035D">
        <w:rPr>
          <w:color w:val="000000" w:themeColor="text1"/>
        </w:rPr>
        <w:t xml:space="preserve">which may </w:t>
      </w:r>
      <w:r w:rsidR="00385346" w:rsidRPr="00AB035D">
        <w:rPr>
          <w:color w:val="000000" w:themeColor="text1"/>
        </w:rPr>
        <w:t>dis</w:t>
      </w:r>
      <w:r w:rsidR="000C6372" w:rsidRPr="00AB035D">
        <w:rPr>
          <w:color w:val="000000" w:themeColor="text1"/>
        </w:rPr>
        <w:t>courage large fir</w:t>
      </w:r>
      <w:r w:rsidR="00E63C96" w:rsidRPr="00AB035D">
        <w:rPr>
          <w:color w:val="000000" w:themeColor="text1"/>
        </w:rPr>
        <w:t>m</w:t>
      </w:r>
      <w:r w:rsidR="005E4F4A" w:rsidRPr="00AB035D">
        <w:rPr>
          <w:color w:val="000000" w:themeColor="text1"/>
        </w:rPr>
        <w:t>s</w:t>
      </w:r>
      <w:r w:rsidR="00172A87" w:rsidRPr="00AB035D">
        <w:rPr>
          <w:color w:val="000000" w:themeColor="text1"/>
        </w:rPr>
        <w:t xml:space="preserve">’ purchases </w:t>
      </w:r>
      <w:r w:rsidR="001B7695" w:rsidRPr="00AB035D">
        <w:rPr>
          <w:color w:val="000000" w:themeColor="text1"/>
        </w:rPr>
        <w:t xml:space="preserve">from </w:t>
      </w:r>
      <w:r w:rsidR="00D237F4" w:rsidRPr="00AB035D">
        <w:rPr>
          <w:color w:val="000000" w:themeColor="text1"/>
        </w:rPr>
        <w:t xml:space="preserve">these </w:t>
      </w:r>
      <w:r w:rsidR="001B7695" w:rsidRPr="00AB035D">
        <w:rPr>
          <w:color w:val="000000" w:themeColor="text1"/>
        </w:rPr>
        <w:t>sma</w:t>
      </w:r>
      <w:r w:rsidR="00252AF0" w:rsidRPr="00AB035D">
        <w:rPr>
          <w:color w:val="000000" w:themeColor="text1"/>
        </w:rPr>
        <w:t>ll businesses</w:t>
      </w:r>
      <w:r w:rsidR="003D24C8" w:rsidRPr="00AB035D">
        <w:rPr>
          <w:color w:val="000000" w:themeColor="text1"/>
        </w:rPr>
        <w:t xml:space="preserve"> (</w:t>
      </w:r>
      <w:r w:rsidR="00F9151E" w:rsidRPr="00AB035D">
        <w:rPr>
          <w:color w:val="000000" w:themeColor="text1"/>
        </w:rPr>
        <w:t xml:space="preserve">as large firms </w:t>
      </w:r>
      <w:r w:rsidR="00937769" w:rsidRPr="00AB035D">
        <w:rPr>
          <w:color w:val="000000" w:themeColor="text1"/>
        </w:rPr>
        <w:t xml:space="preserve">are not allowed to </w:t>
      </w:r>
      <w:r w:rsidR="00EF0C2F" w:rsidRPr="00AB035D">
        <w:rPr>
          <w:color w:val="000000" w:themeColor="text1"/>
        </w:rPr>
        <w:t>claim VAT cre</w:t>
      </w:r>
      <w:r w:rsidR="00D46737" w:rsidRPr="00AB035D">
        <w:rPr>
          <w:color w:val="000000" w:themeColor="text1"/>
        </w:rPr>
        <w:t>dits</w:t>
      </w:r>
      <w:r w:rsidR="006659D2" w:rsidRPr="00AB035D">
        <w:rPr>
          <w:color w:val="000000" w:themeColor="text1"/>
        </w:rPr>
        <w:t xml:space="preserve"> on their inputs bought from exempt small businesses).</w:t>
      </w:r>
    </w:p>
    <w:p w14:paraId="718E65DE" w14:textId="63B6C8B6" w:rsidR="009F5B2B" w:rsidRPr="00722B34" w:rsidRDefault="00783AEC" w:rsidP="0023040F">
      <w:pPr>
        <w:numPr>
          <w:ilvl w:val="0"/>
          <w:numId w:val="15"/>
        </w:numPr>
        <w:spacing w:after="60"/>
        <w:ind w:left="630"/>
        <w:jc w:val="both"/>
        <w:rPr>
          <w:bCs/>
        </w:rPr>
      </w:pPr>
      <w:r>
        <w:rPr>
          <w:b/>
        </w:rPr>
        <w:t xml:space="preserve">Limit </w:t>
      </w:r>
      <w:r w:rsidR="00FF283D">
        <w:rPr>
          <w:b/>
        </w:rPr>
        <w:t xml:space="preserve">VAT exemptions. </w:t>
      </w:r>
      <w:r w:rsidR="00161923" w:rsidRPr="0023040F">
        <w:rPr>
          <w:bCs/>
        </w:rPr>
        <w:t>While an optimal VAT system will have no exemptions</w:t>
      </w:r>
      <w:r w:rsidR="00081535" w:rsidRPr="0023040F">
        <w:rPr>
          <w:bCs/>
        </w:rPr>
        <w:t xml:space="preserve">, it is common practice </w:t>
      </w:r>
      <w:r w:rsidRPr="0023040F">
        <w:rPr>
          <w:bCs/>
        </w:rPr>
        <w:t xml:space="preserve">to have </w:t>
      </w:r>
      <w:r w:rsidR="00144797">
        <w:rPr>
          <w:bCs/>
        </w:rPr>
        <w:t xml:space="preserve">a </w:t>
      </w:r>
      <w:r w:rsidRPr="0023040F">
        <w:rPr>
          <w:bCs/>
        </w:rPr>
        <w:t>limited number of well-defined exemptions across countries for social and political considerations.</w:t>
      </w:r>
      <w:r w:rsidR="00C20093">
        <w:rPr>
          <w:bCs/>
        </w:rPr>
        <w:t xml:space="preserve"> </w:t>
      </w:r>
      <w:r>
        <w:rPr>
          <w:bCs/>
        </w:rPr>
        <w:t>These include</w:t>
      </w:r>
      <w:r w:rsidR="00F90AA1">
        <w:rPr>
          <w:bCs/>
        </w:rPr>
        <w:t xml:space="preserve">: </w:t>
      </w:r>
      <w:r w:rsidR="00E171DC">
        <w:rPr>
          <w:bCs/>
        </w:rPr>
        <w:t>(</w:t>
      </w:r>
      <w:r w:rsidR="00144797">
        <w:rPr>
          <w:bCs/>
        </w:rPr>
        <w:t>i</w:t>
      </w:r>
      <w:r w:rsidR="00E171DC">
        <w:rPr>
          <w:bCs/>
        </w:rPr>
        <w:t xml:space="preserve">) </w:t>
      </w:r>
      <w:r w:rsidR="00F90AA1">
        <w:rPr>
          <w:bCs/>
        </w:rPr>
        <w:t xml:space="preserve">margin-based financial services </w:t>
      </w:r>
      <w:r w:rsidR="001B58C3">
        <w:rPr>
          <w:bCs/>
        </w:rPr>
        <w:t>(because of the difficult</w:t>
      </w:r>
      <w:r w:rsidR="00BB1FC1">
        <w:rPr>
          <w:bCs/>
        </w:rPr>
        <w:t xml:space="preserve">y to separate </w:t>
      </w:r>
      <w:r w:rsidR="00F7490F">
        <w:rPr>
          <w:bCs/>
        </w:rPr>
        <w:t>the pure value</w:t>
      </w:r>
      <w:r w:rsidR="00F3793F">
        <w:rPr>
          <w:bCs/>
        </w:rPr>
        <w:t>-</w:t>
      </w:r>
      <w:r w:rsidR="00F7490F">
        <w:rPr>
          <w:bCs/>
        </w:rPr>
        <w:t xml:space="preserve">added from </w:t>
      </w:r>
      <w:r w:rsidR="00E171DC">
        <w:rPr>
          <w:bCs/>
        </w:rPr>
        <w:t xml:space="preserve">other elements of the margins); and </w:t>
      </w:r>
      <w:r w:rsidR="00A53C76">
        <w:rPr>
          <w:bCs/>
        </w:rPr>
        <w:t>(</w:t>
      </w:r>
      <w:r w:rsidR="00144797">
        <w:rPr>
          <w:bCs/>
        </w:rPr>
        <w:t>ii</w:t>
      </w:r>
      <w:r w:rsidR="00A53C76">
        <w:rPr>
          <w:bCs/>
        </w:rPr>
        <w:t>) health and education services provided by the public sector</w:t>
      </w:r>
      <w:r w:rsidR="007746C6">
        <w:rPr>
          <w:bCs/>
        </w:rPr>
        <w:t xml:space="preserve"> (based on positive externality and merit good arguments)</w:t>
      </w:r>
      <w:r w:rsidR="009A2F4E">
        <w:rPr>
          <w:bCs/>
        </w:rPr>
        <w:t xml:space="preserve">. </w:t>
      </w:r>
      <w:r w:rsidR="000202D7">
        <w:rPr>
          <w:bCs/>
        </w:rPr>
        <w:t xml:space="preserve">Indonesia </w:t>
      </w:r>
      <w:r w:rsidR="007313EC">
        <w:rPr>
          <w:bCs/>
        </w:rPr>
        <w:t xml:space="preserve">could </w:t>
      </w:r>
      <w:r w:rsidR="000202D7">
        <w:rPr>
          <w:bCs/>
        </w:rPr>
        <w:t xml:space="preserve">remove </w:t>
      </w:r>
      <w:r w:rsidR="00144797">
        <w:rPr>
          <w:bCs/>
        </w:rPr>
        <w:t xml:space="preserve">other </w:t>
      </w:r>
      <w:r w:rsidR="000202D7">
        <w:rPr>
          <w:bCs/>
        </w:rPr>
        <w:t xml:space="preserve">exemptions </w:t>
      </w:r>
      <w:r w:rsidR="007313EC">
        <w:rPr>
          <w:bCs/>
        </w:rPr>
        <w:t>to expand the tax base</w:t>
      </w:r>
      <w:r w:rsidR="00683C83">
        <w:rPr>
          <w:bCs/>
        </w:rPr>
        <w:t xml:space="preserve">. It </w:t>
      </w:r>
      <w:r w:rsidR="000202D7">
        <w:rPr>
          <w:bCs/>
        </w:rPr>
        <w:t>in</w:t>
      </w:r>
      <w:r w:rsidR="00683C83">
        <w:rPr>
          <w:bCs/>
        </w:rPr>
        <w:t>cludes the removal of exempt</w:t>
      </w:r>
      <w:r w:rsidR="00927687">
        <w:rPr>
          <w:bCs/>
        </w:rPr>
        <w:t xml:space="preserve">ions in </w:t>
      </w:r>
      <w:r w:rsidR="00C77E23">
        <w:rPr>
          <w:bCs/>
        </w:rPr>
        <w:t xml:space="preserve">the </w:t>
      </w:r>
      <w:r w:rsidR="00927687">
        <w:rPr>
          <w:bCs/>
        </w:rPr>
        <w:t xml:space="preserve">extractive sector, </w:t>
      </w:r>
      <w:r w:rsidR="001D2E83">
        <w:rPr>
          <w:bCs/>
        </w:rPr>
        <w:t xml:space="preserve">import of machinery for manufacturing, </w:t>
      </w:r>
      <w:r w:rsidR="00927687">
        <w:rPr>
          <w:bCs/>
        </w:rPr>
        <w:t xml:space="preserve">basic food, </w:t>
      </w:r>
      <w:r w:rsidR="001D2E83">
        <w:rPr>
          <w:bCs/>
        </w:rPr>
        <w:t>public transport</w:t>
      </w:r>
      <w:r w:rsidR="00121C0D">
        <w:rPr>
          <w:bCs/>
        </w:rPr>
        <w:t>, private health</w:t>
      </w:r>
      <w:r w:rsidR="005432C7">
        <w:rPr>
          <w:bCs/>
        </w:rPr>
        <w:t xml:space="preserve"> </w:t>
      </w:r>
      <w:r w:rsidR="00121C0D">
        <w:rPr>
          <w:bCs/>
        </w:rPr>
        <w:t>care, and private education</w:t>
      </w:r>
      <w:r w:rsidR="001D2E83">
        <w:rPr>
          <w:bCs/>
        </w:rPr>
        <w:t>.</w:t>
      </w:r>
    </w:p>
    <w:p w14:paraId="5C1DBE7E" w14:textId="17DF26E2" w:rsidR="00240F29" w:rsidRPr="00AB4C98" w:rsidRDefault="00002E1A" w:rsidP="00341766">
      <w:pPr>
        <w:numPr>
          <w:ilvl w:val="0"/>
          <w:numId w:val="15"/>
        </w:numPr>
        <w:spacing w:after="60"/>
        <w:ind w:left="630"/>
        <w:jc w:val="both"/>
        <w:rPr>
          <w:b/>
          <w:bCs/>
          <w:color w:val="000000" w:themeColor="text1"/>
          <w:u w:val="single"/>
        </w:rPr>
      </w:pPr>
      <w:r w:rsidRPr="00A765BB">
        <w:rPr>
          <w:b/>
          <w:bCs/>
        </w:rPr>
        <w:t>Increase the VAT rate</w:t>
      </w:r>
      <w:r w:rsidR="00410E6C">
        <w:rPr>
          <w:b/>
          <w:bCs/>
        </w:rPr>
        <w:t xml:space="preserve"> in the medium</w:t>
      </w:r>
      <w:r w:rsidR="005432C7">
        <w:rPr>
          <w:b/>
          <w:bCs/>
        </w:rPr>
        <w:t xml:space="preserve"> </w:t>
      </w:r>
      <w:r w:rsidR="00410E6C">
        <w:rPr>
          <w:b/>
          <w:bCs/>
        </w:rPr>
        <w:t>term</w:t>
      </w:r>
      <w:r w:rsidRPr="00A765BB">
        <w:rPr>
          <w:b/>
          <w:bCs/>
        </w:rPr>
        <w:t xml:space="preserve">, while improving tax compliance measures. </w:t>
      </w:r>
      <w:r w:rsidRPr="003B6B12">
        <w:t xml:space="preserve">The current standard VAT rate of 11 percent is lower than the average of LMICs and UMICs of 14 and 16 percent, respectively. The VAT rate will be increased to 12 percent by January 2025 at the latest, as mandated in the 2021 THL. </w:t>
      </w:r>
      <w:r w:rsidR="005432C7">
        <w:t>E</w:t>
      </w:r>
      <w:r w:rsidRPr="003B6B12">
        <w:t>ven with this impending increase, Indonesia will still trail its peers</w:t>
      </w:r>
      <w:r w:rsidR="00932921">
        <w:t xml:space="preserve"> </w:t>
      </w:r>
      <w:r w:rsidR="005432C7">
        <w:t xml:space="preserve">by </w:t>
      </w:r>
      <w:r w:rsidR="00932921">
        <w:t xml:space="preserve">at least </w:t>
      </w:r>
      <w:r w:rsidR="003C7F70">
        <w:t>2 percentage points</w:t>
      </w:r>
      <w:r w:rsidRPr="003B6B12">
        <w:t xml:space="preserve">. There is room to further raise the VAT rate after </w:t>
      </w:r>
      <w:r w:rsidR="005432C7">
        <w:t xml:space="preserve">the </w:t>
      </w:r>
      <w:r w:rsidRPr="003B6B12">
        <w:t>registration threshold</w:t>
      </w:r>
      <w:r w:rsidR="005432C7">
        <w:t xml:space="preserve"> is</w:t>
      </w:r>
      <w:r w:rsidRPr="003B6B12">
        <w:t xml:space="preserve"> </w:t>
      </w:r>
      <w:proofErr w:type="gramStart"/>
      <w:r w:rsidRPr="003B6B12">
        <w:t>reduced</w:t>
      </w:r>
      <w:proofErr w:type="gramEnd"/>
      <w:r w:rsidRPr="003B6B12">
        <w:t xml:space="preserve"> and exemptions removed. Notably, the tax rate increase should also be complemented with </w:t>
      </w:r>
      <w:r w:rsidR="000611DE">
        <w:t>strengthening compliance measure</w:t>
      </w:r>
      <w:r w:rsidR="005432C7">
        <w:t>s</w:t>
      </w:r>
      <w:r w:rsidR="005432C7">
        <w:rPr>
          <w:rFonts w:cstheme="minorHAnsi"/>
        </w:rPr>
        <w:t>–</w:t>
      </w:r>
      <w:r w:rsidR="000611DE">
        <w:t xml:space="preserve">such as incorporating more third-party data </w:t>
      </w:r>
      <w:r w:rsidR="006F299B">
        <w:t xml:space="preserve">into </w:t>
      </w:r>
      <w:r w:rsidR="006609F2">
        <w:t>tax administration</w:t>
      </w:r>
      <w:r w:rsidRPr="003B6B12">
        <w:t>. Without such reforms, the extra revenue gained from rate increases may be restrained by low compliance.</w:t>
      </w:r>
    </w:p>
    <w:p w14:paraId="52ECDBE9" w14:textId="37B3DAE3" w:rsidR="009E1162" w:rsidRDefault="0080355B" w:rsidP="009E1162">
      <w:pPr>
        <w:numPr>
          <w:ilvl w:val="0"/>
          <w:numId w:val="15"/>
        </w:numPr>
        <w:spacing w:after="60"/>
        <w:ind w:left="630"/>
        <w:jc w:val="both"/>
        <w:rPr>
          <w:rFonts w:eastAsia="Roboto" w:cstheme="minorHAnsi"/>
          <w:b/>
          <w:color w:val="000000" w:themeColor="text1"/>
          <w:sz w:val="24"/>
          <w:szCs w:val="24"/>
          <w:lang w:val="en" w:bidi="si-LK"/>
        </w:rPr>
      </w:pPr>
      <w:r w:rsidRPr="00FC0AF1">
        <w:rPr>
          <w:b/>
          <w:color w:val="000000" w:themeColor="text1"/>
        </w:rPr>
        <w:t xml:space="preserve">Remove </w:t>
      </w:r>
      <w:r w:rsidR="00BF5292" w:rsidRPr="00FC0AF1">
        <w:rPr>
          <w:b/>
          <w:color w:val="000000" w:themeColor="text1"/>
        </w:rPr>
        <w:t>zero</w:t>
      </w:r>
      <w:r w:rsidR="001766C6">
        <w:rPr>
          <w:b/>
          <w:color w:val="000000" w:themeColor="text1"/>
        </w:rPr>
        <w:t xml:space="preserve"> </w:t>
      </w:r>
      <w:r w:rsidR="00BF5292" w:rsidRPr="00FC0AF1">
        <w:rPr>
          <w:b/>
          <w:color w:val="000000" w:themeColor="text1"/>
        </w:rPr>
        <w:t>rat</w:t>
      </w:r>
      <w:r w:rsidR="00757D72" w:rsidRPr="00FC0AF1">
        <w:rPr>
          <w:b/>
          <w:color w:val="000000" w:themeColor="text1"/>
        </w:rPr>
        <w:t>ing</w:t>
      </w:r>
      <w:r w:rsidR="00BF5292" w:rsidRPr="00FC0AF1">
        <w:rPr>
          <w:b/>
          <w:color w:val="000000" w:themeColor="text1"/>
        </w:rPr>
        <w:t xml:space="preserve"> </w:t>
      </w:r>
      <w:r w:rsidR="00757D72" w:rsidRPr="00FC0AF1">
        <w:rPr>
          <w:b/>
          <w:color w:val="000000" w:themeColor="text1"/>
        </w:rPr>
        <w:t xml:space="preserve">for </w:t>
      </w:r>
      <w:proofErr w:type="spellStart"/>
      <w:r w:rsidR="00757D72" w:rsidRPr="00FC0AF1">
        <w:rPr>
          <w:b/>
          <w:color w:val="000000" w:themeColor="text1"/>
        </w:rPr>
        <w:t>non</w:t>
      </w:r>
      <w:r w:rsidR="00BF5292" w:rsidRPr="00FC0AF1">
        <w:rPr>
          <w:b/>
          <w:color w:val="000000" w:themeColor="text1"/>
        </w:rPr>
        <w:t>exports</w:t>
      </w:r>
      <w:proofErr w:type="spellEnd"/>
      <w:r w:rsidR="00BF5292" w:rsidRPr="00FC0AF1">
        <w:rPr>
          <w:b/>
          <w:color w:val="000000" w:themeColor="text1"/>
        </w:rPr>
        <w:t xml:space="preserve">. </w:t>
      </w:r>
      <w:r w:rsidR="00DA645B" w:rsidRPr="00FC0AF1">
        <w:rPr>
          <w:bCs/>
          <w:color w:val="000000" w:themeColor="text1"/>
        </w:rPr>
        <w:t xml:space="preserve">While the international </w:t>
      </w:r>
      <w:r w:rsidR="00015F42" w:rsidRPr="00FC0AF1">
        <w:rPr>
          <w:bCs/>
          <w:color w:val="000000" w:themeColor="text1"/>
        </w:rPr>
        <w:t>best practice applies zero</w:t>
      </w:r>
      <w:r w:rsidR="001766C6">
        <w:rPr>
          <w:bCs/>
          <w:color w:val="000000" w:themeColor="text1"/>
        </w:rPr>
        <w:t xml:space="preserve"> </w:t>
      </w:r>
      <w:r w:rsidR="00015F42" w:rsidRPr="00FC0AF1">
        <w:rPr>
          <w:bCs/>
          <w:color w:val="000000" w:themeColor="text1"/>
        </w:rPr>
        <w:t xml:space="preserve">rating only </w:t>
      </w:r>
      <w:r w:rsidR="006831E6" w:rsidRPr="00FC0AF1">
        <w:rPr>
          <w:bCs/>
          <w:color w:val="000000" w:themeColor="text1"/>
        </w:rPr>
        <w:t>to</w:t>
      </w:r>
      <w:r w:rsidR="00015F42" w:rsidRPr="00FC0AF1">
        <w:rPr>
          <w:bCs/>
          <w:color w:val="000000" w:themeColor="text1"/>
        </w:rPr>
        <w:t xml:space="preserve"> exports, Indonesia</w:t>
      </w:r>
      <w:r w:rsidR="001766C6">
        <w:rPr>
          <w:bCs/>
          <w:color w:val="000000" w:themeColor="text1"/>
        </w:rPr>
        <w:t xml:space="preserve"> also</w:t>
      </w:r>
      <w:r w:rsidR="00015F42" w:rsidRPr="00FC0AF1">
        <w:rPr>
          <w:bCs/>
          <w:color w:val="000000" w:themeColor="text1"/>
        </w:rPr>
        <w:t xml:space="preserve"> extends </w:t>
      </w:r>
      <w:r w:rsidR="00380DB7" w:rsidRPr="00FC0AF1">
        <w:rPr>
          <w:bCs/>
          <w:color w:val="000000" w:themeColor="text1"/>
        </w:rPr>
        <w:t>zero</w:t>
      </w:r>
      <w:r w:rsidR="001766C6">
        <w:rPr>
          <w:bCs/>
          <w:color w:val="000000" w:themeColor="text1"/>
        </w:rPr>
        <w:t xml:space="preserve"> </w:t>
      </w:r>
      <w:r w:rsidR="00380DB7" w:rsidRPr="00FC0AF1">
        <w:rPr>
          <w:bCs/>
          <w:color w:val="000000" w:themeColor="text1"/>
        </w:rPr>
        <w:t xml:space="preserve">rating </w:t>
      </w:r>
      <w:r w:rsidR="006831E6" w:rsidRPr="00FC0AF1">
        <w:rPr>
          <w:bCs/>
          <w:color w:val="000000" w:themeColor="text1"/>
        </w:rPr>
        <w:t>to</w:t>
      </w:r>
      <w:r w:rsidR="001F4BEB" w:rsidRPr="00FC0AF1">
        <w:rPr>
          <w:bCs/>
          <w:color w:val="000000" w:themeColor="text1"/>
        </w:rPr>
        <w:t xml:space="preserve"> certain strategic sectors </w:t>
      </w:r>
      <w:r w:rsidR="006753C8" w:rsidRPr="00FC0AF1">
        <w:rPr>
          <w:rFonts w:eastAsia="Roboto" w:cstheme="minorHAnsi"/>
          <w:bCs/>
          <w:color w:val="000000" w:themeColor="text1"/>
          <w:lang w:val="en" w:bidi="si-LK"/>
        </w:rPr>
        <w:t>labeled</w:t>
      </w:r>
      <w:r w:rsidR="006753C8" w:rsidRPr="00FC0AF1">
        <w:rPr>
          <w:rFonts w:eastAsia="Roboto" w:cstheme="minorHAnsi"/>
          <w:b/>
          <w:color w:val="000000" w:themeColor="text1"/>
          <w:sz w:val="24"/>
          <w:szCs w:val="24"/>
          <w:lang w:val="en" w:bidi="si-LK"/>
        </w:rPr>
        <w:t xml:space="preserve"> </w:t>
      </w:r>
      <w:r w:rsidR="00A553CF" w:rsidRPr="00FC0AF1">
        <w:rPr>
          <w:color w:val="000000" w:themeColor="text1"/>
        </w:rPr>
        <w:t xml:space="preserve">as “VAT </w:t>
      </w:r>
      <w:proofErr w:type="spellStart"/>
      <w:r w:rsidR="00A553CF" w:rsidRPr="00FC0AF1">
        <w:rPr>
          <w:color w:val="000000" w:themeColor="text1"/>
        </w:rPr>
        <w:t>non</w:t>
      </w:r>
      <w:r w:rsidR="007558FE" w:rsidRPr="00FC0AF1">
        <w:rPr>
          <w:color w:val="000000" w:themeColor="text1"/>
        </w:rPr>
        <w:t>collected</w:t>
      </w:r>
      <w:proofErr w:type="spellEnd"/>
      <w:r w:rsidR="007558FE" w:rsidRPr="00FC0AF1">
        <w:rPr>
          <w:color w:val="000000" w:themeColor="text1"/>
        </w:rPr>
        <w:t xml:space="preserve"> facilities”</w:t>
      </w:r>
      <w:r w:rsidR="006753C8" w:rsidRPr="00FC0AF1">
        <w:rPr>
          <w:color w:val="000000" w:themeColor="text1"/>
        </w:rPr>
        <w:t>.</w:t>
      </w:r>
      <w:r w:rsidR="00075010" w:rsidRPr="00FC0AF1">
        <w:rPr>
          <w:color w:val="000000" w:themeColor="text1"/>
        </w:rPr>
        <w:t xml:space="preserve"> As previously discussed, the zero</w:t>
      </w:r>
      <w:r w:rsidR="001766C6">
        <w:rPr>
          <w:color w:val="000000" w:themeColor="text1"/>
        </w:rPr>
        <w:t xml:space="preserve"> </w:t>
      </w:r>
      <w:r w:rsidR="00075010" w:rsidRPr="00FC0AF1">
        <w:rPr>
          <w:rFonts w:eastAsia="Roboto" w:cstheme="minorHAnsi"/>
          <w:bCs/>
          <w:color w:val="000000" w:themeColor="text1"/>
          <w:lang w:val="en" w:bidi="si-LK"/>
        </w:rPr>
        <w:t>rating</w:t>
      </w:r>
      <w:r w:rsidR="000E0681" w:rsidRPr="00FC0AF1">
        <w:rPr>
          <w:rFonts w:eastAsia="Roboto" w:cstheme="minorHAnsi"/>
          <w:bCs/>
          <w:color w:val="000000" w:themeColor="text1"/>
          <w:lang w:val="en" w:bidi="si-LK"/>
        </w:rPr>
        <w:t xml:space="preserve"> for inputs used by the upstream</w:t>
      </w:r>
      <w:r w:rsidR="006B3F58" w:rsidRPr="00FC0AF1">
        <w:rPr>
          <w:rFonts w:eastAsia="Roboto" w:cstheme="minorHAnsi"/>
          <w:bCs/>
          <w:color w:val="000000" w:themeColor="text1"/>
          <w:lang w:val="en" w:bidi="si-LK"/>
        </w:rPr>
        <w:t xml:space="preserve"> oil </w:t>
      </w:r>
      <w:r w:rsidR="001766C6">
        <w:rPr>
          <w:rFonts w:eastAsia="Roboto" w:cstheme="minorHAnsi"/>
          <w:bCs/>
          <w:color w:val="000000" w:themeColor="text1"/>
          <w:lang w:val="en" w:bidi="si-LK"/>
        </w:rPr>
        <w:t>and</w:t>
      </w:r>
      <w:r w:rsidR="006B3F58" w:rsidRPr="00FC0AF1">
        <w:rPr>
          <w:rFonts w:eastAsia="Roboto" w:cstheme="minorHAnsi"/>
          <w:bCs/>
          <w:color w:val="000000" w:themeColor="text1"/>
          <w:lang w:val="en" w:bidi="si-LK"/>
        </w:rPr>
        <w:t xml:space="preserve"> gas businesses is the byproduct of VAT exemptions in </w:t>
      </w:r>
      <w:r w:rsidR="001766C6">
        <w:rPr>
          <w:rFonts w:eastAsia="Roboto" w:cstheme="minorHAnsi"/>
          <w:bCs/>
          <w:color w:val="000000" w:themeColor="text1"/>
          <w:lang w:val="en" w:bidi="si-LK"/>
        </w:rPr>
        <w:t xml:space="preserve">the </w:t>
      </w:r>
      <w:r w:rsidR="00C833DD" w:rsidRPr="00FC0AF1">
        <w:rPr>
          <w:rFonts w:eastAsia="Roboto" w:cstheme="minorHAnsi"/>
          <w:bCs/>
          <w:color w:val="000000" w:themeColor="text1"/>
          <w:lang w:val="en" w:bidi="si-LK"/>
        </w:rPr>
        <w:t xml:space="preserve">extractive sector. </w:t>
      </w:r>
      <w:r w:rsidR="0025574C" w:rsidRPr="00FC0AF1">
        <w:rPr>
          <w:rFonts w:eastAsia="Roboto" w:cstheme="minorHAnsi"/>
          <w:bCs/>
          <w:color w:val="000000" w:themeColor="text1"/>
          <w:lang w:val="en" w:bidi="si-LK"/>
        </w:rPr>
        <w:t>The extensive use of zero-rating will</w:t>
      </w:r>
      <w:r w:rsidR="001766C6">
        <w:rPr>
          <w:rFonts w:eastAsia="Roboto" w:cstheme="minorHAnsi"/>
          <w:bCs/>
          <w:color w:val="000000" w:themeColor="text1"/>
          <w:lang w:val="en" w:bidi="si-LK"/>
        </w:rPr>
        <w:t>:</w:t>
      </w:r>
      <w:r w:rsidR="000A358C" w:rsidRPr="00FC0AF1">
        <w:rPr>
          <w:rFonts w:eastAsia="Roboto" w:cstheme="minorHAnsi"/>
          <w:bCs/>
          <w:color w:val="000000" w:themeColor="text1"/>
          <w:lang w:val="en" w:bidi="si-LK"/>
        </w:rPr>
        <w:t xml:space="preserve"> </w:t>
      </w:r>
      <w:r w:rsidR="00B02E9D" w:rsidRPr="00FC0AF1">
        <w:rPr>
          <w:rFonts w:eastAsia="Roboto" w:cstheme="minorHAnsi"/>
          <w:bCs/>
          <w:color w:val="000000" w:themeColor="text1"/>
          <w:lang w:val="en" w:bidi="si-LK"/>
        </w:rPr>
        <w:t>(</w:t>
      </w:r>
      <w:r w:rsidR="001766C6">
        <w:rPr>
          <w:rFonts w:eastAsia="Roboto" w:cstheme="minorHAnsi"/>
          <w:bCs/>
          <w:color w:val="000000" w:themeColor="text1"/>
          <w:lang w:val="en" w:bidi="si-LK"/>
        </w:rPr>
        <w:t>i</w:t>
      </w:r>
      <w:r w:rsidR="00B02E9D" w:rsidRPr="00FC0AF1">
        <w:rPr>
          <w:rFonts w:eastAsia="Roboto" w:cstheme="minorHAnsi"/>
          <w:bCs/>
          <w:color w:val="000000" w:themeColor="text1"/>
          <w:lang w:val="en" w:bidi="si-LK"/>
        </w:rPr>
        <w:t xml:space="preserve">) </w:t>
      </w:r>
      <w:r w:rsidR="00D55AB4" w:rsidRPr="00FC0AF1">
        <w:rPr>
          <w:rFonts w:eastAsia="Roboto" w:cstheme="minorHAnsi"/>
          <w:bCs/>
          <w:color w:val="000000" w:themeColor="text1"/>
          <w:lang w:val="en" w:bidi="si-LK"/>
        </w:rPr>
        <w:t>lead to tax</w:t>
      </w:r>
      <w:r w:rsidR="000A358C" w:rsidRPr="00FC0AF1">
        <w:rPr>
          <w:rFonts w:eastAsia="Roboto" w:cstheme="minorHAnsi"/>
          <w:bCs/>
          <w:color w:val="000000" w:themeColor="text1"/>
          <w:lang w:val="en" w:bidi="si-LK"/>
        </w:rPr>
        <w:t xml:space="preserve"> revenue losses</w:t>
      </w:r>
      <w:r w:rsidR="00D55AB4" w:rsidRPr="00FC0AF1">
        <w:rPr>
          <w:rFonts w:eastAsia="Roboto" w:cstheme="minorHAnsi"/>
          <w:bCs/>
          <w:color w:val="000000" w:themeColor="text1"/>
          <w:lang w:val="en" w:bidi="si-LK"/>
        </w:rPr>
        <w:t xml:space="preserve"> (as </w:t>
      </w:r>
      <w:r w:rsidR="003F1F9D" w:rsidRPr="00FC0AF1">
        <w:rPr>
          <w:rFonts w:eastAsia="Roboto" w:cstheme="minorHAnsi"/>
          <w:bCs/>
          <w:color w:val="000000" w:themeColor="text1"/>
          <w:lang w:val="en" w:bidi="si-LK"/>
        </w:rPr>
        <w:t xml:space="preserve">businesses </w:t>
      </w:r>
      <w:r w:rsidR="001C102D" w:rsidRPr="00FC0AF1">
        <w:rPr>
          <w:rFonts w:eastAsia="Roboto" w:cstheme="minorHAnsi"/>
          <w:bCs/>
          <w:color w:val="000000" w:themeColor="text1"/>
          <w:lang w:val="en" w:bidi="si-LK"/>
        </w:rPr>
        <w:t xml:space="preserve">will not only pay output </w:t>
      </w:r>
      <w:proofErr w:type="gramStart"/>
      <w:r w:rsidR="001C102D" w:rsidRPr="00FC0AF1">
        <w:rPr>
          <w:rFonts w:eastAsia="Roboto" w:cstheme="minorHAnsi"/>
          <w:bCs/>
          <w:color w:val="000000" w:themeColor="text1"/>
          <w:lang w:val="en" w:bidi="si-LK"/>
        </w:rPr>
        <w:t>VAT</w:t>
      </w:r>
      <w:proofErr w:type="gramEnd"/>
      <w:r w:rsidR="001C102D" w:rsidRPr="00FC0AF1">
        <w:rPr>
          <w:rFonts w:eastAsia="Roboto" w:cstheme="minorHAnsi"/>
          <w:bCs/>
          <w:color w:val="000000" w:themeColor="text1"/>
          <w:lang w:val="en" w:bidi="si-LK"/>
        </w:rPr>
        <w:t xml:space="preserve"> but they will also be able to deduct input VAT)</w:t>
      </w:r>
      <w:r w:rsidR="00B02E9D" w:rsidRPr="00FC0AF1">
        <w:rPr>
          <w:rFonts w:eastAsia="Roboto" w:cstheme="minorHAnsi"/>
          <w:bCs/>
          <w:color w:val="000000" w:themeColor="text1"/>
          <w:lang w:val="en" w:bidi="si-LK"/>
        </w:rPr>
        <w:t>;</w:t>
      </w:r>
      <w:r w:rsidR="00220AC5" w:rsidRPr="00FC0AF1">
        <w:rPr>
          <w:rFonts w:eastAsia="Roboto" w:cstheme="minorHAnsi"/>
          <w:bCs/>
          <w:color w:val="000000" w:themeColor="text1"/>
          <w:lang w:val="en" w:bidi="si-LK"/>
        </w:rPr>
        <w:t xml:space="preserve"> </w:t>
      </w:r>
      <w:r w:rsidR="00965044" w:rsidRPr="00FC0AF1">
        <w:rPr>
          <w:rFonts w:eastAsia="Roboto" w:cstheme="minorHAnsi"/>
          <w:bCs/>
          <w:color w:val="000000" w:themeColor="text1"/>
          <w:lang w:val="en" w:bidi="si-LK"/>
        </w:rPr>
        <w:t>(</w:t>
      </w:r>
      <w:r w:rsidR="001766C6">
        <w:rPr>
          <w:rFonts w:eastAsia="Roboto" w:cstheme="minorHAnsi"/>
          <w:bCs/>
          <w:color w:val="000000" w:themeColor="text1"/>
          <w:lang w:val="en" w:bidi="si-LK"/>
        </w:rPr>
        <w:t>ii</w:t>
      </w:r>
      <w:r w:rsidR="00965044" w:rsidRPr="00FC0AF1">
        <w:rPr>
          <w:rFonts w:eastAsia="Roboto" w:cstheme="minorHAnsi"/>
          <w:bCs/>
          <w:color w:val="000000" w:themeColor="text1"/>
          <w:lang w:val="en" w:bidi="si-LK"/>
        </w:rPr>
        <w:t>) potentially bur</w:t>
      </w:r>
      <w:r w:rsidR="000E22DE" w:rsidRPr="00FC0AF1">
        <w:rPr>
          <w:rFonts w:eastAsia="Roboto" w:cstheme="minorHAnsi"/>
          <w:bCs/>
          <w:color w:val="000000" w:themeColor="text1"/>
          <w:lang w:val="en" w:bidi="si-LK"/>
        </w:rPr>
        <w:t xml:space="preserve">den the administration </w:t>
      </w:r>
      <w:r w:rsidR="00BB2005" w:rsidRPr="00FC0AF1">
        <w:rPr>
          <w:rFonts w:eastAsia="Roboto" w:cstheme="minorHAnsi"/>
          <w:bCs/>
          <w:color w:val="000000" w:themeColor="text1"/>
          <w:lang w:val="en" w:bidi="si-LK"/>
        </w:rPr>
        <w:t xml:space="preserve">as claims for VAT refunds </w:t>
      </w:r>
      <w:r w:rsidR="00BA4AE2" w:rsidRPr="00FC0AF1">
        <w:rPr>
          <w:rFonts w:eastAsia="Roboto" w:cstheme="minorHAnsi"/>
          <w:bCs/>
          <w:color w:val="000000" w:themeColor="text1"/>
          <w:lang w:val="en" w:bidi="si-LK"/>
        </w:rPr>
        <w:t>will rise</w:t>
      </w:r>
      <w:r w:rsidR="00BB2005" w:rsidRPr="00FC0AF1">
        <w:rPr>
          <w:rFonts w:eastAsia="Roboto" w:cstheme="minorHAnsi"/>
          <w:bCs/>
          <w:color w:val="000000" w:themeColor="text1"/>
          <w:lang w:val="en" w:bidi="si-LK"/>
        </w:rPr>
        <w:t xml:space="preserve">; </w:t>
      </w:r>
      <w:r w:rsidR="00220AC5" w:rsidRPr="00FC0AF1">
        <w:rPr>
          <w:rFonts w:eastAsia="Roboto" w:cstheme="minorHAnsi"/>
          <w:bCs/>
          <w:color w:val="000000" w:themeColor="text1"/>
          <w:lang w:val="en" w:bidi="si-LK"/>
        </w:rPr>
        <w:t>(</w:t>
      </w:r>
      <w:r w:rsidR="001766C6">
        <w:rPr>
          <w:rFonts w:eastAsia="Roboto" w:cstheme="minorHAnsi"/>
          <w:bCs/>
          <w:color w:val="000000" w:themeColor="text1"/>
          <w:lang w:val="en" w:bidi="si-LK"/>
        </w:rPr>
        <w:t>iii</w:t>
      </w:r>
      <w:r w:rsidR="00220AC5" w:rsidRPr="00FC0AF1">
        <w:rPr>
          <w:rFonts w:eastAsia="Roboto" w:cstheme="minorHAnsi"/>
          <w:bCs/>
          <w:color w:val="000000" w:themeColor="text1"/>
          <w:lang w:val="en" w:bidi="si-LK"/>
        </w:rPr>
        <w:t xml:space="preserve">) </w:t>
      </w:r>
      <w:r w:rsidR="00B02E9D" w:rsidRPr="00FC0AF1">
        <w:rPr>
          <w:rFonts w:eastAsia="Roboto" w:cstheme="minorHAnsi"/>
          <w:bCs/>
          <w:color w:val="000000" w:themeColor="text1"/>
          <w:lang w:val="en" w:bidi="si-LK"/>
        </w:rPr>
        <w:t xml:space="preserve">create </w:t>
      </w:r>
      <w:r w:rsidR="00173B3A" w:rsidRPr="00FC0AF1">
        <w:rPr>
          <w:rFonts w:eastAsia="Roboto" w:cstheme="minorHAnsi"/>
          <w:bCs/>
          <w:color w:val="000000" w:themeColor="text1"/>
          <w:lang w:val="en" w:bidi="si-LK"/>
        </w:rPr>
        <w:t xml:space="preserve">incentives for lobbying to extend similar treatment to other products; </w:t>
      </w:r>
      <w:r w:rsidR="00BB2005" w:rsidRPr="00FC0AF1">
        <w:rPr>
          <w:rFonts w:eastAsia="Roboto" w:cstheme="minorHAnsi"/>
          <w:bCs/>
          <w:color w:val="000000" w:themeColor="text1"/>
          <w:lang w:val="en" w:bidi="si-LK"/>
        </w:rPr>
        <w:t>and (</w:t>
      </w:r>
      <w:r w:rsidR="001766C6">
        <w:rPr>
          <w:rFonts w:eastAsia="Roboto" w:cstheme="minorHAnsi"/>
          <w:bCs/>
          <w:color w:val="000000" w:themeColor="text1"/>
          <w:lang w:val="en" w:bidi="si-LK"/>
        </w:rPr>
        <w:t>iv</w:t>
      </w:r>
      <w:r w:rsidR="00BB2005" w:rsidRPr="00FC0AF1">
        <w:rPr>
          <w:rFonts w:eastAsia="Roboto" w:cstheme="minorHAnsi"/>
          <w:bCs/>
          <w:color w:val="000000" w:themeColor="text1"/>
          <w:lang w:val="en" w:bidi="si-LK"/>
        </w:rPr>
        <w:t>)</w:t>
      </w:r>
      <w:r w:rsidR="00E667F8" w:rsidRPr="00FC0AF1">
        <w:rPr>
          <w:rFonts w:eastAsia="Roboto" w:cstheme="minorHAnsi"/>
          <w:b/>
          <w:color w:val="000000" w:themeColor="text1"/>
          <w:sz w:val="24"/>
          <w:szCs w:val="24"/>
          <w:lang w:val="en" w:bidi="si-LK"/>
        </w:rPr>
        <w:t xml:space="preserve"> </w:t>
      </w:r>
      <w:r w:rsidR="004D3E5A" w:rsidRPr="00FC0AF1">
        <w:rPr>
          <w:color w:val="000000" w:themeColor="text1"/>
        </w:rPr>
        <w:t>distort consumer</w:t>
      </w:r>
      <w:r w:rsidR="00E667F8" w:rsidRPr="00FC0AF1">
        <w:rPr>
          <w:color w:val="000000" w:themeColor="text1"/>
        </w:rPr>
        <w:t>’s</w:t>
      </w:r>
      <w:r w:rsidR="004D3E5A" w:rsidRPr="00FC0AF1">
        <w:rPr>
          <w:color w:val="000000" w:themeColor="text1"/>
        </w:rPr>
        <w:t xml:space="preserve"> choice between zero-rated</w:t>
      </w:r>
      <w:r w:rsidR="00613755" w:rsidRPr="00FC0AF1">
        <w:rPr>
          <w:color w:val="000000" w:themeColor="text1"/>
        </w:rPr>
        <w:t xml:space="preserve"> </w:t>
      </w:r>
      <w:r w:rsidR="00E53558" w:rsidRPr="00FC0AF1">
        <w:rPr>
          <w:color w:val="000000" w:themeColor="text1"/>
        </w:rPr>
        <w:t xml:space="preserve">and taxable </w:t>
      </w:r>
      <w:r w:rsidR="006D2259" w:rsidRPr="00FC0AF1">
        <w:rPr>
          <w:color w:val="000000" w:themeColor="text1"/>
        </w:rPr>
        <w:t>products</w:t>
      </w:r>
      <w:r w:rsidR="00BF5292" w:rsidRPr="00FC0AF1">
        <w:rPr>
          <w:color w:val="000000" w:themeColor="text1"/>
        </w:rPr>
        <w:t>.</w:t>
      </w:r>
    </w:p>
    <w:p w14:paraId="2DEC2E63" w14:textId="0A787A1C" w:rsidR="00404B95" w:rsidRPr="00FC5487" w:rsidRDefault="00395147" w:rsidP="00FC5487">
      <w:pPr>
        <w:numPr>
          <w:ilvl w:val="0"/>
          <w:numId w:val="15"/>
        </w:numPr>
        <w:spacing w:after="60"/>
        <w:ind w:left="630"/>
        <w:jc w:val="both"/>
        <w:rPr>
          <w:rFonts w:eastAsia="Roboto" w:cstheme="minorHAnsi"/>
          <w:b/>
          <w:color w:val="000000" w:themeColor="text1"/>
          <w:sz w:val="24"/>
          <w:szCs w:val="24"/>
          <w:lang w:val="en" w:bidi="si-LK"/>
        </w:rPr>
      </w:pPr>
      <w:r w:rsidRPr="003C07E9">
        <w:rPr>
          <w:b/>
          <w:color w:val="000000" w:themeColor="text1"/>
        </w:rPr>
        <w:t xml:space="preserve">Remove the </w:t>
      </w:r>
      <w:r w:rsidR="00547221">
        <w:rPr>
          <w:b/>
          <w:color w:val="000000" w:themeColor="text1"/>
        </w:rPr>
        <w:t>‘</w:t>
      </w:r>
      <w:r w:rsidRPr="003C07E9">
        <w:rPr>
          <w:b/>
          <w:color w:val="000000" w:themeColor="text1"/>
        </w:rPr>
        <w:t>final VAT</w:t>
      </w:r>
      <w:r w:rsidR="00547221">
        <w:rPr>
          <w:b/>
          <w:color w:val="000000" w:themeColor="text1"/>
        </w:rPr>
        <w:t>’</w:t>
      </w:r>
      <w:r w:rsidRPr="003C07E9">
        <w:rPr>
          <w:b/>
          <w:color w:val="000000" w:themeColor="text1"/>
        </w:rPr>
        <w:t xml:space="preserve"> </w:t>
      </w:r>
      <w:r w:rsidR="00E95EA7" w:rsidRPr="003C07E9">
        <w:rPr>
          <w:b/>
          <w:color w:val="000000" w:themeColor="text1"/>
        </w:rPr>
        <w:t>regime</w:t>
      </w:r>
      <w:r w:rsidRPr="003C07E9">
        <w:rPr>
          <w:b/>
          <w:color w:val="000000" w:themeColor="text1"/>
        </w:rPr>
        <w:t xml:space="preserve">. </w:t>
      </w:r>
      <w:r w:rsidR="00122802" w:rsidRPr="00C25150">
        <w:rPr>
          <w:bCs/>
          <w:color w:val="000000" w:themeColor="text1"/>
        </w:rPr>
        <w:t>The</w:t>
      </w:r>
      <w:r w:rsidR="00C963E5">
        <w:rPr>
          <w:bCs/>
          <w:color w:val="000000" w:themeColor="text1"/>
        </w:rPr>
        <w:t xml:space="preserve"> 2021 THL introduced </w:t>
      </w:r>
      <w:r w:rsidR="00E31DD7">
        <w:rPr>
          <w:bCs/>
          <w:color w:val="000000" w:themeColor="text1"/>
        </w:rPr>
        <w:t xml:space="preserve">a </w:t>
      </w:r>
      <w:r w:rsidR="00547221">
        <w:rPr>
          <w:bCs/>
          <w:color w:val="000000" w:themeColor="text1"/>
        </w:rPr>
        <w:t>‘</w:t>
      </w:r>
      <w:r w:rsidR="00E31DD7">
        <w:rPr>
          <w:bCs/>
          <w:color w:val="000000" w:themeColor="text1"/>
        </w:rPr>
        <w:t xml:space="preserve">final </w:t>
      </w:r>
      <w:r w:rsidR="00E80D2A">
        <w:rPr>
          <w:bCs/>
          <w:color w:val="000000" w:themeColor="text1"/>
        </w:rPr>
        <w:t>VAT</w:t>
      </w:r>
      <w:r w:rsidR="00547221">
        <w:rPr>
          <w:bCs/>
          <w:color w:val="000000" w:themeColor="text1"/>
        </w:rPr>
        <w:t>’</w:t>
      </w:r>
      <w:r w:rsidR="00E80D2A">
        <w:rPr>
          <w:bCs/>
          <w:color w:val="000000" w:themeColor="text1"/>
        </w:rPr>
        <w:t xml:space="preserve"> regime to several hard-to-tax sectors</w:t>
      </w:r>
      <w:r w:rsidR="00437757">
        <w:rPr>
          <w:bCs/>
          <w:color w:val="000000" w:themeColor="text1"/>
        </w:rPr>
        <w:t>, such as certain agricultural products</w:t>
      </w:r>
      <w:r w:rsidR="00AA74A6">
        <w:rPr>
          <w:bCs/>
          <w:color w:val="000000" w:themeColor="text1"/>
        </w:rPr>
        <w:t xml:space="preserve">, tour packages, </w:t>
      </w:r>
      <w:r w:rsidR="001720F1">
        <w:rPr>
          <w:bCs/>
          <w:color w:val="000000" w:themeColor="text1"/>
        </w:rPr>
        <w:t>consignment delivery services, and fee-based financial services.</w:t>
      </w:r>
      <w:r w:rsidR="00D661B2">
        <w:rPr>
          <w:bCs/>
          <w:color w:val="000000" w:themeColor="text1"/>
        </w:rPr>
        <w:t xml:space="preserve"> </w:t>
      </w:r>
      <w:r w:rsidR="009E1162" w:rsidRPr="00D661B2">
        <w:rPr>
          <w:color w:val="000000" w:themeColor="text1"/>
        </w:rPr>
        <w:t xml:space="preserve">As </w:t>
      </w:r>
      <w:r w:rsidR="0010799D" w:rsidRPr="00D661B2">
        <w:rPr>
          <w:color w:val="000000" w:themeColor="text1"/>
        </w:rPr>
        <w:t xml:space="preserve">previously noted, </w:t>
      </w:r>
      <w:r w:rsidR="00FA514D" w:rsidRPr="00D661B2">
        <w:rPr>
          <w:color w:val="000000" w:themeColor="text1"/>
        </w:rPr>
        <w:t>the</w:t>
      </w:r>
      <w:r w:rsidR="001045BA" w:rsidRPr="00D661B2">
        <w:rPr>
          <w:color w:val="000000" w:themeColor="text1"/>
        </w:rPr>
        <w:t xml:space="preserve"> </w:t>
      </w:r>
      <w:r w:rsidR="00547221">
        <w:rPr>
          <w:color w:val="000000" w:themeColor="text1"/>
        </w:rPr>
        <w:t>‘</w:t>
      </w:r>
      <w:r w:rsidR="00C830D2" w:rsidRPr="00D661B2">
        <w:rPr>
          <w:color w:val="000000" w:themeColor="text1"/>
        </w:rPr>
        <w:t>final VAT</w:t>
      </w:r>
      <w:r w:rsidR="00547221">
        <w:rPr>
          <w:color w:val="000000" w:themeColor="text1"/>
        </w:rPr>
        <w:t>’</w:t>
      </w:r>
      <w:r w:rsidRPr="00D661B2">
        <w:rPr>
          <w:color w:val="000000" w:themeColor="text1"/>
        </w:rPr>
        <w:t xml:space="preserve"> is</w:t>
      </w:r>
      <w:r w:rsidR="009E1162" w:rsidRPr="00D661B2">
        <w:rPr>
          <w:color w:val="000000" w:themeColor="text1"/>
        </w:rPr>
        <w:t xml:space="preserve"> effectively</w:t>
      </w:r>
      <w:r w:rsidR="004A1479" w:rsidRPr="00D661B2">
        <w:rPr>
          <w:color w:val="000000" w:themeColor="text1"/>
        </w:rPr>
        <w:t xml:space="preserve"> a</w:t>
      </w:r>
      <w:r w:rsidR="009E1162" w:rsidRPr="00D661B2">
        <w:rPr>
          <w:color w:val="000000" w:themeColor="text1"/>
        </w:rPr>
        <w:t xml:space="preserve"> sales tax</w:t>
      </w:r>
      <w:r w:rsidR="00D661B2">
        <w:rPr>
          <w:color w:val="000000" w:themeColor="text1"/>
        </w:rPr>
        <w:t>, since</w:t>
      </w:r>
      <w:r w:rsidR="001766C6">
        <w:rPr>
          <w:color w:val="000000" w:themeColor="text1"/>
        </w:rPr>
        <w:t>:</w:t>
      </w:r>
      <w:r w:rsidR="00D661B2">
        <w:rPr>
          <w:color w:val="000000" w:themeColor="text1"/>
        </w:rPr>
        <w:t xml:space="preserve"> </w:t>
      </w:r>
      <w:r w:rsidR="009D4792">
        <w:rPr>
          <w:color w:val="000000" w:themeColor="text1"/>
        </w:rPr>
        <w:t>(</w:t>
      </w:r>
      <w:r w:rsidR="001766C6">
        <w:rPr>
          <w:color w:val="000000" w:themeColor="text1"/>
        </w:rPr>
        <w:t>i</w:t>
      </w:r>
      <w:r w:rsidR="009D4792">
        <w:rPr>
          <w:color w:val="000000" w:themeColor="text1"/>
        </w:rPr>
        <w:t xml:space="preserve">) </w:t>
      </w:r>
      <w:r w:rsidR="002D3457">
        <w:rPr>
          <w:color w:val="000000" w:themeColor="text1"/>
        </w:rPr>
        <w:t xml:space="preserve">it </w:t>
      </w:r>
      <w:proofErr w:type="gramStart"/>
      <w:r w:rsidR="002D3457">
        <w:rPr>
          <w:color w:val="000000" w:themeColor="text1"/>
        </w:rPr>
        <w:t>applies</w:t>
      </w:r>
      <w:proofErr w:type="gramEnd"/>
      <w:r w:rsidR="002D3457">
        <w:rPr>
          <w:color w:val="000000" w:themeColor="text1"/>
        </w:rPr>
        <w:t xml:space="preserve"> a dee</w:t>
      </w:r>
      <w:r w:rsidR="00FD0DF1">
        <w:rPr>
          <w:color w:val="000000" w:themeColor="text1"/>
        </w:rPr>
        <w:t xml:space="preserve">med value-added-to-sales ratio </w:t>
      </w:r>
      <w:r w:rsidR="00B31119">
        <w:rPr>
          <w:color w:val="000000" w:themeColor="text1"/>
        </w:rPr>
        <w:t>on the selling price</w:t>
      </w:r>
      <w:r w:rsidR="008F6BB1">
        <w:rPr>
          <w:color w:val="000000" w:themeColor="text1"/>
        </w:rPr>
        <w:t xml:space="preserve"> resulting in various low tax rates</w:t>
      </w:r>
      <w:r w:rsidR="001766C6">
        <w:rPr>
          <w:color w:val="000000" w:themeColor="text1"/>
        </w:rPr>
        <w:t>;</w:t>
      </w:r>
      <w:r w:rsidR="009D4792">
        <w:rPr>
          <w:color w:val="000000" w:themeColor="text1"/>
        </w:rPr>
        <w:t xml:space="preserve"> and (</w:t>
      </w:r>
      <w:r w:rsidR="001766C6">
        <w:rPr>
          <w:color w:val="000000" w:themeColor="text1"/>
        </w:rPr>
        <w:t>ii</w:t>
      </w:r>
      <w:r w:rsidR="009D4792">
        <w:rPr>
          <w:color w:val="000000" w:themeColor="text1"/>
        </w:rPr>
        <w:t xml:space="preserve">) </w:t>
      </w:r>
      <w:r w:rsidR="00E21370">
        <w:rPr>
          <w:color w:val="000000" w:themeColor="text1"/>
        </w:rPr>
        <w:t>the input tax cannot be credited.</w:t>
      </w:r>
      <w:r w:rsidR="00E908F5">
        <w:rPr>
          <w:color w:val="000000" w:themeColor="text1"/>
        </w:rPr>
        <w:t xml:space="preserve"> The </w:t>
      </w:r>
      <w:r w:rsidR="00CA533E">
        <w:rPr>
          <w:color w:val="000000" w:themeColor="text1"/>
        </w:rPr>
        <w:t>authorities should remove the final VAT and subject them to the standard VAT rate instead</w:t>
      </w:r>
      <w:r w:rsidR="00FC5487">
        <w:rPr>
          <w:color w:val="000000" w:themeColor="text1"/>
        </w:rPr>
        <w:t>.</w:t>
      </w:r>
      <w:r w:rsidR="00FC5487">
        <w:rPr>
          <w:rFonts w:eastAsia="Roboto" w:cstheme="minorHAnsi"/>
          <w:b/>
          <w:color w:val="000000" w:themeColor="text1"/>
          <w:sz w:val="24"/>
          <w:szCs w:val="24"/>
          <w:lang w:val="en" w:bidi="si-LK"/>
        </w:rPr>
        <w:t xml:space="preserve"> </w:t>
      </w:r>
      <w:r w:rsidR="00FC5487" w:rsidRPr="001A6524">
        <w:rPr>
          <w:rFonts w:eastAsia="Roboto" w:cstheme="minorHAnsi"/>
          <w:bCs/>
          <w:color w:val="000000" w:themeColor="text1"/>
          <w:lang w:val="en" w:bidi="si-LK"/>
        </w:rPr>
        <w:t>Sales tax</w:t>
      </w:r>
      <w:r w:rsidR="00FC5487">
        <w:rPr>
          <w:rFonts w:eastAsia="Roboto" w:cstheme="minorHAnsi"/>
          <w:b/>
          <w:color w:val="000000" w:themeColor="text1"/>
          <w:sz w:val="24"/>
          <w:szCs w:val="24"/>
          <w:lang w:val="en" w:bidi="si-LK"/>
        </w:rPr>
        <w:t xml:space="preserve"> </w:t>
      </w:r>
      <w:r w:rsidR="00B22216" w:rsidRPr="00FC5487">
        <w:rPr>
          <w:color w:val="000000" w:themeColor="text1"/>
        </w:rPr>
        <w:t xml:space="preserve">is more prone to evasion </w:t>
      </w:r>
      <w:r w:rsidR="001E01D6" w:rsidRPr="00FC5487">
        <w:rPr>
          <w:color w:val="000000" w:themeColor="text1"/>
        </w:rPr>
        <w:t xml:space="preserve">because </w:t>
      </w:r>
      <w:r w:rsidR="00B22216" w:rsidRPr="00FC5487">
        <w:rPr>
          <w:color w:val="000000" w:themeColor="text1"/>
        </w:rPr>
        <w:t>if there is fraud</w:t>
      </w:r>
      <w:r w:rsidR="001E01D6" w:rsidRPr="00FC5487">
        <w:rPr>
          <w:color w:val="000000" w:themeColor="text1"/>
        </w:rPr>
        <w:t xml:space="preserve">, the authorities would lose the entire revenue. With </w:t>
      </w:r>
      <w:proofErr w:type="gramStart"/>
      <w:r w:rsidR="001E01D6" w:rsidRPr="00FC5487">
        <w:rPr>
          <w:color w:val="000000" w:themeColor="text1"/>
        </w:rPr>
        <w:t>a VAT</w:t>
      </w:r>
      <w:proofErr w:type="gramEnd"/>
      <w:r w:rsidR="001E01D6" w:rsidRPr="00FC5487">
        <w:rPr>
          <w:color w:val="000000" w:themeColor="text1"/>
        </w:rPr>
        <w:t xml:space="preserve">, an evasion would </w:t>
      </w:r>
      <w:r w:rsidR="001766C6">
        <w:rPr>
          <w:color w:val="000000" w:themeColor="text1"/>
        </w:rPr>
        <w:t>result in</w:t>
      </w:r>
      <w:r w:rsidR="001E01D6" w:rsidRPr="00FC5487">
        <w:rPr>
          <w:color w:val="000000" w:themeColor="text1"/>
        </w:rPr>
        <w:t xml:space="preserve"> </w:t>
      </w:r>
      <w:r w:rsidR="00B44E1C" w:rsidRPr="00FC5487">
        <w:rPr>
          <w:color w:val="000000" w:themeColor="text1"/>
        </w:rPr>
        <w:t xml:space="preserve">the authorities losing </w:t>
      </w:r>
      <w:r w:rsidR="001766C6">
        <w:rPr>
          <w:color w:val="000000" w:themeColor="text1"/>
        </w:rPr>
        <w:t xml:space="preserve">only </w:t>
      </w:r>
      <w:r w:rsidR="00B44E1C" w:rsidRPr="00FC5487">
        <w:rPr>
          <w:color w:val="000000" w:themeColor="text1"/>
        </w:rPr>
        <w:t>the revenue from that stage in the supply chain</w:t>
      </w:r>
      <w:r w:rsidR="00BC5E34" w:rsidRPr="00FC5487">
        <w:rPr>
          <w:color w:val="000000" w:themeColor="text1"/>
        </w:rPr>
        <w:t xml:space="preserve">. </w:t>
      </w:r>
      <w:r w:rsidR="0050308A" w:rsidRPr="00FC5487">
        <w:rPr>
          <w:color w:val="000000" w:themeColor="text1"/>
        </w:rPr>
        <w:t>More</w:t>
      </w:r>
      <w:r w:rsidR="002B3018" w:rsidRPr="00FC5487">
        <w:rPr>
          <w:color w:val="000000" w:themeColor="text1"/>
        </w:rPr>
        <w:t xml:space="preserve">over, </w:t>
      </w:r>
      <w:r w:rsidR="00525626" w:rsidRPr="00FC5487">
        <w:rPr>
          <w:color w:val="000000" w:themeColor="text1"/>
        </w:rPr>
        <w:t xml:space="preserve">the combination of </w:t>
      </w:r>
      <w:proofErr w:type="gramStart"/>
      <w:r w:rsidR="00525626" w:rsidRPr="00FC5487">
        <w:rPr>
          <w:color w:val="000000" w:themeColor="text1"/>
        </w:rPr>
        <w:t>the VAT</w:t>
      </w:r>
      <w:proofErr w:type="gramEnd"/>
      <w:r w:rsidR="00525626" w:rsidRPr="00FC5487">
        <w:rPr>
          <w:color w:val="000000" w:themeColor="text1"/>
        </w:rPr>
        <w:t xml:space="preserve"> and different types of sales tax create an un</w:t>
      </w:r>
      <w:r w:rsidR="007C6469" w:rsidRPr="00FC5487">
        <w:rPr>
          <w:color w:val="000000" w:themeColor="text1"/>
        </w:rPr>
        <w:t xml:space="preserve">necessarily complex system. For example, </w:t>
      </w:r>
      <w:r w:rsidR="00753585" w:rsidRPr="00FC5487">
        <w:rPr>
          <w:color w:val="000000" w:themeColor="text1"/>
        </w:rPr>
        <w:t xml:space="preserve">as </w:t>
      </w:r>
      <w:r w:rsidR="007C6469" w:rsidRPr="00FC5487">
        <w:rPr>
          <w:color w:val="000000" w:themeColor="text1"/>
        </w:rPr>
        <w:t xml:space="preserve">larger firms are likely to engage in </w:t>
      </w:r>
      <w:r w:rsidR="00753585" w:rsidRPr="00FC5487">
        <w:rPr>
          <w:color w:val="000000" w:themeColor="text1"/>
        </w:rPr>
        <w:t xml:space="preserve">multiple sectors, </w:t>
      </w:r>
      <w:r w:rsidR="00F7481C" w:rsidRPr="00FC5487">
        <w:rPr>
          <w:color w:val="000000" w:themeColor="text1"/>
        </w:rPr>
        <w:t>the mixed tax regimes would create incent</w:t>
      </w:r>
      <w:r w:rsidR="00FA514D" w:rsidRPr="00FC5487">
        <w:rPr>
          <w:color w:val="000000" w:themeColor="text1"/>
        </w:rPr>
        <w:t>ives for firms to engage in tax arbitrage</w:t>
      </w:r>
      <w:r w:rsidR="001766C6">
        <w:rPr>
          <w:rFonts w:cstheme="minorHAnsi"/>
          <w:color w:val="000000" w:themeColor="text1"/>
        </w:rPr>
        <w:t>–</w:t>
      </w:r>
      <w:r w:rsidR="00FA514D" w:rsidRPr="00FC5487">
        <w:rPr>
          <w:color w:val="000000" w:themeColor="text1"/>
        </w:rPr>
        <w:t>such as by shifting inputs to the activities for which</w:t>
      </w:r>
      <w:r w:rsidR="00D30393" w:rsidRPr="00FC5487">
        <w:rPr>
          <w:color w:val="000000" w:themeColor="text1"/>
        </w:rPr>
        <w:t xml:space="preserve"> final VAT applies to reduce the overall tax burden.</w:t>
      </w:r>
    </w:p>
    <w:p w14:paraId="4E45C45B" w14:textId="513A334A" w:rsidR="007F6AF4" w:rsidRPr="003776FB" w:rsidRDefault="002B043F" w:rsidP="003776FB">
      <w:pPr>
        <w:pStyle w:val="ListParagraph"/>
        <w:numPr>
          <w:ilvl w:val="0"/>
          <w:numId w:val="15"/>
        </w:numPr>
        <w:ind w:left="630"/>
        <w:jc w:val="both"/>
        <w:rPr>
          <w:rFonts w:eastAsia="Roboto" w:cstheme="minorHAnsi"/>
          <w:b/>
          <w:sz w:val="24"/>
          <w:szCs w:val="24"/>
          <w:lang w:val="en" w:bidi="si-LK"/>
        </w:rPr>
      </w:pPr>
      <w:r w:rsidRPr="003C07E9">
        <w:rPr>
          <w:b/>
          <w:bCs/>
        </w:rPr>
        <w:lastRenderedPageBreak/>
        <w:t xml:space="preserve">Simplify the multi-rate LGST into a single rate </w:t>
      </w:r>
      <w:r w:rsidR="00AE2555" w:rsidRPr="00AE2555">
        <w:rPr>
          <w:b/>
          <w:bCs/>
        </w:rPr>
        <w:t>system</w:t>
      </w:r>
      <w:r w:rsidR="00AE2555">
        <w:rPr>
          <w:b/>
          <w:bCs/>
        </w:rPr>
        <w:t xml:space="preserve"> and</w:t>
      </w:r>
      <w:r w:rsidRPr="003C07E9">
        <w:rPr>
          <w:b/>
          <w:bCs/>
        </w:rPr>
        <w:t xml:space="preserve"> keep it outside the VAT regime. </w:t>
      </w:r>
      <w:r w:rsidRPr="000F0919">
        <w:t>LGST is</w:t>
      </w:r>
      <w:r w:rsidR="001766C6">
        <w:t xml:space="preserve"> currently imposed</w:t>
      </w:r>
      <w:r w:rsidRPr="000F0919">
        <w:t xml:space="preserve"> on top of VAT but with </w:t>
      </w:r>
      <w:r w:rsidR="001766C6">
        <w:t xml:space="preserve">an </w:t>
      </w:r>
      <w:r w:rsidRPr="000F0919">
        <w:t>overly complicated multi-rate system. While this arrangement means that luxury goods are subject to both the VAT and the final consumption tax</w:t>
      </w:r>
      <w:r w:rsidR="001766C6">
        <w:t>,</w:t>
      </w:r>
      <w:r w:rsidRPr="000F0919">
        <w:t xml:space="preserve"> the very small LGST revenue is not worth the administrative complexity </w:t>
      </w:r>
      <w:r w:rsidR="001766C6">
        <w:t xml:space="preserve">that </w:t>
      </w:r>
      <w:r w:rsidRPr="000F0919">
        <w:t>arise</w:t>
      </w:r>
      <w:r w:rsidR="001766C6">
        <w:t>s</w:t>
      </w:r>
      <w:r w:rsidRPr="000F0919">
        <w:t xml:space="preserve"> from its multi-rate system. Because the government’s policy intent is to tax certain types of consumption considered </w:t>
      </w:r>
      <w:r w:rsidR="001766C6">
        <w:t>to be</w:t>
      </w:r>
      <w:r w:rsidRPr="000F0919">
        <w:t xml:space="preserve"> privileged at higher rates, a single higher (final consumption tax) rate is deemed more appropriate.</w:t>
      </w:r>
    </w:p>
    <w:p w14:paraId="28DA428F" w14:textId="20DCFB1C" w:rsidR="00AA154A" w:rsidRPr="006810D2" w:rsidRDefault="00AA154A" w:rsidP="00AA154A">
      <w:pPr>
        <w:pStyle w:val="Heading2"/>
        <w:rPr>
          <w:b w:val="0"/>
          <w:color w:val="4472C4" w:themeColor="accent1"/>
        </w:rPr>
      </w:pPr>
      <w:bookmarkStart w:id="58" w:name="_Toc177819054"/>
      <w:r>
        <w:rPr>
          <w:rFonts w:asciiTheme="minorHAnsi" w:hAnsiTheme="minorHAnsi" w:cstheme="minorHAnsi"/>
          <w:color w:val="4472C4" w:themeColor="accent1"/>
          <w:sz w:val="24"/>
          <w:szCs w:val="24"/>
        </w:rPr>
        <w:t xml:space="preserve">Caveats and </w:t>
      </w:r>
      <w:r w:rsidR="00A104E0">
        <w:rPr>
          <w:rFonts w:asciiTheme="minorHAnsi" w:hAnsiTheme="minorHAnsi" w:cstheme="minorHAnsi"/>
          <w:color w:val="4472C4" w:themeColor="accent1"/>
          <w:sz w:val="24"/>
          <w:szCs w:val="24"/>
        </w:rPr>
        <w:t>k</w:t>
      </w:r>
      <w:r>
        <w:rPr>
          <w:rFonts w:asciiTheme="minorHAnsi" w:hAnsiTheme="minorHAnsi" w:cstheme="minorHAnsi"/>
          <w:color w:val="4472C4" w:themeColor="accent1"/>
          <w:sz w:val="24"/>
          <w:szCs w:val="24"/>
        </w:rPr>
        <w:t xml:space="preserve">nowledge </w:t>
      </w:r>
      <w:r w:rsidR="00A104E0">
        <w:rPr>
          <w:rFonts w:asciiTheme="minorHAnsi" w:hAnsiTheme="minorHAnsi" w:cstheme="minorHAnsi"/>
          <w:color w:val="4472C4" w:themeColor="accent1"/>
          <w:sz w:val="24"/>
          <w:szCs w:val="24"/>
        </w:rPr>
        <w:t>g</w:t>
      </w:r>
      <w:r>
        <w:rPr>
          <w:rFonts w:asciiTheme="minorHAnsi" w:hAnsiTheme="minorHAnsi" w:cstheme="minorHAnsi"/>
          <w:color w:val="4472C4" w:themeColor="accent1"/>
          <w:sz w:val="24"/>
          <w:szCs w:val="24"/>
        </w:rPr>
        <w:t>aps</w:t>
      </w:r>
      <w:bookmarkEnd w:id="58"/>
    </w:p>
    <w:p w14:paraId="320ACDC1" w14:textId="6ED5A359" w:rsidR="003C4645" w:rsidRDefault="00AA154A" w:rsidP="0023040F">
      <w:pPr>
        <w:pStyle w:val="ListParagraph"/>
        <w:numPr>
          <w:ilvl w:val="0"/>
          <w:numId w:val="12"/>
        </w:numPr>
        <w:spacing w:before="120"/>
        <w:ind w:left="0" w:firstLine="0"/>
        <w:contextualSpacing w:val="0"/>
        <w:jc w:val="both"/>
      </w:pPr>
      <w:r w:rsidRPr="003C07E9">
        <w:rPr>
          <w:b/>
          <w:bCs/>
        </w:rPr>
        <w:t xml:space="preserve">This paper is the result of a </w:t>
      </w:r>
      <w:proofErr w:type="spellStart"/>
      <w:r w:rsidRPr="003C07E9">
        <w:rPr>
          <w:b/>
          <w:bCs/>
        </w:rPr>
        <w:t>stocktake</w:t>
      </w:r>
      <w:proofErr w:type="spellEnd"/>
      <w:r w:rsidRPr="003C07E9">
        <w:rPr>
          <w:b/>
          <w:bCs/>
        </w:rPr>
        <w:t xml:space="preserve"> exercise that collated the latest knowledge and evidence on Indonesia’s CIT, AFT, and VAT through desktop research and close dialogue with government.</w:t>
      </w:r>
      <w:r>
        <w:t xml:space="preserve"> It serves as a new reference resource on these taxes, informs the World Bank’s policy dialogue </w:t>
      </w:r>
      <w:r w:rsidR="00350170">
        <w:t xml:space="preserve">with government </w:t>
      </w:r>
      <w:r>
        <w:t>on tax reform, and identifies important issues for further investigation. Given the breadth of issues canvassed, the paper avoids delving too deeply into any specific issue and must also exclude several major areas of taxation from its scope. The recommendations presented in this paper should</w:t>
      </w:r>
      <w:r w:rsidR="00153813">
        <w:t>, therefore,</w:t>
      </w:r>
      <w:r>
        <w:t xml:space="preserve"> be considered as groundwork and worthy of further substantiation. Each of the recommendations would benefit from further research</w:t>
      </w:r>
      <w:r w:rsidR="00153813">
        <w:rPr>
          <w:rFonts w:cstheme="minorHAnsi"/>
        </w:rPr>
        <w:t>–</w:t>
      </w:r>
      <w:r>
        <w:t>including</w:t>
      </w:r>
      <w:r w:rsidR="00153813">
        <w:t>,</w:t>
      </w:r>
      <w:r>
        <w:t xml:space="preserve"> for instance</w:t>
      </w:r>
      <w:r w:rsidR="00153813">
        <w:t>,</w:t>
      </w:r>
      <w:r>
        <w:t xml:space="preserve"> drawing upon tax administrative data and microsimulations, or more rigorously assessing proposed reforms with respect to the principles of a good tax</w:t>
      </w:r>
      <w:r w:rsidR="007A5685">
        <w:t>.</w:t>
      </w:r>
      <w:r>
        <w:rPr>
          <w:rStyle w:val="FootnoteReference"/>
        </w:rPr>
        <w:footnoteReference w:id="101"/>
      </w:r>
    </w:p>
    <w:p w14:paraId="1EEDADDA" w14:textId="6A041090" w:rsidR="003C4645" w:rsidRDefault="003C4645" w:rsidP="003C032C">
      <w:pPr>
        <w:pStyle w:val="ListParagraph"/>
        <w:numPr>
          <w:ilvl w:val="0"/>
          <w:numId w:val="12"/>
        </w:numPr>
        <w:spacing w:before="120"/>
        <w:ind w:left="0" w:firstLine="0"/>
        <w:contextualSpacing w:val="0"/>
        <w:jc w:val="both"/>
      </w:pPr>
      <w:r w:rsidRPr="003C032C">
        <w:rPr>
          <w:b/>
          <w:bCs/>
        </w:rPr>
        <w:t xml:space="preserve">There are several lines of research into </w:t>
      </w:r>
      <w:r w:rsidR="00031926" w:rsidRPr="003C032C">
        <w:rPr>
          <w:b/>
          <w:bCs/>
        </w:rPr>
        <w:t xml:space="preserve">Indonesia’s business income taxes </w:t>
      </w:r>
      <w:r w:rsidR="00C65999">
        <w:rPr>
          <w:b/>
          <w:bCs/>
        </w:rPr>
        <w:t xml:space="preserve">that </w:t>
      </w:r>
      <w:r w:rsidRPr="003C032C">
        <w:rPr>
          <w:b/>
          <w:bCs/>
        </w:rPr>
        <w:t>could help to inform</w:t>
      </w:r>
      <w:r w:rsidR="00DC6A7A" w:rsidRPr="003C032C">
        <w:rPr>
          <w:b/>
          <w:bCs/>
        </w:rPr>
        <w:t xml:space="preserve">, </w:t>
      </w:r>
      <w:r w:rsidRPr="003C032C">
        <w:rPr>
          <w:b/>
          <w:bCs/>
        </w:rPr>
        <w:t>validate</w:t>
      </w:r>
      <w:r w:rsidR="00DC6A7A" w:rsidRPr="003C032C">
        <w:rPr>
          <w:b/>
          <w:bCs/>
        </w:rPr>
        <w:t xml:space="preserve">, and even expand </w:t>
      </w:r>
      <w:r w:rsidRPr="003C032C">
        <w:rPr>
          <w:b/>
          <w:bCs/>
        </w:rPr>
        <w:t>the proposed policy agenda outlined in the recommendations.</w:t>
      </w:r>
      <w:r>
        <w:t xml:space="preserve"> </w:t>
      </w:r>
      <w:r w:rsidR="003168CD">
        <w:t xml:space="preserve">Firstly, further research is warranted into </w:t>
      </w:r>
      <w:r w:rsidR="00B773A4">
        <w:t>key topics that were excluded from scope</w:t>
      </w:r>
      <w:r w:rsidR="00317A7A">
        <w:rPr>
          <w:rFonts w:cstheme="minorHAnsi"/>
        </w:rPr>
        <w:t>–</w:t>
      </w:r>
      <w:r w:rsidR="006A68FC">
        <w:t xml:space="preserve">including </w:t>
      </w:r>
      <w:r w:rsidR="00A251EF">
        <w:t xml:space="preserve">international taxation, </w:t>
      </w:r>
      <w:r w:rsidR="00B664D0">
        <w:t xml:space="preserve">capital taxation, </w:t>
      </w:r>
      <w:r w:rsidR="00A251EF">
        <w:t>and natural resource sector taxation</w:t>
      </w:r>
      <w:r w:rsidR="008B7B38">
        <w:t xml:space="preserve">. </w:t>
      </w:r>
      <w:r w:rsidR="00D47FD1">
        <w:t xml:space="preserve">A better understanding of the </w:t>
      </w:r>
      <w:r w:rsidR="00E15661">
        <w:t xml:space="preserve">PIT </w:t>
      </w:r>
      <w:r w:rsidR="00D47FD1">
        <w:t xml:space="preserve">regime and its interactions with the </w:t>
      </w:r>
      <w:r w:rsidR="00E1152A">
        <w:t>CIT</w:t>
      </w:r>
      <w:r w:rsidR="00477B99">
        <w:t xml:space="preserve"> is also warranted. For example</w:t>
      </w:r>
      <w:r w:rsidR="003E192E">
        <w:t>,</w:t>
      </w:r>
      <w:r w:rsidR="00477B99">
        <w:t xml:space="preserve"> </w:t>
      </w:r>
      <w:r w:rsidR="003E192E">
        <w:t>h</w:t>
      </w:r>
      <w:r w:rsidR="003E192E" w:rsidRPr="003E192E">
        <w:t>ow generous are the tax optimization strategies that are available to firms when choosing between the PIT and CIT?</w:t>
      </w:r>
      <w:r w:rsidR="003E192E">
        <w:t xml:space="preserve"> </w:t>
      </w:r>
      <w:r w:rsidR="005655BD">
        <w:t xml:space="preserve">Second, </w:t>
      </w:r>
      <w:r w:rsidR="00B51A49">
        <w:t xml:space="preserve">there is a need for a </w:t>
      </w:r>
      <w:r w:rsidR="008A3DFE">
        <w:t xml:space="preserve">more nuanced </w:t>
      </w:r>
      <w:r w:rsidR="00B51A49">
        <w:t xml:space="preserve">understanding of how </w:t>
      </w:r>
      <w:r w:rsidR="008A3DFE">
        <w:t xml:space="preserve">pervasive informality </w:t>
      </w:r>
      <w:r w:rsidR="0065766D">
        <w:t xml:space="preserve">in </w:t>
      </w:r>
      <w:r w:rsidR="006A68FC">
        <w:t xml:space="preserve">the </w:t>
      </w:r>
      <w:r w:rsidR="0065766D">
        <w:t xml:space="preserve">Indonesian economy </w:t>
      </w:r>
      <w:r w:rsidR="006A68FC">
        <w:t>interacts</w:t>
      </w:r>
      <w:r w:rsidR="002920C1">
        <w:t xml:space="preserve"> </w:t>
      </w:r>
      <w:r w:rsidR="00D91A90">
        <w:t>with taxpayer compliance and tax collections</w:t>
      </w:r>
      <w:r w:rsidR="002920C1">
        <w:t>.</w:t>
      </w:r>
      <w:r w:rsidR="00E07270">
        <w:t xml:space="preserve"> </w:t>
      </w:r>
      <w:bookmarkStart w:id="59" w:name="_Hlk177818762"/>
      <w:r w:rsidR="00E07270">
        <w:t xml:space="preserve">For instance, </w:t>
      </w:r>
      <w:r w:rsidR="000542A3">
        <w:t xml:space="preserve">are tax compliance gaps driven largely by formal firms paying less than they should, or </w:t>
      </w:r>
      <w:r w:rsidR="004C31A5">
        <w:t xml:space="preserve">by informal </w:t>
      </w:r>
      <w:r w:rsidR="000542A3">
        <w:t>firms</w:t>
      </w:r>
      <w:r w:rsidR="001A63AD">
        <w:t xml:space="preserve"> altogether avoiding the tax net? </w:t>
      </w:r>
      <w:r w:rsidR="00317A7A">
        <w:t>To</w:t>
      </w:r>
      <w:r w:rsidR="001A63AD">
        <w:t xml:space="preserve"> what extent would </w:t>
      </w:r>
      <w:r w:rsidR="00886766">
        <w:t xml:space="preserve">an </w:t>
      </w:r>
      <w:r w:rsidR="00982BBB">
        <w:t xml:space="preserve">increasing </w:t>
      </w:r>
      <w:r w:rsidR="008F57E8">
        <w:t>formalization</w:t>
      </w:r>
      <w:r w:rsidR="00982BBB">
        <w:t xml:space="preserve"> of informal firms </w:t>
      </w:r>
      <w:r w:rsidR="00E07270">
        <w:t>lead to meaningful increases in tax collections</w:t>
      </w:r>
      <w:r w:rsidR="00982BBB">
        <w:t xml:space="preserve"> (or </w:t>
      </w:r>
      <w:r w:rsidR="00AB2106">
        <w:t xml:space="preserve">are </w:t>
      </w:r>
      <w:r w:rsidR="00982BBB">
        <w:t xml:space="preserve">these firms </w:t>
      </w:r>
      <w:r w:rsidR="00886766">
        <w:t xml:space="preserve">mostly </w:t>
      </w:r>
      <w:r w:rsidR="00982BBB">
        <w:t xml:space="preserve">too small to matter)? </w:t>
      </w:r>
      <w:bookmarkEnd w:id="59"/>
      <w:r w:rsidR="00417BC5">
        <w:t xml:space="preserve">Third, </w:t>
      </w:r>
      <w:r w:rsidR="00DB2351">
        <w:t xml:space="preserve">better insight is needed into </w:t>
      </w:r>
      <w:r w:rsidR="007C6846">
        <w:t xml:space="preserve">the experience and behavior of firms that </w:t>
      </w:r>
      <w:r w:rsidR="005B179C">
        <w:t xml:space="preserve">transition from the AFT into the CIT. </w:t>
      </w:r>
      <w:r w:rsidR="001E607B">
        <w:t xml:space="preserve">Do these graduating firms </w:t>
      </w:r>
      <w:r w:rsidR="00023F40">
        <w:t xml:space="preserve">quickly </w:t>
      </w:r>
      <w:r w:rsidR="001E607B">
        <w:t xml:space="preserve">comply with their new obligations, </w:t>
      </w:r>
      <w:r w:rsidR="00023F40">
        <w:t>do they shirk, or do they try to drop out of the net</w:t>
      </w:r>
      <w:r w:rsidR="00B01626">
        <w:t xml:space="preserve"> (</w:t>
      </w:r>
      <w:r w:rsidR="00317A7A">
        <w:t>for example</w:t>
      </w:r>
      <w:r w:rsidR="00B01626">
        <w:t>, informalize)</w:t>
      </w:r>
      <w:r w:rsidR="00023F40">
        <w:t xml:space="preserve">? </w:t>
      </w:r>
      <w:r w:rsidR="00D65439">
        <w:t xml:space="preserve">What challenges do </w:t>
      </w:r>
      <w:r w:rsidR="00DC5A18">
        <w:t xml:space="preserve">MSMEs face in understanding </w:t>
      </w:r>
      <w:r w:rsidR="003E03AC">
        <w:t xml:space="preserve">and complying with </w:t>
      </w:r>
      <w:r w:rsidR="00DC5A18">
        <w:t>their CIT obligations</w:t>
      </w:r>
      <w:r w:rsidR="00D64EBE">
        <w:t xml:space="preserve">? </w:t>
      </w:r>
      <w:r w:rsidR="004C6014">
        <w:t>Fo</w:t>
      </w:r>
      <w:r w:rsidR="009A7652">
        <w:t>u</w:t>
      </w:r>
      <w:r w:rsidR="004C6014">
        <w:t xml:space="preserve">rth, </w:t>
      </w:r>
      <w:r w:rsidR="00317A7A">
        <w:t xml:space="preserve">a </w:t>
      </w:r>
      <w:r w:rsidR="00441BE0">
        <w:t xml:space="preserve">more comprehensive </w:t>
      </w:r>
      <w:r w:rsidR="008F7360">
        <w:t xml:space="preserve">economic </w:t>
      </w:r>
      <w:r w:rsidR="008B479D">
        <w:t xml:space="preserve">cost-benefit </w:t>
      </w:r>
      <w:r w:rsidR="008F7360">
        <w:t>analysis of Indonesia’s tax expenditures</w:t>
      </w:r>
      <w:r w:rsidR="005470AE">
        <w:t xml:space="preserve"> is needed</w:t>
      </w:r>
      <w:r w:rsidR="008F7360">
        <w:t xml:space="preserve">, </w:t>
      </w:r>
      <w:r w:rsidR="00441BE0">
        <w:t xml:space="preserve">to create supportive evidence for the withdrawal </w:t>
      </w:r>
      <w:r w:rsidR="005470AE">
        <w:t xml:space="preserve">of the most egregiously wasteful ones. </w:t>
      </w:r>
      <w:r w:rsidR="001C1667">
        <w:t xml:space="preserve">Fifth, </w:t>
      </w:r>
      <w:r w:rsidR="0079309A">
        <w:t xml:space="preserve">the </w:t>
      </w:r>
      <w:r w:rsidR="001C1667">
        <w:t>withdraw</w:t>
      </w:r>
      <w:r w:rsidR="0079309A">
        <w:t xml:space="preserve">al of </w:t>
      </w:r>
      <w:r w:rsidR="001C1667">
        <w:t xml:space="preserve">special final tax treatment of the construction sector </w:t>
      </w:r>
      <w:r w:rsidR="0079309A">
        <w:t>would benefit from a deep</w:t>
      </w:r>
      <w:r w:rsidR="00317A7A">
        <w:t>er analysis of</w:t>
      </w:r>
      <w:r w:rsidR="0079309A">
        <w:t xml:space="preserve"> the causes behind the observed de-linking between sector share of GDP and sector share of tax revenues. </w:t>
      </w:r>
      <w:r w:rsidR="00F67538">
        <w:t xml:space="preserve">Sixth, </w:t>
      </w:r>
      <w:r w:rsidR="004778A9">
        <w:t xml:space="preserve">it would be helpful to have </w:t>
      </w:r>
      <w:r w:rsidR="00790738">
        <w:t xml:space="preserve">detailed firm characteristic profiles </w:t>
      </w:r>
      <w:r w:rsidR="00BB2E5D">
        <w:t xml:space="preserve">of the cohorts of firms </w:t>
      </w:r>
      <w:r w:rsidR="002E175E">
        <w:t xml:space="preserve">within </w:t>
      </w:r>
      <w:r w:rsidR="00BB2E5D">
        <w:t>different annual turnover</w:t>
      </w:r>
      <w:r w:rsidR="002E175E" w:rsidRPr="002E175E">
        <w:t xml:space="preserve"> </w:t>
      </w:r>
      <w:proofErr w:type="gramStart"/>
      <w:r w:rsidR="002E175E">
        <w:t>bands</w:t>
      </w:r>
      <w:proofErr w:type="gramEnd"/>
      <w:r w:rsidR="00C65999">
        <w:t xml:space="preserve">. This could help inform the turnover level at which a new, lower eligibility threshold is set for any simplified tax regime. </w:t>
      </w:r>
    </w:p>
    <w:p w14:paraId="798060B9" w14:textId="360B66E0" w:rsidR="00875B7B" w:rsidRDefault="00CA0ED8" w:rsidP="003C032C">
      <w:pPr>
        <w:pStyle w:val="ListParagraph"/>
        <w:numPr>
          <w:ilvl w:val="0"/>
          <w:numId w:val="12"/>
        </w:numPr>
        <w:spacing w:before="120"/>
        <w:ind w:left="0" w:firstLine="0"/>
        <w:contextualSpacing w:val="0"/>
        <w:jc w:val="both"/>
      </w:pPr>
      <w:bookmarkStart w:id="60" w:name="_Hlk177818956"/>
      <w:r w:rsidRPr="003C032C">
        <w:rPr>
          <w:b/>
          <w:bCs/>
        </w:rPr>
        <w:t>F</w:t>
      </w:r>
      <w:r w:rsidR="00875B7B" w:rsidRPr="003C032C">
        <w:rPr>
          <w:b/>
          <w:bCs/>
        </w:rPr>
        <w:t xml:space="preserve">uture research that incorporates the state of Indonesia’s informal consumption into the </w:t>
      </w:r>
      <w:r w:rsidR="007D7BB3" w:rsidRPr="003C032C">
        <w:rPr>
          <w:b/>
          <w:bCs/>
        </w:rPr>
        <w:t xml:space="preserve">VAT </w:t>
      </w:r>
      <w:r w:rsidR="00875B7B" w:rsidRPr="003C032C">
        <w:rPr>
          <w:b/>
          <w:bCs/>
        </w:rPr>
        <w:t>incidence could make an even more compelling argument to fully abolish</w:t>
      </w:r>
      <w:r w:rsidR="00AF38D4">
        <w:rPr>
          <w:b/>
          <w:bCs/>
        </w:rPr>
        <w:t xml:space="preserve"> VAT</w:t>
      </w:r>
      <w:r w:rsidR="00875B7B" w:rsidRPr="003C032C">
        <w:rPr>
          <w:b/>
          <w:bCs/>
        </w:rPr>
        <w:t xml:space="preserve"> exemptions</w:t>
      </w:r>
      <w:r w:rsidR="00875B7B">
        <w:t>.</w:t>
      </w:r>
      <w:r w:rsidR="00DF0F77">
        <w:t xml:space="preserve"> The limitation of </w:t>
      </w:r>
      <w:r w:rsidR="00F2550A">
        <w:t>the VAT</w:t>
      </w:r>
      <w:r w:rsidR="00DF0F77">
        <w:t xml:space="preserve"> </w:t>
      </w:r>
      <w:proofErr w:type="gramStart"/>
      <w:r w:rsidR="00DF0F77">
        <w:t>incidence</w:t>
      </w:r>
      <w:proofErr w:type="gramEnd"/>
      <w:r w:rsidR="00F2550A">
        <w:t xml:space="preserve"> discussed in the previous subchapter </w:t>
      </w:r>
      <w:r w:rsidR="00B021EE">
        <w:t xml:space="preserve">is that the analysis </w:t>
      </w:r>
      <w:r w:rsidR="00DD12FE">
        <w:t>did</w:t>
      </w:r>
      <w:r w:rsidR="00B021EE">
        <w:t xml:space="preserve"> not capture </w:t>
      </w:r>
      <w:r w:rsidR="00DD12FE">
        <w:t xml:space="preserve">the impact of informality. </w:t>
      </w:r>
      <w:bookmarkStart w:id="61" w:name="_Hlk177818859"/>
      <w:r w:rsidR="00317A7A">
        <w:t>G</w:t>
      </w:r>
      <w:r w:rsidR="008A713F">
        <w:t>iven</w:t>
      </w:r>
      <w:r w:rsidR="00317A7A">
        <w:t xml:space="preserve"> that</w:t>
      </w:r>
      <w:r w:rsidR="008A713F">
        <w:t xml:space="preserve"> </w:t>
      </w:r>
      <w:r w:rsidR="00DD12FE">
        <w:t>firm distribution in Indonesia is heavily ske</w:t>
      </w:r>
      <w:r w:rsidR="00623046">
        <w:t xml:space="preserve">wed toward </w:t>
      </w:r>
      <w:r w:rsidR="00EA79A2">
        <w:t xml:space="preserve">small and </w:t>
      </w:r>
      <w:r w:rsidR="00623046">
        <w:t xml:space="preserve">informal firms, the previous VAT incidence </w:t>
      </w:r>
      <w:r w:rsidR="0027462B">
        <w:t>did not</w:t>
      </w:r>
      <w:r w:rsidR="00317A7A">
        <w:t>, therefore,</w:t>
      </w:r>
      <w:r w:rsidR="0027462B">
        <w:t xml:space="preserve"> account for the distributional impact of Indonesia’s exceptionally high threshold.</w:t>
      </w:r>
      <w:r w:rsidR="00991C00">
        <w:t xml:space="preserve"> As a result, the VAT burden borne by the poorest households may be </w:t>
      </w:r>
      <w:r w:rsidR="00DF37F2">
        <w:t xml:space="preserve">overestimated. </w:t>
      </w:r>
      <w:bookmarkEnd w:id="61"/>
      <w:r w:rsidR="00875B7B">
        <w:t>Bachas et al</w:t>
      </w:r>
      <w:r w:rsidR="00317A7A">
        <w:t>.</w:t>
      </w:r>
      <w:r w:rsidR="00875B7B">
        <w:t xml:space="preserve"> (2021) find that informality can create progressivity </w:t>
      </w:r>
      <w:r w:rsidR="00875B7B">
        <w:lastRenderedPageBreak/>
        <w:t xml:space="preserve">in </w:t>
      </w:r>
      <w:proofErr w:type="gramStart"/>
      <w:r w:rsidR="00875B7B">
        <w:t>the VAT</w:t>
      </w:r>
      <w:proofErr w:type="gramEnd"/>
      <w:r w:rsidR="00875B7B">
        <w:t xml:space="preserve"> as the poorest </w:t>
      </w:r>
      <w:proofErr w:type="gramStart"/>
      <w:r w:rsidR="00875B7B">
        <w:t>consume more in</w:t>
      </w:r>
      <w:proofErr w:type="gramEnd"/>
      <w:r w:rsidR="00875B7B">
        <w:t xml:space="preserve"> informal markets as compared to higher income households. Replicating the strategy employed by Bachas</w:t>
      </w:r>
      <w:r w:rsidR="00E74435">
        <w:t xml:space="preserve"> et al</w:t>
      </w:r>
      <w:r w:rsidR="00317A7A">
        <w:t>.</w:t>
      </w:r>
      <w:r w:rsidR="00E74435">
        <w:t>,</w:t>
      </w:r>
      <w:r w:rsidR="00875B7B">
        <w:t xml:space="preserve"> which is to introduce informal consumption (proxied as the type of store where food purchases occur) into the household expenditure survey, may result in the VAT exemptions on food heavily benefitting richer households.</w:t>
      </w:r>
    </w:p>
    <w:p w14:paraId="621086E3" w14:textId="77777777" w:rsidR="003776FB" w:rsidRPr="00BE74E2" w:rsidRDefault="003776FB" w:rsidP="003776FB">
      <w:pPr>
        <w:pStyle w:val="Heading2"/>
        <w:rPr>
          <w:b w:val="0"/>
          <w:color w:val="4472C4" w:themeColor="accent1"/>
        </w:rPr>
      </w:pPr>
      <w:bookmarkStart w:id="62" w:name="_Toc177819055"/>
      <w:bookmarkEnd w:id="60"/>
      <w:r w:rsidRPr="00BE74E2">
        <w:rPr>
          <w:rFonts w:asciiTheme="minorHAnsi" w:hAnsiTheme="minorHAnsi" w:cstheme="minorHAnsi"/>
          <w:color w:val="4472C4" w:themeColor="accent1"/>
          <w:sz w:val="24"/>
          <w:szCs w:val="24"/>
        </w:rPr>
        <w:t>Summary table</w:t>
      </w:r>
      <w:bookmarkEnd w:id="62"/>
    </w:p>
    <w:tbl>
      <w:tblPr>
        <w:tblStyle w:val="TableGrid"/>
        <w:tblW w:w="9085" w:type="dxa"/>
        <w:tblLayout w:type="fixed"/>
        <w:tblLook w:val="04A0" w:firstRow="1" w:lastRow="0" w:firstColumn="1" w:lastColumn="0" w:noHBand="0" w:noVBand="1"/>
      </w:tblPr>
      <w:tblGrid>
        <w:gridCol w:w="4405"/>
        <w:gridCol w:w="1560"/>
        <w:gridCol w:w="1560"/>
        <w:gridCol w:w="1560"/>
      </w:tblGrid>
      <w:tr w:rsidR="003776FB" w14:paraId="55284029" w14:textId="77777777" w:rsidTr="0099701D">
        <w:tc>
          <w:tcPr>
            <w:tcW w:w="4405" w:type="dxa"/>
          </w:tcPr>
          <w:p w14:paraId="2F13935A" w14:textId="77777777" w:rsidR="003776FB" w:rsidRPr="003776FB" w:rsidRDefault="003776FB" w:rsidP="00317A7A">
            <w:pPr>
              <w:spacing w:before="40" w:after="40"/>
              <w:ind w:left="0" w:firstLine="0"/>
              <w:jc w:val="center"/>
              <w:rPr>
                <w:rFonts w:cstheme="minorHAnsi"/>
                <w:b/>
                <w:sz w:val="20"/>
                <w:szCs w:val="20"/>
              </w:rPr>
            </w:pPr>
            <w:r w:rsidRPr="003776FB">
              <w:rPr>
                <w:rFonts w:cstheme="minorHAnsi"/>
                <w:b/>
                <w:sz w:val="20"/>
                <w:szCs w:val="20"/>
              </w:rPr>
              <w:t>Recommendations</w:t>
            </w:r>
          </w:p>
        </w:tc>
        <w:tc>
          <w:tcPr>
            <w:tcW w:w="1560" w:type="dxa"/>
          </w:tcPr>
          <w:p w14:paraId="1D089D51" w14:textId="77777777" w:rsidR="003776FB" w:rsidRPr="003776FB" w:rsidRDefault="003776FB" w:rsidP="00317A7A">
            <w:pPr>
              <w:spacing w:before="40" w:after="40"/>
              <w:ind w:left="0" w:firstLine="0"/>
              <w:jc w:val="center"/>
              <w:rPr>
                <w:rFonts w:cstheme="minorHAnsi"/>
                <w:b/>
                <w:sz w:val="20"/>
                <w:szCs w:val="20"/>
              </w:rPr>
            </w:pPr>
            <w:r w:rsidRPr="003776FB">
              <w:rPr>
                <w:rFonts w:cstheme="minorHAnsi"/>
                <w:b/>
                <w:sz w:val="20"/>
                <w:szCs w:val="20"/>
              </w:rPr>
              <w:t>Increase revenue potential / collection</w:t>
            </w:r>
          </w:p>
        </w:tc>
        <w:tc>
          <w:tcPr>
            <w:tcW w:w="1560" w:type="dxa"/>
          </w:tcPr>
          <w:p w14:paraId="6E87FA0D" w14:textId="77777777" w:rsidR="003776FB" w:rsidRPr="003776FB" w:rsidRDefault="003776FB" w:rsidP="00317A7A">
            <w:pPr>
              <w:spacing w:before="40" w:after="40"/>
              <w:ind w:left="0" w:firstLine="0"/>
              <w:jc w:val="center"/>
              <w:rPr>
                <w:rFonts w:cstheme="minorHAnsi"/>
                <w:b/>
                <w:sz w:val="20"/>
                <w:szCs w:val="20"/>
              </w:rPr>
            </w:pPr>
            <w:r w:rsidRPr="003776FB">
              <w:rPr>
                <w:rFonts w:cstheme="minorHAnsi"/>
                <w:b/>
                <w:sz w:val="20"/>
                <w:szCs w:val="20"/>
              </w:rPr>
              <w:t>Reduce compliance &amp; administrative costs</w:t>
            </w:r>
          </w:p>
        </w:tc>
        <w:tc>
          <w:tcPr>
            <w:tcW w:w="1560" w:type="dxa"/>
          </w:tcPr>
          <w:p w14:paraId="7190A574" w14:textId="77777777" w:rsidR="003776FB" w:rsidRPr="003776FB" w:rsidRDefault="003776FB" w:rsidP="00317A7A">
            <w:pPr>
              <w:spacing w:before="40" w:after="40"/>
              <w:ind w:left="0" w:firstLine="0"/>
              <w:jc w:val="center"/>
              <w:rPr>
                <w:rFonts w:cstheme="minorHAnsi"/>
                <w:b/>
                <w:sz w:val="20"/>
                <w:szCs w:val="20"/>
              </w:rPr>
            </w:pPr>
            <w:r w:rsidRPr="003776FB">
              <w:rPr>
                <w:rFonts w:cstheme="minorHAnsi"/>
                <w:b/>
                <w:sz w:val="20"/>
                <w:szCs w:val="20"/>
              </w:rPr>
              <w:t>Required Legal Instrument</w:t>
            </w:r>
          </w:p>
        </w:tc>
      </w:tr>
      <w:tr w:rsidR="003776FB" w14:paraId="1846F0D5" w14:textId="77777777" w:rsidTr="00947F45">
        <w:tc>
          <w:tcPr>
            <w:tcW w:w="9085" w:type="dxa"/>
            <w:gridSpan w:val="4"/>
            <w:shd w:val="clear" w:color="auto" w:fill="DBDBDB" w:themeFill="accent3" w:themeFillTint="66"/>
          </w:tcPr>
          <w:p w14:paraId="043249D4" w14:textId="77777777" w:rsidR="003776FB" w:rsidRPr="003776FB" w:rsidRDefault="003776FB" w:rsidP="00947F45">
            <w:pPr>
              <w:spacing w:before="40" w:after="40"/>
              <w:ind w:left="0" w:firstLine="0"/>
              <w:rPr>
                <w:rFonts w:cstheme="minorHAnsi"/>
                <w:b/>
                <w:sz w:val="20"/>
                <w:szCs w:val="20"/>
              </w:rPr>
            </w:pPr>
            <w:r w:rsidRPr="003776FB">
              <w:rPr>
                <w:rFonts w:cstheme="minorHAnsi"/>
                <w:b/>
                <w:sz w:val="20"/>
                <w:szCs w:val="20"/>
              </w:rPr>
              <w:t>CIT</w:t>
            </w:r>
          </w:p>
        </w:tc>
      </w:tr>
      <w:tr w:rsidR="003776FB" w14:paraId="775EFF9D" w14:textId="77777777" w:rsidTr="00947F45">
        <w:tc>
          <w:tcPr>
            <w:tcW w:w="4405" w:type="dxa"/>
            <w:vAlign w:val="center"/>
          </w:tcPr>
          <w:p w14:paraId="7491D24C" w14:textId="77777777"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Withdraw special treatment of the construction services sector.</w:t>
            </w:r>
          </w:p>
        </w:tc>
        <w:tc>
          <w:tcPr>
            <w:tcW w:w="1560" w:type="dxa"/>
            <w:vAlign w:val="center"/>
          </w:tcPr>
          <w:p w14:paraId="193DB349"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0111F40C" wp14:editId="28CC33A6">
                  <wp:extent cx="301451" cy="301451"/>
                  <wp:effectExtent l="0" t="0" r="3810" b="3810"/>
                  <wp:docPr id="33" name="Graphic 33"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6F13ACCA" w14:textId="77777777" w:rsidR="003776FB" w:rsidRPr="003776FB" w:rsidRDefault="003776FB" w:rsidP="00947F45">
            <w:pPr>
              <w:spacing w:before="40" w:after="40"/>
              <w:ind w:left="0" w:firstLine="0"/>
              <w:jc w:val="center"/>
              <w:rPr>
                <w:rFonts w:cstheme="minorHAnsi"/>
                <w:sz w:val="20"/>
                <w:szCs w:val="20"/>
              </w:rPr>
            </w:pPr>
          </w:p>
        </w:tc>
        <w:tc>
          <w:tcPr>
            <w:tcW w:w="1560" w:type="dxa"/>
            <w:vAlign w:val="center"/>
          </w:tcPr>
          <w:p w14:paraId="60D8C734"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Government Regulation</w:t>
            </w:r>
          </w:p>
        </w:tc>
      </w:tr>
      <w:tr w:rsidR="003776FB" w14:paraId="7FB50182" w14:textId="77777777" w:rsidTr="00947F45">
        <w:tc>
          <w:tcPr>
            <w:tcW w:w="4405" w:type="dxa"/>
            <w:vAlign w:val="center"/>
          </w:tcPr>
          <w:p w14:paraId="12810F31" w14:textId="38FC4545"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Withdraw special treatment of publicly</w:t>
            </w:r>
            <w:r w:rsidR="00317A7A">
              <w:rPr>
                <w:rFonts w:cstheme="minorHAnsi"/>
                <w:sz w:val="20"/>
                <w:szCs w:val="20"/>
              </w:rPr>
              <w:t xml:space="preserve"> </w:t>
            </w:r>
            <w:r w:rsidRPr="003776FB">
              <w:rPr>
                <w:rFonts w:cstheme="minorHAnsi"/>
                <w:sz w:val="20"/>
                <w:szCs w:val="20"/>
              </w:rPr>
              <w:t>listed firms.</w:t>
            </w:r>
          </w:p>
        </w:tc>
        <w:tc>
          <w:tcPr>
            <w:tcW w:w="1560" w:type="dxa"/>
            <w:vAlign w:val="center"/>
          </w:tcPr>
          <w:p w14:paraId="7C3086AA"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3CE61F21" wp14:editId="63450054">
                  <wp:extent cx="301451" cy="301451"/>
                  <wp:effectExtent l="0" t="0" r="3810" b="3810"/>
                  <wp:docPr id="30" name="Graphic 30"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6CAB2CFA" w14:textId="77777777" w:rsidR="003776FB" w:rsidRPr="003776FB" w:rsidRDefault="003776FB" w:rsidP="00947F45">
            <w:pPr>
              <w:spacing w:before="40" w:after="40"/>
              <w:ind w:left="0" w:firstLine="0"/>
              <w:jc w:val="center"/>
              <w:rPr>
                <w:rFonts w:cstheme="minorHAnsi"/>
                <w:sz w:val="20"/>
                <w:szCs w:val="20"/>
              </w:rPr>
            </w:pPr>
          </w:p>
        </w:tc>
        <w:tc>
          <w:tcPr>
            <w:tcW w:w="1560" w:type="dxa"/>
            <w:vAlign w:val="center"/>
          </w:tcPr>
          <w:p w14:paraId="7DE97185"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Parliamentary Legislation</w:t>
            </w:r>
          </w:p>
        </w:tc>
      </w:tr>
      <w:tr w:rsidR="003776FB" w14:paraId="63EC4AF6" w14:textId="77777777" w:rsidTr="00947F45">
        <w:tc>
          <w:tcPr>
            <w:tcW w:w="4405" w:type="dxa"/>
            <w:vAlign w:val="center"/>
          </w:tcPr>
          <w:p w14:paraId="5E07E4B7" w14:textId="77777777"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Abolish the concessional CIT scheme for MSMEs.</w:t>
            </w:r>
          </w:p>
        </w:tc>
        <w:tc>
          <w:tcPr>
            <w:tcW w:w="1560" w:type="dxa"/>
            <w:vAlign w:val="center"/>
          </w:tcPr>
          <w:p w14:paraId="6FDE307F"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692A75AC" wp14:editId="1CF13B8D">
                  <wp:extent cx="301451" cy="301451"/>
                  <wp:effectExtent l="0" t="0" r="3810" b="3810"/>
                  <wp:docPr id="61" name="Graphic 61"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39F7672E" w14:textId="77777777" w:rsidR="003776FB" w:rsidRPr="003776FB" w:rsidRDefault="003776FB" w:rsidP="00947F45">
            <w:pPr>
              <w:spacing w:before="40" w:after="40"/>
              <w:ind w:left="0" w:firstLine="0"/>
              <w:jc w:val="center"/>
              <w:rPr>
                <w:rFonts w:cstheme="minorHAnsi"/>
                <w:sz w:val="20"/>
                <w:szCs w:val="20"/>
              </w:rPr>
            </w:pPr>
          </w:p>
        </w:tc>
        <w:tc>
          <w:tcPr>
            <w:tcW w:w="1560" w:type="dxa"/>
            <w:vAlign w:val="center"/>
          </w:tcPr>
          <w:p w14:paraId="633E310A"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Parliamentary Legislation</w:t>
            </w:r>
            <w:r w:rsidRPr="003776FB" w:rsidDel="006E5CD1">
              <w:rPr>
                <w:rFonts w:cstheme="minorHAnsi"/>
                <w:noProof/>
                <w:sz w:val="20"/>
                <w:szCs w:val="20"/>
              </w:rPr>
              <w:t xml:space="preserve"> </w:t>
            </w:r>
          </w:p>
        </w:tc>
      </w:tr>
      <w:tr w:rsidR="003776FB" w14:paraId="65069668" w14:textId="77777777" w:rsidTr="00947F45">
        <w:tc>
          <w:tcPr>
            <w:tcW w:w="4405" w:type="dxa"/>
            <w:vAlign w:val="center"/>
          </w:tcPr>
          <w:p w14:paraId="7B04A2A5" w14:textId="77777777"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 xml:space="preserve">Eliminate all tax holidays and, where necessary, </w:t>
            </w:r>
            <w:proofErr w:type="gramStart"/>
            <w:r w:rsidRPr="003776FB">
              <w:rPr>
                <w:rFonts w:cstheme="minorHAnsi"/>
                <w:sz w:val="20"/>
                <w:szCs w:val="20"/>
              </w:rPr>
              <w:t>replace</w:t>
            </w:r>
            <w:proofErr w:type="gramEnd"/>
            <w:r w:rsidRPr="003776FB">
              <w:rPr>
                <w:rFonts w:cstheme="minorHAnsi"/>
                <w:sz w:val="20"/>
                <w:szCs w:val="20"/>
              </w:rPr>
              <w:t xml:space="preserve"> with cost-based incentives.</w:t>
            </w:r>
          </w:p>
        </w:tc>
        <w:tc>
          <w:tcPr>
            <w:tcW w:w="1560" w:type="dxa"/>
            <w:vAlign w:val="center"/>
          </w:tcPr>
          <w:p w14:paraId="7BE087A1"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6D86518F" wp14:editId="54F3C3C6">
                  <wp:extent cx="301451" cy="301451"/>
                  <wp:effectExtent l="0" t="0" r="3810" b="3810"/>
                  <wp:docPr id="22" name="Graphic 2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6FC016B5"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26AA6144" wp14:editId="71623B7A">
                  <wp:extent cx="301451" cy="301451"/>
                  <wp:effectExtent l="0" t="0" r="3810" b="3810"/>
                  <wp:docPr id="43" name="Graphic 43"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37341B42"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Government Regulation</w:t>
            </w:r>
          </w:p>
        </w:tc>
      </w:tr>
      <w:tr w:rsidR="003776FB" w14:paraId="46135BFA" w14:textId="77777777" w:rsidTr="00947F45">
        <w:tc>
          <w:tcPr>
            <w:tcW w:w="9085" w:type="dxa"/>
            <w:gridSpan w:val="4"/>
            <w:shd w:val="clear" w:color="auto" w:fill="DBDBDB" w:themeFill="accent3" w:themeFillTint="66"/>
            <w:vAlign w:val="center"/>
          </w:tcPr>
          <w:p w14:paraId="48C4EF0B" w14:textId="77777777" w:rsidR="003776FB" w:rsidRPr="003776FB" w:rsidRDefault="003776FB" w:rsidP="00947F45">
            <w:pPr>
              <w:spacing w:before="40" w:after="40"/>
              <w:ind w:left="0" w:firstLine="0"/>
              <w:rPr>
                <w:rFonts w:cstheme="minorHAnsi"/>
                <w:b/>
                <w:sz w:val="20"/>
                <w:szCs w:val="20"/>
              </w:rPr>
            </w:pPr>
            <w:r w:rsidRPr="003776FB">
              <w:rPr>
                <w:rFonts w:cstheme="minorHAnsi"/>
                <w:b/>
                <w:sz w:val="20"/>
                <w:szCs w:val="20"/>
              </w:rPr>
              <w:t>AFT</w:t>
            </w:r>
          </w:p>
        </w:tc>
      </w:tr>
      <w:tr w:rsidR="003776FB" w14:paraId="008B199A" w14:textId="77777777" w:rsidTr="00947F45">
        <w:tc>
          <w:tcPr>
            <w:tcW w:w="4405" w:type="dxa"/>
            <w:vAlign w:val="center"/>
          </w:tcPr>
          <w:p w14:paraId="6FBC5DA2" w14:textId="77777777"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Replace the AFT with a new alternative scheme with a lower eligibility threshold and no time restrictions.</w:t>
            </w:r>
          </w:p>
        </w:tc>
        <w:tc>
          <w:tcPr>
            <w:tcW w:w="1560" w:type="dxa"/>
            <w:vAlign w:val="center"/>
          </w:tcPr>
          <w:p w14:paraId="28610B8F"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6090A5FD" wp14:editId="283CBFB1">
                  <wp:extent cx="301451" cy="301451"/>
                  <wp:effectExtent l="0" t="0" r="3810" b="3810"/>
                  <wp:docPr id="52" name="Graphic 5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2E054298"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3D92A88A" wp14:editId="3E589BA9">
                  <wp:extent cx="301451" cy="301451"/>
                  <wp:effectExtent l="0" t="0" r="3810" b="3810"/>
                  <wp:docPr id="57" name="Graphic 57"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1AD88C4D"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Parliamentary Legislation</w:t>
            </w:r>
          </w:p>
        </w:tc>
      </w:tr>
      <w:tr w:rsidR="003776FB" w14:paraId="596B9B55" w14:textId="77777777" w:rsidTr="00947F45">
        <w:tc>
          <w:tcPr>
            <w:tcW w:w="4405" w:type="dxa"/>
            <w:vAlign w:val="center"/>
          </w:tcPr>
          <w:p w14:paraId="7361E230" w14:textId="77777777"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Withdraw the eligibility of incorporated firms.</w:t>
            </w:r>
          </w:p>
        </w:tc>
        <w:tc>
          <w:tcPr>
            <w:tcW w:w="1560" w:type="dxa"/>
            <w:vAlign w:val="center"/>
          </w:tcPr>
          <w:p w14:paraId="0D2F42F4"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685880F4" wp14:editId="2657F353">
                  <wp:extent cx="301451" cy="301451"/>
                  <wp:effectExtent l="0" t="0" r="3810" b="3810"/>
                  <wp:docPr id="957308033" name="Graphic 957308033"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69283EDD" w14:textId="77777777" w:rsidR="003776FB" w:rsidRPr="003776FB" w:rsidRDefault="003776FB" w:rsidP="00947F45">
            <w:pPr>
              <w:spacing w:before="40" w:after="40"/>
              <w:ind w:left="0" w:firstLine="0"/>
              <w:jc w:val="center"/>
              <w:rPr>
                <w:rFonts w:cstheme="minorHAnsi"/>
                <w:sz w:val="20"/>
                <w:szCs w:val="20"/>
              </w:rPr>
            </w:pPr>
          </w:p>
        </w:tc>
        <w:tc>
          <w:tcPr>
            <w:tcW w:w="1560" w:type="dxa"/>
            <w:vAlign w:val="center"/>
          </w:tcPr>
          <w:p w14:paraId="48009547"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Government Regulation</w:t>
            </w:r>
          </w:p>
        </w:tc>
      </w:tr>
      <w:tr w:rsidR="003776FB" w14:paraId="3105492D" w14:textId="77777777" w:rsidTr="00947F45">
        <w:tc>
          <w:tcPr>
            <w:tcW w:w="4405" w:type="dxa"/>
            <w:tcBorders>
              <w:right w:val="nil"/>
            </w:tcBorders>
            <w:shd w:val="clear" w:color="auto" w:fill="DBDBDB" w:themeFill="accent3" w:themeFillTint="66"/>
            <w:vAlign w:val="center"/>
          </w:tcPr>
          <w:p w14:paraId="10330438" w14:textId="77777777" w:rsidR="003776FB" w:rsidRPr="003776FB" w:rsidRDefault="003776FB" w:rsidP="00947F45">
            <w:pPr>
              <w:spacing w:before="40" w:after="40"/>
              <w:ind w:left="0" w:firstLine="0"/>
              <w:rPr>
                <w:rFonts w:cstheme="minorHAnsi"/>
                <w:b/>
                <w:bCs/>
                <w:sz w:val="20"/>
                <w:szCs w:val="20"/>
              </w:rPr>
            </w:pPr>
            <w:r w:rsidRPr="003776FB">
              <w:rPr>
                <w:rFonts w:cstheme="minorHAnsi"/>
                <w:b/>
                <w:bCs/>
                <w:sz w:val="20"/>
                <w:szCs w:val="20"/>
              </w:rPr>
              <w:t>VAT</w:t>
            </w:r>
          </w:p>
        </w:tc>
        <w:tc>
          <w:tcPr>
            <w:tcW w:w="1560" w:type="dxa"/>
            <w:tcBorders>
              <w:left w:val="nil"/>
              <w:right w:val="nil"/>
            </w:tcBorders>
            <w:shd w:val="clear" w:color="auto" w:fill="DBDBDB" w:themeFill="accent3" w:themeFillTint="66"/>
            <w:vAlign w:val="center"/>
          </w:tcPr>
          <w:p w14:paraId="103580E2" w14:textId="77777777" w:rsidR="003776FB" w:rsidRPr="003776FB" w:rsidRDefault="003776FB" w:rsidP="00947F45">
            <w:pPr>
              <w:spacing w:before="40" w:after="40"/>
              <w:ind w:left="0" w:firstLine="0"/>
              <w:jc w:val="center"/>
              <w:rPr>
                <w:rFonts w:cstheme="minorHAnsi"/>
                <w:sz w:val="20"/>
                <w:szCs w:val="20"/>
              </w:rPr>
            </w:pPr>
          </w:p>
        </w:tc>
        <w:tc>
          <w:tcPr>
            <w:tcW w:w="1560" w:type="dxa"/>
            <w:tcBorders>
              <w:left w:val="nil"/>
              <w:right w:val="nil"/>
            </w:tcBorders>
            <w:shd w:val="clear" w:color="auto" w:fill="DBDBDB" w:themeFill="accent3" w:themeFillTint="66"/>
            <w:vAlign w:val="center"/>
          </w:tcPr>
          <w:p w14:paraId="6F9E1BD7" w14:textId="77777777" w:rsidR="003776FB" w:rsidRPr="003776FB" w:rsidRDefault="003776FB" w:rsidP="00947F45">
            <w:pPr>
              <w:spacing w:before="40" w:after="40"/>
              <w:ind w:left="0" w:firstLine="0"/>
              <w:jc w:val="center"/>
              <w:rPr>
                <w:rFonts w:cstheme="minorHAnsi"/>
                <w:sz w:val="20"/>
                <w:szCs w:val="20"/>
              </w:rPr>
            </w:pPr>
          </w:p>
        </w:tc>
        <w:tc>
          <w:tcPr>
            <w:tcW w:w="1560" w:type="dxa"/>
            <w:tcBorders>
              <w:left w:val="nil"/>
            </w:tcBorders>
            <w:shd w:val="clear" w:color="auto" w:fill="DBDBDB" w:themeFill="accent3" w:themeFillTint="66"/>
            <w:vAlign w:val="center"/>
          </w:tcPr>
          <w:p w14:paraId="1F9EFAB9" w14:textId="77777777" w:rsidR="003776FB" w:rsidRPr="003776FB" w:rsidRDefault="003776FB" w:rsidP="00947F45">
            <w:pPr>
              <w:spacing w:before="40" w:after="40"/>
              <w:ind w:left="0" w:firstLine="0"/>
              <w:jc w:val="center"/>
              <w:rPr>
                <w:rFonts w:cstheme="minorHAnsi"/>
                <w:sz w:val="20"/>
                <w:szCs w:val="20"/>
              </w:rPr>
            </w:pPr>
          </w:p>
        </w:tc>
      </w:tr>
      <w:tr w:rsidR="003776FB" w14:paraId="3B1E17EB" w14:textId="77777777" w:rsidTr="00947F45">
        <w:tc>
          <w:tcPr>
            <w:tcW w:w="4405" w:type="dxa"/>
            <w:vAlign w:val="center"/>
          </w:tcPr>
          <w:p w14:paraId="32D4FF24" w14:textId="77777777"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Reduce the registration threshold.</w:t>
            </w:r>
          </w:p>
        </w:tc>
        <w:tc>
          <w:tcPr>
            <w:tcW w:w="1560" w:type="dxa"/>
            <w:vAlign w:val="center"/>
          </w:tcPr>
          <w:p w14:paraId="304CDFF8"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171E7319" wp14:editId="0632458D">
                  <wp:extent cx="301451" cy="301451"/>
                  <wp:effectExtent l="0" t="0" r="3810" b="3810"/>
                  <wp:docPr id="47" name="Graphic 47"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10390969" w14:textId="77777777" w:rsidR="003776FB" w:rsidRPr="003776FB" w:rsidRDefault="003776FB" w:rsidP="00947F45">
            <w:pPr>
              <w:spacing w:before="40" w:after="40"/>
              <w:ind w:left="0" w:firstLine="0"/>
              <w:jc w:val="center"/>
              <w:rPr>
                <w:rFonts w:cstheme="minorHAnsi"/>
                <w:sz w:val="20"/>
                <w:szCs w:val="20"/>
              </w:rPr>
            </w:pPr>
          </w:p>
        </w:tc>
        <w:tc>
          <w:tcPr>
            <w:tcW w:w="1560" w:type="dxa"/>
            <w:vAlign w:val="center"/>
          </w:tcPr>
          <w:p w14:paraId="772AAC3A"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MoF Regulation</w:t>
            </w:r>
          </w:p>
        </w:tc>
      </w:tr>
      <w:tr w:rsidR="003776FB" w14:paraId="40887936" w14:textId="77777777" w:rsidTr="00947F45">
        <w:tc>
          <w:tcPr>
            <w:tcW w:w="4405" w:type="dxa"/>
            <w:vAlign w:val="center"/>
          </w:tcPr>
          <w:p w14:paraId="0C886D1D" w14:textId="77777777"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Remove VAT exemptions.</w:t>
            </w:r>
          </w:p>
        </w:tc>
        <w:tc>
          <w:tcPr>
            <w:tcW w:w="1560" w:type="dxa"/>
            <w:vAlign w:val="center"/>
          </w:tcPr>
          <w:p w14:paraId="68CEA3BC"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51A2DFEE" wp14:editId="70757FA8">
                  <wp:extent cx="301451" cy="301451"/>
                  <wp:effectExtent l="0" t="0" r="3810" b="3810"/>
                  <wp:docPr id="48" name="Graphic 48"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5A6C57F5"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66AF33D5" wp14:editId="6A64707B">
                  <wp:extent cx="301451" cy="301451"/>
                  <wp:effectExtent l="0" t="0" r="3810" b="3810"/>
                  <wp:docPr id="49" name="Graphic 49"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09774B17"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Parliamentary Legislation</w:t>
            </w:r>
          </w:p>
        </w:tc>
      </w:tr>
      <w:tr w:rsidR="003776FB" w14:paraId="501AD0BF" w14:textId="77777777" w:rsidTr="00947F45">
        <w:tc>
          <w:tcPr>
            <w:tcW w:w="4405" w:type="dxa"/>
            <w:vAlign w:val="center"/>
          </w:tcPr>
          <w:p w14:paraId="4E9EEDE0" w14:textId="40FA438E"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Increase the VAT rate in the medium</w:t>
            </w:r>
            <w:r w:rsidR="00317A7A">
              <w:rPr>
                <w:rFonts w:cstheme="minorHAnsi"/>
                <w:sz w:val="20"/>
                <w:szCs w:val="20"/>
              </w:rPr>
              <w:t xml:space="preserve"> </w:t>
            </w:r>
            <w:r w:rsidRPr="003776FB">
              <w:rPr>
                <w:rFonts w:cstheme="minorHAnsi"/>
                <w:sz w:val="20"/>
                <w:szCs w:val="20"/>
              </w:rPr>
              <w:t>term, while improving tax compliance measures.</w:t>
            </w:r>
          </w:p>
        </w:tc>
        <w:tc>
          <w:tcPr>
            <w:tcW w:w="1560" w:type="dxa"/>
            <w:vAlign w:val="center"/>
          </w:tcPr>
          <w:p w14:paraId="42187B5F"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2A3C136C" wp14:editId="5DC1EFEC">
                  <wp:extent cx="301451" cy="301451"/>
                  <wp:effectExtent l="0" t="0" r="3810" b="3810"/>
                  <wp:docPr id="51" name="Graphic 51"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4041D2EA" w14:textId="77777777" w:rsidR="003776FB" w:rsidRPr="003776FB" w:rsidRDefault="003776FB" w:rsidP="00947F45">
            <w:pPr>
              <w:spacing w:before="40" w:after="40"/>
              <w:ind w:left="0" w:firstLine="0"/>
              <w:jc w:val="center"/>
              <w:rPr>
                <w:rFonts w:cstheme="minorHAnsi"/>
                <w:sz w:val="20"/>
                <w:szCs w:val="20"/>
              </w:rPr>
            </w:pPr>
          </w:p>
        </w:tc>
        <w:tc>
          <w:tcPr>
            <w:tcW w:w="1560" w:type="dxa"/>
            <w:vAlign w:val="center"/>
          </w:tcPr>
          <w:p w14:paraId="384527F6"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Government Regulation</w:t>
            </w:r>
          </w:p>
        </w:tc>
      </w:tr>
      <w:tr w:rsidR="003776FB" w14:paraId="145166E0" w14:textId="77777777" w:rsidTr="00947F45">
        <w:tc>
          <w:tcPr>
            <w:tcW w:w="4405" w:type="dxa"/>
            <w:vAlign w:val="center"/>
          </w:tcPr>
          <w:p w14:paraId="2FC71B0F" w14:textId="4B1FADA0"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Remove zero</w:t>
            </w:r>
            <w:r w:rsidR="00317A7A">
              <w:rPr>
                <w:rFonts w:cstheme="minorHAnsi"/>
                <w:sz w:val="20"/>
                <w:szCs w:val="20"/>
              </w:rPr>
              <w:t xml:space="preserve"> </w:t>
            </w:r>
            <w:r w:rsidRPr="003776FB">
              <w:rPr>
                <w:rFonts w:cstheme="minorHAnsi"/>
                <w:sz w:val="20"/>
                <w:szCs w:val="20"/>
              </w:rPr>
              <w:t xml:space="preserve">rating for </w:t>
            </w:r>
            <w:proofErr w:type="spellStart"/>
            <w:r w:rsidRPr="003776FB">
              <w:rPr>
                <w:rFonts w:cstheme="minorHAnsi"/>
                <w:sz w:val="20"/>
                <w:szCs w:val="20"/>
              </w:rPr>
              <w:t>nonexports</w:t>
            </w:r>
            <w:proofErr w:type="spellEnd"/>
            <w:r w:rsidRPr="003776FB">
              <w:rPr>
                <w:rFonts w:cstheme="minorHAnsi"/>
                <w:sz w:val="20"/>
                <w:szCs w:val="20"/>
              </w:rPr>
              <w:t>.</w:t>
            </w:r>
          </w:p>
        </w:tc>
        <w:tc>
          <w:tcPr>
            <w:tcW w:w="1560" w:type="dxa"/>
            <w:vAlign w:val="center"/>
          </w:tcPr>
          <w:p w14:paraId="0465E8F7"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741E1AD4" wp14:editId="41F83F03">
                  <wp:extent cx="301451" cy="301451"/>
                  <wp:effectExtent l="0" t="0" r="3810" b="3810"/>
                  <wp:docPr id="53" name="Graphic 53"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54A70F64"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6B9623A3" wp14:editId="79E22457">
                  <wp:extent cx="301451" cy="301451"/>
                  <wp:effectExtent l="0" t="0" r="3810" b="3810"/>
                  <wp:docPr id="60" name="Graphic 60"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280649FE"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Government Regulation</w:t>
            </w:r>
            <w:r w:rsidRPr="003776FB" w:rsidDel="00D244DB">
              <w:rPr>
                <w:rFonts w:cstheme="minorHAnsi"/>
                <w:noProof/>
                <w:sz w:val="20"/>
                <w:szCs w:val="20"/>
              </w:rPr>
              <w:t xml:space="preserve"> </w:t>
            </w:r>
          </w:p>
        </w:tc>
      </w:tr>
      <w:tr w:rsidR="003776FB" w14:paraId="41241EE3" w14:textId="77777777" w:rsidTr="00947F45">
        <w:tc>
          <w:tcPr>
            <w:tcW w:w="4405" w:type="dxa"/>
            <w:vAlign w:val="center"/>
          </w:tcPr>
          <w:p w14:paraId="11E44B70" w14:textId="77777777"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sz w:val="20"/>
                <w:szCs w:val="20"/>
              </w:rPr>
              <w:t>Remove the ‘final VAT’ regime.</w:t>
            </w:r>
          </w:p>
        </w:tc>
        <w:tc>
          <w:tcPr>
            <w:tcW w:w="1560" w:type="dxa"/>
            <w:vAlign w:val="center"/>
          </w:tcPr>
          <w:p w14:paraId="7E2EB3AB" w14:textId="77777777" w:rsidR="003776FB" w:rsidRPr="003776FB" w:rsidRDefault="003776FB" w:rsidP="00947F45">
            <w:pPr>
              <w:spacing w:before="40" w:after="40"/>
              <w:ind w:left="0" w:firstLine="0"/>
              <w:jc w:val="center"/>
              <w:rPr>
                <w:rFonts w:cstheme="minorHAnsi"/>
                <w:sz w:val="20"/>
                <w:szCs w:val="20"/>
              </w:rPr>
            </w:pPr>
          </w:p>
        </w:tc>
        <w:tc>
          <w:tcPr>
            <w:tcW w:w="1560" w:type="dxa"/>
            <w:vAlign w:val="center"/>
          </w:tcPr>
          <w:p w14:paraId="60AF98DC" w14:textId="77777777" w:rsidR="003776FB" w:rsidRPr="003776FB" w:rsidRDefault="003776FB" w:rsidP="00947F45">
            <w:pPr>
              <w:spacing w:before="40" w:after="40"/>
              <w:ind w:left="0" w:firstLine="0"/>
              <w:jc w:val="center"/>
              <w:rPr>
                <w:rFonts w:cstheme="minorHAnsi"/>
                <w:sz w:val="20"/>
                <w:szCs w:val="20"/>
              </w:rPr>
            </w:pPr>
            <w:r w:rsidRPr="003776FB">
              <w:rPr>
                <w:rFonts w:cstheme="minorHAnsi"/>
                <w:noProof/>
                <w:sz w:val="20"/>
                <w:szCs w:val="20"/>
              </w:rPr>
              <w:drawing>
                <wp:inline distT="0" distB="0" distL="0" distR="0" wp14:anchorId="73990ED2" wp14:editId="51DA79CF">
                  <wp:extent cx="301451" cy="301451"/>
                  <wp:effectExtent l="0" t="0" r="3810" b="3810"/>
                  <wp:docPr id="55" name="Graphic 55"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4B8825EF" w14:textId="77777777" w:rsidR="003776FB" w:rsidRPr="003776FB" w:rsidRDefault="003776FB" w:rsidP="00947F45">
            <w:pPr>
              <w:spacing w:before="40" w:after="40"/>
              <w:ind w:left="0" w:firstLine="0"/>
              <w:jc w:val="center"/>
              <w:rPr>
                <w:rFonts w:cstheme="minorHAnsi"/>
                <w:sz w:val="20"/>
                <w:szCs w:val="20"/>
              </w:rPr>
            </w:pPr>
            <w:r w:rsidRPr="003776FB">
              <w:rPr>
                <w:rFonts w:cstheme="minorHAnsi"/>
                <w:sz w:val="20"/>
                <w:szCs w:val="20"/>
              </w:rPr>
              <w:t>MoF Regulation</w:t>
            </w:r>
            <w:r w:rsidRPr="003776FB" w:rsidDel="00D244DB">
              <w:rPr>
                <w:rFonts w:cstheme="minorHAnsi"/>
                <w:noProof/>
                <w:sz w:val="20"/>
                <w:szCs w:val="20"/>
              </w:rPr>
              <w:t xml:space="preserve"> </w:t>
            </w:r>
          </w:p>
        </w:tc>
      </w:tr>
      <w:tr w:rsidR="003776FB" w14:paraId="50D3A65D" w14:textId="77777777" w:rsidTr="00947F45">
        <w:tc>
          <w:tcPr>
            <w:tcW w:w="4405" w:type="dxa"/>
            <w:vAlign w:val="center"/>
          </w:tcPr>
          <w:p w14:paraId="21C1B4DF" w14:textId="1954A998" w:rsidR="003776FB" w:rsidRPr="003776FB" w:rsidRDefault="003776FB" w:rsidP="003776FB">
            <w:pPr>
              <w:pStyle w:val="ListParagraph"/>
              <w:numPr>
                <w:ilvl w:val="0"/>
                <w:numId w:val="35"/>
              </w:numPr>
              <w:spacing w:before="40" w:after="40"/>
              <w:rPr>
                <w:rFonts w:cstheme="minorHAnsi"/>
                <w:sz w:val="20"/>
                <w:szCs w:val="20"/>
              </w:rPr>
            </w:pPr>
            <w:r w:rsidRPr="003776FB">
              <w:rPr>
                <w:rFonts w:cstheme="minorHAnsi"/>
                <w:color w:val="000000" w:themeColor="text1"/>
                <w:sz w:val="20"/>
                <w:szCs w:val="20"/>
              </w:rPr>
              <w:t>Simplify the multi-rate LGST into a single rate system and keep it outside the VAT regime.</w:t>
            </w:r>
          </w:p>
        </w:tc>
        <w:tc>
          <w:tcPr>
            <w:tcW w:w="1560" w:type="dxa"/>
            <w:vAlign w:val="center"/>
          </w:tcPr>
          <w:p w14:paraId="1F4490A7" w14:textId="77777777" w:rsidR="003776FB" w:rsidRPr="003776FB" w:rsidRDefault="003776FB" w:rsidP="00947F45">
            <w:pPr>
              <w:spacing w:before="40" w:after="40"/>
              <w:ind w:left="0" w:firstLine="0"/>
              <w:jc w:val="center"/>
              <w:rPr>
                <w:rFonts w:cstheme="minorHAnsi"/>
                <w:sz w:val="20"/>
                <w:szCs w:val="20"/>
              </w:rPr>
            </w:pPr>
          </w:p>
        </w:tc>
        <w:tc>
          <w:tcPr>
            <w:tcW w:w="1560" w:type="dxa"/>
            <w:vAlign w:val="center"/>
          </w:tcPr>
          <w:p w14:paraId="246E0EA4" w14:textId="77777777" w:rsidR="003776FB" w:rsidRPr="003776FB" w:rsidRDefault="003776FB" w:rsidP="00947F45">
            <w:pPr>
              <w:spacing w:before="40" w:after="40"/>
              <w:ind w:left="0" w:firstLine="0"/>
              <w:jc w:val="center"/>
              <w:rPr>
                <w:rFonts w:cstheme="minorHAnsi"/>
                <w:noProof/>
                <w:sz w:val="20"/>
                <w:szCs w:val="20"/>
              </w:rPr>
            </w:pPr>
            <w:r w:rsidRPr="003776FB">
              <w:rPr>
                <w:rFonts w:cstheme="minorHAnsi"/>
                <w:noProof/>
                <w:sz w:val="20"/>
                <w:szCs w:val="20"/>
              </w:rPr>
              <w:drawing>
                <wp:inline distT="0" distB="0" distL="0" distR="0" wp14:anchorId="457FED37" wp14:editId="57BC29DA">
                  <wp:extent cx="301451" cy="301451"/>
                  <wp:effectExtent l="0" t="0" r="3810" b="3810"/>
                  <wp:docPr id="62" name="Graphic 6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34" cstate="print">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309328" cy="309328"/>
                          </a:xfrm>
                          <a:prstGeom prst="rect">
                            <a:avLst/>
                          </a:prstGeom>
                        </pic:spPr>
                      </pic:pic>
                    </a:graphicData>
                  </a:graphic>
                </wp:inline>
              </w:drawing>
            </w:r>
          </w:p>
        </w:tc>
        <w:tc>
          <w:tcPr>
            <w:tcW w:w="1560" w:type="dxa"/>
            <w:vAlign w:val="center"/>
          </w:tcPr>
          <w:p w14:paraId="2D34775B" w14:textId="77777777" w:rsidR="003776FB" w:rsidRPr="003776FB" w:rsidRDefault="003776FB" w:rsidP="00947F45">
            <w:pPr>
              <w:spacing w:before="40" w:after="40"/>
              <w:ind w:left="0" w:firstLine="0"/>
              <w:jc w:val="center"/>
              <w:rPr>
                <w:rFonts w:cstheme="minorHAnsi"/>
                <w:noProof/>
                <w:sz w:val="20"/>
                <w:szCs w:val="20"/>
              </w:rPr>
            </w:pPr>
            <w:r w:rsidRPr="003776FB">
              <w:rPr>
                <w:rFonts w:cstheme="minorHAnsi"/>
                <w:noProof/>
                <w:sz w:val="20"/>
                <w:szCs w:val="20"/>
              </w:rPr>
              <w:t>Government Regulation</w:t>
            </w:r>
          </w:p>
        </w:tc>
      </w:tr>
    </w:tbl>
    <w:p w14:paraId="6BAFB7D8" w14:textId="71A57DE2" w:rsidR="00D51699" w:rsidRDefault="00D51699">
      <w:pPr>
        <w:rPr>
          <w:rFonts w:asciiTheme="majorHAnsi" w:eastAsiaTheme="majorEastAsia" w:hAnsiTheme="majorHAnsi" w:cstheme="majorBidi"/>
          <w:color w:val="2F5496" w:themeColor="accent1" w:themeShade="BF"/>
          <w:sz w:val="32"/>
          <w:szCs w:val="32"/>
        </w:rPr>
      </w:pPr>
    </w:p>
    <w:p w14:paraId="6C47F124" w14:textId="446292A7" w:rsidR="00D51699" w:rsidRDefault="00D51699" w:rsidP="00D51699"/>
    <w:p w14:paraId="7C17E67F" w14:textId="1EFAE7B8" w:rsidR="005D78A3" w:rsidRDefault="005D78A3" w:rsidP="00BE74E2">
      <w:pPr>
        <w:sectPr w:rsidR="005D78A3" w:rsidSect="003776FB">
          <w:pgSz w:w="11906" w:h="16838" w:code="9"/>
          <w:pgMar w:top="1440" w:right="1440" w:bottom="1440" w:left="1440" w:header="720" w:footer="720" w:gutter="0"/>
          <w:pgNumType w:start="1"/>
          <w:cols w:space="720"/>
          <w:titlePg/>
          <w:docGrid w:linePitch="360"/>
        </w:sectPr>
      </w:pPr>
    </w:p>
    <w:p w14:paraId="1B0349DE" w14:textId="72CE2468" w:rsidR="003F0855" w:rsidRPr="00197ED6" w:rsidRDefault="003F0855" w:rsidP="00BE74E2">
      <w:pPr>
        <w:pStyle w:val="Heading1"/>
        <w:ind w:left="0" w:firstLine="0"/>
      </w:pPr>
      <w:bookmarkStart w:id="63" w:name="_Toc177819056"/>
      <w:r>
        <w:lastRenderedPageBreak/>
        <w:t>A</w:t>
      </w:r>
      <w:r w:rsidR="00194B4E">
        <w:t>ppendi</w:t>
      </w:r>
      <w:r>
        <w:t xml:space="preserve">x 1: </w:t>
      </w:r>
      <w:r w:rsidR="00216526">
        <w:t xml:space="preserve">CIT </w:t>
      </w:r>
      <w:r w:rsidR="00FE0D4A">
        <w:t>F</w:t>
      </w:r>
      <w:r w:rsidRPr="00D10FE6">
        <w:t xml:space="preserve">ramework for </w:t>
      </w:r>
      <w:r w:rsidR="00FE0D4A">
        <w:t>D</w:t>
      </w:r>
      <w:r w:rsidRPr="00D10FE6">
        <w:t xml:space="preserve">etermining </w:t>
      </w:r>
      <w:r w:rsidR="00FE0D4A">
        <w:t>T</w:t>
      </w:r>
      <w:r w:rsidRPr="00D10FE6">
        <w:t xml:space="preserve">axable </w:t>
      </w:r>
      <w:r w:rsidR="00FE0D4A">
        <w:t>P</w:t>
      </w:r>
      <w:r w:rsidRPr="00D10FE6">
        <w:t>rofits</w:t>
      </w:r>
      <w:bookmarkEnd w:id="63"/>
    </w:p>
    <w:p w14:paraId="7C70A65B" w14:textId="2988C5B3" w:rsidR="00035BEB" w:rsidRDefault="005B61C6" w:rsidP="003F0855">
      <w:r>
        <w:rPr>
          <w:noProof/>
        </w:rPr>
        <w:drawing>
          <wp:inline distT="0" distB="0" distL="0" distR="0" wp14:anchorId="7F1531E0" wp14:editId="54C3D74B">
            <wp:extent cx="8491221" cy="4783455"/>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8495465" cy="4785846"/>
                    </a:xfrm>
                    <a:prstGeom prst="rect">
                      <a:avLst/>
                    </a:prstGeom>
                  </pic:spPr>
                </pic:pic>
              </a:graphicData>
            </a:graphic>
          </wp:inline>
        </w:drawing>
      </w:r>
    </w:p>
    <w:p w14:paraId="68358E81" w14:textId="2AAEBA94" w:rsidR="00947B75" w:rsidRDefault="003F0855" w:rsidP="003F0855">
      <w:pPr>
        <w:rPr>
          <w:sz w:val="18"/>
          <w:szCs w:val="18"/>
        </w:rPr>
      </w:pPr>
      <w:r w:rsidRPr="0099701D">
        <w:rPr>
          <w:i/>
          <w:iCs/>
          <w:sz w:val="18"/>
          <w:szCs w:val="18"/>
        </w:rPr>
        <w:t>Source</w:t>
      </w:r>
      <w:r w:rsidRPr="00E64895">
        <w:rPr>
          <w:sz w:val="18"/>
          <w:szCs w:val="18"/>
        </w:rPr>
        <w:t xml:space="preserve">: </w:t>
      </w:r>
      <w:r w:rsidR="00216526">
        <w:rPr>
          <w:sz w:val="18"/>
          <w:szCs w:val="18"/>
        </w:rPr>
        <w:t xml:space="preserve">Reproduced from </w:t>
      </w:r>
      <w:r w:rsidRPr="00E64895">
        <w:rPr>
          <w:sz w:val="18"/>
          <w:szCs w:val="18"/>
        </w:rPr>
        <w:t xml:space="preserve">Prospera (2022). </w:t>
      </w:r>
    </w:p>
    <w:p w14:paraId="4976CE74" w14:textId="77777777" w:rsidR="00947B75" w:rsidRDefault="00947B75">
      <w:pPr>
        <w:rPr>
          <w:sz w:val="18"/>
          <w:szCs w:val="18"/>
        </w:rPr>
        <w:sectPr w:rsidR="00947B75" w:rsidSect="0099701D">
          <w:footerReference w:type="even" r:id="rId37"/>
          <w:footerReference w:type="default" r:id="rId38"/>
          <w:footerReference w:type="first" r:id="rId39"/>
          <w:pgSz w:w="15840" w:h="12240" w:orient="landscape"/>
          <w:pgMar w:top="1440" w:right="1440" w:bottom="1440" w:left="1440" w:header="720" w:footer="720" w:gutter="0"/>
          <w:pgNumType w:start="50"/>
          <w:cols w:space="720"/>
          <w:docGrid w:linePitch="360"/>
        </w:sectPr>
      </w:pPr>
      <w:r>
        <w:rPr>
          <w:sz w:val="18"/>
          <w:szCs w:val="18"/>
        </w:rPr>
        <w:br w:type="page"/>
      </w:r>
    </w:p>
    <w:p w14:paraId="3FBA3C86" w14:textId="5FB7EBA0" w:rsidR="005B7BDC" w:rsidRPr="0003745B" w:rsidRDefault="005B7BDC" w:rsidP="0003745B">
      <w:pPr>
        <w:pStyle w:val="Heading1"/>
        <w:ind w:left="-450" w:firstLine="0"/>
      </w:pPr>
      <w:bookmarkStart w:id="64" w:name="_Toc177819057"/>
      <w:r w:rsidRPr="0003745B">
        <w:lastRenderedPageBreak/>
        <w:t>A</w:t>
      </w:r>
      <w:r w:rsidR="00525612">
        <w:t>ppendi</w:t>
      </w:r>
      <w:r w:rsidRPr="0003745B">
        <w:t xml:space="preserve">x 2: Comparison of a </w:t>
      </w:r>
      <w:r w:rsidR="00FE0D4A">
        <w:t>S</w:t>
      </w:r>
      <w:r w:rsidRPr="0003745B">
        <w:t xml:space="preserve">ales </w:t>
      </w:r>
      <w:r w:rsidR="00FE0D4A">
        <w:t>T</w:t>
      </w:r>
      <w:r w:rsidRPr="0003745B">
        <w:t xml:space="preserve">ax with a </w:t>
      </w:r>
      <w:r w:rsidR="00FE0D4A">
        <w:t>V</w:t>
      </w:r>
      <w:r w:rsidRPr="0003745B">
        <w:t xml:space="preserve">alue-added </w:t>
      </w:r>
      <w:r w:rsidR="00FE0D4A">
        <w:t>T</w:t>
      </w:r>
      <w:r w:rsidRPr="0003745B">
        <w:t xml:space="preserve">ax </w:t>
      </w:r>
      <w:r w:rsidR="00FE0D4A">
        <w:t>(W</w:t>
      </w:r>
      <w:r w:rsidRPr="0003745B">
        <w:t xml:space="preserve">ith and </w:t>
      </w:r>
      <w:r w:rsidR="00FE0D4A">
        <w:t>W</w:t>
      </w:r>
      <w:r w:rsidRPr="0003745B">
        <w:t xml:space="preserve">ithout </w:t>
      </w:r>
      <w:r w:rsidR="00FE0D4A">
        <w:t>E</w:t>
      </w:r>
      <w:r w:rsidRPr="0003745B">
        <w:t>xemptions</w:t>
      </w:r>
      <w:r w:rsidR="00FE0D4A">
        <w:t>)</w:t>
      </w:r>
      <w:bookmarkEnd w:id="64"/>
    </w:p>
    <w:p w14:paraId="66B0B2A6" w14:textId="00F981CF" w:rsidR="005B7BDC" w:rsidRDefault="005B7BDC" w:rsidP="003643CE">
      <w:pPr>
        <w:ind w:left="-450" w:firstLine="0"/>
        <w:jc w:val="both"/>
      </w:pPr>
      <w:r w:rsidRPr="00683B9E">
        <w:rPr>
          <w:b/>
          <w:bCs/>
        </w:rPr>
        <w:t>Th</w:t>
      </w:r>
      <w:r w:rsidR="00FE0D4A">
        <w:rPr>
          <w:b/>
          <w:bCs/>
        </w:rPr>
        <w:t>e</w:t>
      </w:r>
      <w:r w:rsidRPr="00683B9E">
        <w:rPr>
          <w:b/>
          <w:bCs/>
        </w:rPr>
        <w:t xml:space="preserve"> following table calculates the tax payments and refunds that are due across a simple </w:t>
      </w:r>
      <w:r w:rsidR="00FE0D4A">
        <w:rPr>
          <w:b/>
          <w:bCs/>
        </w:rPr>
        <w:t>three</w:t>
      </w:r>
      <w:r w:rsidRPr="00683B9E">
        <w:rPr>
          <w:b/>
          <w:bCs/>
        </w:rPr>
        <w:t>-stage supply chain.</w:t>
      </w:r>
      <w:r>
        <w:t xml:space="preserve"> The supply chain consists of a timber collector who is assumed to have no input costs. The timber is sold to a furniture manufacturer, which then sells its furniture to a home goods retailer, who then </w:t>
      </w:r>
      <w:proofErr w:type="gramStart"/>
      <w:r>
        <w:t>on-sells</w:t>
      </w:r>
      <w:proofErr w:type="gramEnd"/>
      <w:r>
        <w:t xml:space="preserve"> it to the end user (</w:t>
      </w:r>
      <w:r w:rsidR="00FE0D4A">
        <w:t>that is,</w:t>
      </w:r>
      <w:r>
        <w:t xml:space="preserve"> a household customer). Four scenarios are considered. Scenario 1 considers a simple final sales tax that is applied at each stage. Scenario 2 considers a simple VAT that is applied to each stage</w:t>
      </w:r>
      <w:r w:rsidR="00FE0D4A">
        <w:rPr>
          <w:rFonts w:cstheme="minorHAnsi"/>
        </w:rPr>
        <w:t>–</w:t>
      </w:r>
      <w:r>
        <w:t xml:space="preserve">where businesses can claim refunds on any VAT they pay on their inputs. Scenario 3 considers the same VAT but now assumes the final stage of the supply chain has been exempted from VAT. Scenario 4 is similar but assumes an intermediate stage of the supply chain has been exempted from VAT. </w:t>
      </w:r>
    </w:p>
    <w:tbl>
      <w:tblPr>
        <w:tblStyle w:val="TableGrid"/>
        <w:tblW w:w="14220" w:type="dxa"/>
        <w:tblInd w:w="-455" w:type="dxa"/>
        <w:tblCellMar>
          <w:left w:w="29" w:type="dxa"/>
          <w:right w:w="29" w:type="dxa"/>
        </w:tblCellMar>
        <w:tblLook w:val="04A0" w:firstRow="1" w:lastRow="0" w:firstColumn="1" w:lastColumn="0" w:noHBand="0" w:noVBand="1"/>
      </w:tblPr>
      <w:tblGrid>
        <w:gridCol w:w="2070"/>
        <w:gridCol w:w="1665"/>
        <w:gridCol w:w="1665"/>
        <w:gridCol w:w="1665"/>
        <w:gridCol w:w="1665"/>
        <w:gridCol w:w="5490"/>
      </w:tblGrid>
      <w:tr w:rsidR="00627912" w:rsidRPr="00FE0D4A" w14:paraId="195CE898" w14:textId="77777777">
        <w:tc>
          <w:tcPr>
            <w:tcW w:w="2070" w:type="dxa"/>
            <w:tcBorders>
              <w:top w:val="nil"/>
              <w:left w:val="nil"/>
              <w:bottom w:val="nil"/>
              <w:right w:val="single" w:sz="4" w:space="0" w:color="auto"/>
            </w:tcBorders>
          </w:tcPr>
          <w:p w14:paraId="23C27F92" w14:textId="77777777" w:rsidR="005B7BDC" w:rsidRPr="003643CE" w:rsidRDefault="005B7BDC" w:rsidP="00427528">
            <w:pPr>
              <w:ind w:left="0" w:firstLine="0"/>
              <w:rPr>
                <w:b/>
                <w:bCs/>
              </w:rPr>
            </w:pPr>
          </w:p>
        </w:tc>
        <w:tc>
          <w:tcPr>
            <w:tcW w:w="1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4C1C7" w14:textId="77777777" w:rsidR="005B7BDC" w:rsidRPr="003643CE" w:rsidRDefault="005B7BDC" w:rsidP="00427528">
            <w:pPr>
              <w:ind w:left="0" w:firstLine="0"/>
              <w:jc w:val="center"/>
              <w:rPr>
                <w:b/>
                <w:bCs/>
              </w:rPr>
            </w:pPr>
            <w:r w:rsidRPr="003643CE">
              <w:rPr>
                <w:b/>
                <w:bCs/>
              </w:rPr>
              <w:t xml:space="preserve">Timber </w:t>
            </w:r>
            <w:r w:rsidRPr="003643CE">
              <w:rPr>
                <w:b/>
                <w:bCs/>
              </w:rPr>
              <w:br/>
              <w:t>collector</w:t>
            </w:r>
          </w:p>
        </w:tc>
        <w:tc>
          <w:tcPr>
            <w:tcW w:w="1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AE2E9" w14:textId="77777777" w:rsidR="005B7BDC" w:rsidRPr="003643CE" w:rsidRDefault="005B7BDC" w:rsidP="00427528">
            <w:pPr>
              <w:ind w:left="0" w:firstLine="0"/>
              <w:jc w:val="center"/>
              <w:rPr>
                <w:b/>
                <w:bCs/>
              </w:rPr>
            </w:pPr>
            <w:r w:rsidRPr="003643CE">
              <w:rPr>
                <w:b/>
                <w:bCs/>
              </w:rPr>
              <w:t>Furniture manufacturer</w:t>
            </w:r>
          </w:p>
        </w:tc>
        <w:tc>
          <w:tcPr>
            <w:tcW w:w="1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FC29C" w14:textId="77777777" w:rsidR="005B7BDC" w:rsidRPr="003643CE" w:rsidRDefault="005B7BDC" w:rsidP="00427528">
            <w:pPr>
              <w:ind w:left="0" w:firstLine="0"/>
              <w:jc w:val="center"/>
              <w:rPr>
                <w:b/>
                <w:bCs/>
              </w:rPr>
            </w:pPr>
            <w:r w:rsidRPr="003643CE">
              <w:rPr>
                <w:b/>
                <w:bCs/>
              </w:rPr>
              <w:t>Home goods retailer</w:t>
            </w:r>
          </w:p>
        </w:tc>
        <w:tc>
          <w:tcPr>
            <w:tcW w:w="1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9BCD5" w14:textId="77777777" w:rsidR="005B7BDC" w:rsidRPr="003643CE" w:rsidRDefault="005B7BDC" w:rsidP="00427528">
            <w:pPr>
              <w:ind w:left="0" w:firstLine="0"/>
              <w:jc w:val="center"/>
              <w:rPr>
                <w:b/>
                <w:bCs/>
              </w:rPr>
            </w:pPr>
            <w:r w:rsidRPr="003643CE">
              <w:rPr>
                <w:b/>
                <w:bCs/>
              </w:rPr>
              <w:t>Household customer</w:t>
            </w:r>
          </w:p>
        </w:tc>
        <w:tc>
          <w:tcPr>
            <w:tcW w:w="54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7DE8E9" w14:textId="77777777" w:rsidR="005B7BDC" w:rsidRPr="003643CE" w:rsidRDefault="005B7BDC" w:rsidP="00427528">
            <w:pPr>
              <w:ind w:left="0" w:firstLine="0"/>
              <w:jc w:val="center"/>
              <w:rPr>
                <w:b/>
                <w:bCs/>
              </w:rPr>
            </w:pPr>
            <w:r w:rsidRPr="003643CE">
              <w:rPr>
                <w:b/>
                <w:bCs/>
              </w:rPr>
              <w:t>Summary</w:t>
            </w:r>
          </w:p>
        </w:tc>
      </w:tr>
      <w:tr w:rsidR="005B7BDC" w:rsidRPr="007D59D9" w14:paraId="752948E5" w14:textId="77777777">
        <w:tc>
          <w:tcPr>
            <w:tcW w:w="8730" w:type="dxa"/>
            <w:gridSpan w:val="5"/>
            <w:tcBorders>
              <w:top w:val="nil"/>
              <w:left w:val="nil"/>
              <w:bottom w:val="single" w:sz="4" w:space="0" w:color="auto"/>
              <w:right w:val="nil"/>
            </w:tcBorders>
          </w:tcPr>
          <w:p w14:paraId="1C53E0AB" w14:textId="77777777" w:rsidR="005B7BDC" w:rsidRPr="007D59D9" w:rsidRDefault="005B7BDC" w:rsidP="0003745B">
            <w:pPr>
              <w:spacing w:before="60"/>
              <w:ind w:left="0" w:firstLine="0"/>
              <w:rPr>
                <w:sz w:val="18"/>
                <w:szCs w:val="18"/>
              </w:rPr>
            </w:pPr>
            <w:r w:rsidRPr="002D5EEA">
              <w:rPr>
                <w:b/>
                <w:bCs/>
                <w:sz w:val="18"/>
                <w:szCs w:val="18"/>
                <w:u w:val="single"/>
              </w:rPr>
              <w:t>Scenario 1</w:t>
            </w:r>
            <w:r>
              <w:rPr>
                <w:b/>
                <w:bCs/>
                <w:sz w:val="18"/>
                <w:szCs w:val="18"/>
                <w:u w:val="single"/>
              </w:rPr>
              <w:t>: Standard 10% final sales tax applied at each stage of the supply chain</w:t>
            </w:r>
          </w:p>
        </w:tc>
        <w:tc>
          <w:tcPr>
            <w:tcW w:w="5490" w:type="dxa"/>
            <w:tcBorders>
              <w:top w:val="nil"/>
              <w:left w:val="nil"/>
              <w:bottom w:val="single" w:sz="4" w:space="0" w:color="auto"/>
              <w:right w:val="nil"/>
            </w:tcBorders>
          </w:tcPr>
          <w:p w14:paraId="58DEC49B" w14:textId="77777777" w:rsidR="005B7BDC" w:rsidRPr="007D59D9" w:rsidRDefault="005B7BDC" w:rsidP="0003745B">
            <w:pPr>
              <w:spacing w:before="60"/>
              <w:ind w:left="0" w:firstLine="0"/>
              <w:rPr>
                <w:sz w:val="18"/>
                <w:szCs w:val="18"/>
              </w:rPr>
            </w:pPr>
          </w:p>
        </w:tc>
      </w:tr>
      <w:tr w:rsidR="005B7BDC" w:rsidRPr="007D59D9" w14:paraId="229F6E7C" w14:textId="77777777">
        <w:tc>
          <w:tcPr>
            <w:tcW w:w="2070" w:type="dxa"/>
            <w:tcBorders>
              <w:top w:val="single" w:sz="4" w:space="0" w:color="auto"/>
            </w:tcBorders>
          </w:tcPr>
          <w:p w14:paraId="4BDE6A2F" w14:textId="77777777" w:rsidR="005B7BDC" w:rsidRPr="007D59D9" w:rsidRDefault="005B7BDC" w:rsidP="00427528">
            <w:pPr>
              <w:ind w:left="0" w:firstLine="0"/>
              <w:rPr>
                <w:sz w:val="18"/>
                <w:szCs w:val="18"/>
              </w:rPr>
            </w:pPr>
            <w:r>
              <w:rPr>
                <w:sz w:val="18"/>
                <w:szCs w:val="18"/>
              </w:rPr>
              <w:t>Total p</w:t>
            </w:r>
            <w:r w:rsidRPr="007D59D9">
              <w:rPr>
                <w:sz w:val="18"/>
                <w:szCs w:val="18"/>
              </w:rPr>
              <w:t>ayment for inputs</w:t>
            </w:r>
          </w:p>
        </w:tc>
        <w:tc>
          <w:tcPr>
            <w:tcW w:w="1665" w:type="dxa"/>
            <w:tcBorders>
              <w:top w:val="single" w:sz="4" w:space="0" w:color="auto"/>
            </w:tcBorders>
          </w:tcPr>
          <w:p w14:paraId="2E9C639E" w14:textId="77777777" w:rsidR="005B7BDC" w:rsidRPr="007D59D9" w:rsidRDefault="005B7BDC" w:rsidP="003643CE">
            <w:pPr>
              <w:ind w:left="0" w:firstLine="0"/>
              <w:jc w:val="right"/>
              <w:rPr>
                <w:sz w:val="18"/>
                <w:szCs w:val="18"/>
              </w:rPr>
            </w:pPr>
            <w:r>
              <w:rPr>
                <w:sz w:val="18"/>
                <w:szCs w:val="18"/>
              </w:rPr>
              <w:t>0</w:t>
            </w:r>
          </w:p>
        </w:tc>
        <w:tc>
          <w:tcPr>
            <w:tcW w:w="1665" w:type="dxa"/>
            <w:tcBorders>
              <w:top w:val="single" w:sz="4" w:space="0" w:color="auto"/>
            </w:tcBorders>
          </w:tcPr>
          <w:p w14:paraId="40A6765F" w14:textId="77777777" w:rsidR="005B7BDC" w:rsidRPr="007D59D9" w:rsidRDefault="005B7BDC" w:rsidP="003643CE">
            <w:pPr>
              <w:ind w:left="0" w:firstLine="0"/>
              <w:jc w:val="right"/>
              <w:rPr>
                <w:sz w:val="18"/>
                <w:szCs w:val="18"/>
              </w:rPr>
            </w:pPr>
            <w:r>
              <w:rPr>
                <w:sz w:val="18"/>
                <w:szCs w:val="18"/>
              </w:rPr>
              <w:t>220</w:t>
            </w:r>
          </w:p>
        </w:tc>
        <w:tc>
          <w:tcPr>
            <w:tcW w:w="1665" w:type="dxa"/>
            <w:tcBorders>
              <w:top w:val="single" w:sz="4" w:space="0" w:color="auto"/>
            </w:tcBorders>
          </w:tcPr>
          <w:p w14:paraId="4D17E969" w14:textId="77777777" w:rsidR="005B7BDC" w:rsidRPr="007D59D9" w:rsidRDefault="005B7BDC" w:rsidP="003643CE">
            <w:pPr>
              <w:ind w:left="0" w:firstLine="0"/>
              <w:jc w:val="right"/>
              <w:rPr>
                <w:sz w:val="18"/>
                <w:szCs w:val="18"/>
              </w:rPr>
            </w:pPr>
            <w:r>
              <w:rPr>
                <w:sz w:val="18"/>
                <w:szCs w:val="18"/>
              </w:rPr>
              <w:t>352</w:t>
            </w:r>
          </w:p>
        </w:tc>
        <w:tc>
          <w:tcPr>
            <w:tcW w:w="1665" w:type="dxa"/>
            <w:tcBorders>
              <w:top w:val="single" w:sz="4" w:space="0" w:color="auto"/>
            </w:tcBorders>
          </w:tcPr>
          <w:p w14:paraId="29624540" w14:textId="77777777" w:rsidR="005B7BDC" w:rsidRPr="007D59D9" w:rsidRDefault="005B7BDC" w:rsidP="003643CE">
            <w:pPr>
              <w:ind w:left="0" w:firstLine="0"/>
              <w:jc w:val="right"/>
              <w:rPr>
                <w:sz w:val="18"/>
                <w:szCs w:val="18"/>
              </w:rPr>
            </w:pPr>
            <w:r>
              <w:rPr>
                <w:sz w:val="18"/>
                <w:szCs w:val="18"/>
              </w:rPr>
              <w:t>442.2</w:t>
            </w:r>
          </w:p>
        </w:tc>
        <w:tc>
          <w:tcPr>
            <w:tcW w:w="5490" w:type="dxa"/>
            <w:vMerge w:val="restart"/>
            <w:tcBorders>
              <w:top w:val="single" w:sz="4" w:space="0" w:color="auto"/>
            </w:tcBorders>
          </w:tcPr>
          <w:p w14:paraId="3A077580" w14:textId="77777777" w:rsidR="005B7BDC" w:rsidRPr="00A642A9" w:rsidRDefault="005B7BDC" w:rsidP="005B7BDC">
            <w:pPr>
              <w:pStyle w:val="ListParagraph"/>
              <w:numPr>
                <w:ilvl w:val="0"/>
                <w:numId w:val="11"/>
              </w:numPr>
              <w:spacing w:before="40" w:after="40"/>
              <w:ind w:left="332" w:hanging="202"/>
              <w:contextualSpacing w:val="0"/>
              <w:rPr>
                <w:sz w:val="18"/>
                <w:szCs w:val="18"/>
              </w:rPr>
            </w:pPr>
            <w:r w:rsidRPr="00A642A9">
              <w:rPr>
                <w:sz w:val="18"/>
                <w:szCs w:val="18"/>
              </w:rPr>
              <w:t>Total value added across all stages of production: 200+100+50 = 350</w:t>
            </w:r>
          </w:p>
          <w:p w14:paraId="4B3393C1" w14:textId="77777777" w:rsidR="005B7BDC" w:rsidRPr="00A642A9" w:rsidRDefault="005B7BDC" w:rsidP="005B7BDC">
            <w:pPr>
              <w:pStyle w:val="ListParagraph"/>
              <w:numPr>
                <w:ilvl w:val="0"/>
                <w:numId w:val="11"/>
              </w:numPr>
              <w:spacing w:before="40" w:after="40"/>
              <w:ind w:left="332" w:hanging="202"/>
              <w:contextualSpacing w:val="0"/>
              <w:rPr>
                <w:sz w:val="18"/>
                <w:szCs w:val="18"/>
              </w:rPr>
            </w:pPr>
            <w:r w:rsidRPr="00A642A9">
              <w:rPr>
                <w:sz w:val="18"/>
                <w:szCs w:val="18"/>
              </w:rPr>
              <w:t xml:space="preserve">Total taxes remitted to </w:t>
            </w:r>
            <w:proofErr w:type="gramStart"/>
            <w:r w:rsidRPr="00A642A9">
              <w:rPr>
                <w:sz w:val="18"/>
                <w:szCs w:val="18"/>
              </w:rPr>
              <w:t>government</w:t>
            </w:r>
            <w:proofErr w:type="gramEnd"/>
            <w:r w:rsidRPr="00A642A9">
              <w:rPr>
                <w:sz w:val="18"/>
                <w:szCs w:val="18"/>
              </w:rPr>
              <w:t>: 20+32+40.2 = 92.2</w:t>
            </w:r>
          </w:p>
          <w:p w14:paraId="14B82E4E" w14:textId="77777777" w:rsidR="005B7BDC" w:rsidRPr="00A642A9" w:rsidRDefault="005B7BDC" w:rsidP="005B7BDC">
            <w:pPr>
              <w:pStyle w:val="ListParagraph"/>
              <w:numPr>
                <w:ilvl w:val="0"/>
                <w:numId w:val="11"/>
              </w:numPr>
              <w:spacing w:before="40" w:after="40"/>
              <w:ind w:left="332" w:hanging="202"/>
              <w:contextualSpacing w:val="0"/>
              <w:rPr>
                <w:sz w:val="18"/>
                <w:szCs w:val="18"/>
              </w:rPr>
            </w:pPr>
            <w:r w:rsidRPr="00A642A9">
              <w:rPr>
                <w:sz w:val="18"/>
                <w:szCs w:val="18"/>
              </w:rPr>
              <w:t>Total taxes refundable to businesses: None</w:t>
            </w:r>
          </w:p>
          <w:p w14:paraId="78D51BFB" w14:textId="77777777" w:rsidR="005B7BDC" w:rsidRPr="00A642A9" w:rsidRDefault="005B7BDC" w:rsidP="005B7BDC">
            <w:pPr>
              <w:pStyle w:val="ListParagraph"/>
              <w:numPr>
                <w:ilvl w:val="0"/>
                <w:numId w:val="11"/>
              </w:numPr>
              <w:spacing w:before="40" w:after="40"/>
              <w:ind w:left="332" w:hanging="202"/>
              <w:contextualSpacing w:val="0"/>
              <w:rPr>
                <w:sz w:val="18"/>
                <w:szCs w:val="18"/>
              </w:rPr>
            </w:pPr>
            <w:r w:rsidRPr="00A642A9">
              <w:rPr>
                <w:sz w:val="18"/>
                <w:szCs w:val="18"/>
              </w:rPr>
              <w:t>Net tax revenues to government: 92.2</w:t>
            </w:r>
          </w:p>
        </w:tc>
      </w:tr>
      <w:tr w:rsidR="005B7BDC" w:rsidRPr="007D59D9" w14:paraId="20C24888" w14:textId="77777777">
        <w:tc>
          <w:tcPr>
            <w:tcW w:w="2070" w:type="dxa"/>
          </w:tcPr>
          <w:p w14:paraId="595E6017" w14:textId="77777777" w:rsidR="005B7BDC" w:rsidRPr="007D59D9" w:rsidRDefault="005B7BDC" w:rsidP="00427528">
            <w:pPr>
              <w:ind w:left="0" w:firstLine="0"/>
              <w:rPr>
                <w:sz w:val="18"/>
                <w:szCs w:val="18"/>
              </w:rPr>
            </w:pPr>
            <w:r>
              <w:rPr>
                <w:sz w:val="18"/>
                <w:szCs w:val="18"/>
              </w:rPr>
              <w:t xml:space="preserve">Refundable tax </w:t>
            </w:r>
            <w:proofErr w:type="gramStart"/>
            <w:r>
              <w:rPr>
                <w:sz w:val="18"/>
                <w:szCs w:val="18"/>
              </w:rPr>
              <w:t>in</w:t>
            </w:r>
            <w:proofErr w:type="gramEnd"/>
            <w:r>
              <w:rPr>
                <w:sz w:val="18"/>
                <w:szCs w:val="18"/>
              </w:rPr>
              <w:t xml:space="preserve"> inputs</w:t>
            </w:r>
          </w:p>
        </w:tc>
        <w:tc>
          <w:tcPr>
            <w:tcW w:w="1665" w:type="dxa"/>
          </w:tcPr>
          <w:p w14:paraId="1499326B" w14:textId="77777777" w:rsidR="005B7BDC" w:rsidRPr="007D59D9" w:rsidRDefault="005B7BDC" w:rsidP="003643CE">
            <w:pPr>
              <w:ind w:left="0" w:firstLine="0"/>
              <w:jc w:val="right"/>
              <w:rPr>
                <w:sz w:val="18"/>
                <w:szCs w:val="18"/>
              </w:rPr>
            </w:pPr>
            <w:r>
              <w:rPr>
                <w:sz w:val="18"/>
                <w:szCs w:val="18"/>
              </w:rPr>
              <w:t>0</w:t>
            </w:r>
          </w:p>
        </w:tc>
        <w:tc>
          <w:tcPr>
            <w:tcW w:w="1665" w:type="dxa"/>
          </w:tcPr>
          <w:p w14:paraId="542FE11A" w14:textId="77777777" w:rsidR="005B7BDC" w:rsidRPr="007D59D9" w:rsidRDefault="005B7BDC" w:rsidP="003643CE">
            <w:pPr>
              <w:ind w:left="0" w:firstLine="0"/>
              <w:jc w:val="right"/>
              <w:rPr>
                <w:sz w:val="18"/>
                <w:szCs w:val="18"/>
              </w:rPr>
            </w:pPr>
            <w:r>
              <w:rPr>
                <w:sz w:val="18"/>
                <w:szCs w:val="18"/>
              </w:rPr>
              <w:t>Not eligible</w:t>
            </w:r>
          </w:p>
        </w:tc>
        <w:tc>
          <w:tcPr>
            <w:tcW w:w="1665" w:type="dxa"/>
          </w:tcPr>
          <w:p w14:paraId="4BDB7F0E" w14:textId="77777777" w:rsidR="005B7BDC" w:rsidRPr="007D59D9" w:rsidRDefault="005B7BDC" w:rsidP="003643CE">
            <w:pPr>
              <w:ind w:left="0" w:firstLine="0"/>
              <w:jc w:val="right"/>
              <w:rPr>
                <w:sz w:val="18"/>
                <w:szCs w:val="18"/>
              </w:rPr>
            </w:pPr>
            <w:r>
              <w:rPr>
                <w:sz w:val="18"/>
                <w:szCs w:val="18"/>
              </w:rPr>
              <w:t>Not eligible</w:t>
            </w:r>
          </w:p>
        </w:tc>
        <w:tc>
          <w:tcPr>
            <w:tcW w:w="1665" w:type="dxa"/>
          </w:tcPr>
          <w:p w14:paraId="3EA62968" w14:textId="77777777" w:rsidR="005B7BDC" w:rsidRPr="007D59D9" w:rsidRDefault="005B7BDC" w:rsidP="003643CE">
            <w:pPr>
              <w:ind w:left="0" w:firstLine="0"/>
              <w:jc w:val="right"/>
              <w:rPr>
                <w:sz w:val="18"/>
                <w:szCs w:val="18"/>
              </w:rPr>
            </w:pPr>
          </w:p>
        </w:tc>
        <w:tc>
          <w:tcPr>
            <w:tcW w:w="5490" w:type="dxa"/>
            <w:vMerge/>
          </w:tcPr>
          <w:p w14:paraId="078F5526" w14:textId="77777777" w:rsidR="005B7BDC" w:rsidRPr="007D59D9" w:rsidRDefault="005B7BDC" w:rsidP="00427528">
            <w:pPr>
              <w:ind w:left="0" w:firstLine="0"/>
              <w:rPr>
                <w:sz w:val="18"/>
                <w:szCs w:val="18"/>
              </w:rPr>
            </w:pPr>
          </w:p>
        </w:tc>
      </w:tr>
      <w:tr w:rsidR="005B7BDC" w:rsidRPr="007D59D9" w14:paraId="63AFB6C4" w14:textId="77777777">
        <w:tc>
          <w:tcPr>
            <w:tcW w:w="2070" w:type="dxa"/>
          </w:tcPr>
          <w:p w14:paraId="586545F2" w14:textId="77777777" w:rsidR="005B7BDC" w:rsidRPr="007D59D9" w:rsidRDefault="005B7BDC" w:rsidP="00427528">
            <w:pPr>
              <w:ind w:left="0" w:firstLine="0"/>
              <w:rPr>
                <w:sz w:val="18"/>
                <w:szCs w:val="18"/>
              </w:rPr>
            </w:pPr>
            <w:r>
              <w:rPr>
                <w:sz w:val="18"/>
                <w:szCs w:val="18"/>
              </w:rPr>
              <w:t>Value added at this stage</w:t>
            </w:r>
          </w:p>
        </w:tc>
        <w:tc>
          <w:tcPr>
            <w:tcW w:w="1665" w:type="dxa"/>
          </w:tcPr>
          <w:p w14:paraId="40394C20" w14:textId="77777777" w:rsidR="005B7BDC" w:rsidRPr="007D59D9" w:rsidRDefault="005B7BDC" w:rsidP="003643CE">
            <w:pPr>
              <w:ind w:left="0" w:firstLine="0"/>
              <w:jc w:val="right"/>
              <w:rPr>
                <w:sz w:val="18"/>
                <w:szCs w:val="18"/>
              </w:rPr>
            </w:pPr>
            <w:r>
              <w:rPr>
                <w:sz w:val="18"/>
                <w:szCs w:val="18"/>
              </w:rPr>
              <w:t>200</w:t>
            </w:r>
          </w:p>
        </w:tc>
        <w:tc>
          <w:tcPr>
            <w:tcW w:w="1665" w:type="dxa"/>
          </w:tcPr>
          <w:p w14:paraId="712A4116" w14:textId="77777777" w:rsidR="005B7BDC" w:rsidRPr="007D59D9" w:rsidRDefault="005B7BDC" w:rsidP="003643CE">
            <w:pPr>
              <w:ind w:left="0" w:firstLine="0"/>
              <w:jc w:val="right"/>
              <w:rPr>
                <w:sz w:val="18"/>
                <w:szCs w:val="18"/>
              </w:rPr>
            </w:pPr>
            <w:r>
              <w:rPr>
                <w:sz w:val="18"/>
                <w:szCs w:val="18"/>
              </w:rPr>
              <w:t>100</w:t>
            </w:r>
          </w:p>
        </w:tc>
        <w:tc>
          <w:tcPr>
            <w:tcW w:w="1665" w:type="dxa"/>
          </w:tcPr>
          <w:p w14:paraId="7D0FE48C" w14:textId="77777777" w:rsidR="005B7BDC" w:rsidRPr="007D59D9" w:rsidRDefault="005B7BDC" w:rsidP="003643CE">
            <w:pPr>
              <w:ind w:left="0" w:firstLine="0"/>
              <w:jc w:val="right"/>
              <w:rPr>
                <w:sz w:val="18"/>
                <w:szCs w:val="18"/>
              </w:rPr>
            </w:pPr>
            <w:r>
              <w:rPr>
                <w:sz w:val="18"/>
                <w:szCs w:val="18"/>
              </w:rPr>
              <w:t>50</w:t>
            </w:r>
          </w:p>
        </w:tc>
        <w:tc>
          <w:tcPr>
            <w:tcW w:w="1665" w:type="dxa"/>
          </w:tcPr>
          <w:p w14:paraId="65BFBCED" w14:textId="77777777" w:rsidR="005B7BDC" w:rsidRPr="007D59D9" w:rsidRDefault="005B7BDC" w:rsidP="003643CE">
            <w:pPr>
              <w:ind w:left="0" w:firstLine="0"/>
              <w:jc w:val="right"/>
              <w:rPr>
                <w:sz w:val="18"/>
                <w:szCs w:val="18"/>
              </w:rPr>
            </w:pPr>
          </w:p>
        </w:tc>
        <w:tc>
          <w:tcPr>
            <w:tcW w:w="5490" w:type="dxa"/>
            <w:vMerge/>
          </w:tcPr>
          <w:p w14:paraId="07BFC9DC" w14:textId="77777777" w:rsidR="005B7BDC" w:rsidRPr="007D59D9" w:rsidRDefault="005B7BDC" w:rsidP="00427528">
            <w:pPr>
              <w:ind w:left="0" w:firstLine="0"/>
              <w:rPr>
                <w:sz w:val="18"/>
                <w:szCs w:val="18"/>
              </w:rPr>
            </w:pPr>
          </w:p>
        </w:tc>
      </w:tr>
      <w:tr w:rsidR="005B7BDC" w:rsidRPr="007D59D9" w14:paraId="33FD8A3D" w14:textId="77777777">
        <w:tc>
          <w:tcPr>
            <w:tcW w:w="2070" w:type="dxa"/>
          </w:tcPr>
          <w:p w14:paraId="67035FBB" w14:textId="77777777" w:rsidR="005B7BDC" w:rsidRDefault="005B7BDC" w:rsidP="00427528">
            <w:pPr>
              <w:ind w:left="0" w:firstLine="0"/>
              <w:rPr>
                <w:sz w:val="18"/>
                <w:szCs w:val="18"/>
              </w:rPr>
            </w:pPr>
            <w:r>
              <w:rPr>
                <w:sz w:val="18"/>
                <w:szCs w:val="18"/>
              </w:rPr>
              <w:t>Preliminary selling price</w:t>
            </w:r>
          </w:p>
        </w:tc>
        <w:tc>
          <w:tcPr>
            <w:tcW w:w="1665" w:type="dxa"/>
          </w:tcPr>
          <w:p w14:paraId="077C83AB" w14:textId="77777777" w:rsidR="005B7BDC" w:rsidRDefault="005B7BDC" w:rsidP="003643CE">
            <w:pPr>
              <w:ind w:left="0" w:firstLine="0"/>
              <w:jc w:val="right"/>
              <w:rPr>
                <w:sz w:val="18"/>
                <w:szCs w:val="18"/>
              </w:rPr>
            </w:pPr>
            <w:r>
              <w:rPr>
                <w:sz w:val="18"/>
                <w:szCs w:val="18"/>
              </w:rPr>
              <w:t>200</w:t>
            </w:r>
          </w:p>
        </w:tc>
        <w:tc>
          <w:tcPr>
            <w:tcW w:w="1665" w:type="dxa"/>
          </w:tcPr>
          <w:p w14:paraId="4ED3FED4" w14:textId="77777777" w:rsidR="005B7BDC" w:rsidRDefault="005B7BDC" w:rsidP="003643CE">
            <w:pPr>
              <w:ind w:left="0" w:firstLine="0"/>
              <w:jc w:val="right"/>
              <w:rPr>
                <w:sz w:val="18"/>
                <w:szCs w:val="18"/>
              </w:rPr>
            </w:pPr>
            <w:r>
              <w:rPr>
                <w:sz w:val="18"/>
                <w:szCs w:val="18"/>
              </w:rPr>
              <w:t>220+100 = 320</w:t>
            </w:r>
          </w:p>
        </w:tc>
        <w:tc>
          <w:tcPr>
            <w:tcW w:w="1665" w:type="dxa"/>
          </w:tcPr>
          <w:p w14:paraId="35E3DE56" w14:textId="77777777" w:rsidR="005B7BDC" w:rsidRDefault="005B7BDC" w:rsidP="003643CE">
            <w:pPr>
              <w:ind w:left="0" w:firstLine="0"/>
              <w:jc w:val="right"/>
              <w:rPr>
                <w:sz w:val="18"/>
                <w:szCs w:val="18"/>
              </w:rPr>
            </w:pPr>
            <w:r>
              <w:rPr>
                <w:sz w:val="18"/>
                <w:szCs w:val="18"/>
              </w:rPr>
              <w:t>352+50 = 402</w:t>
            </w:r>
          </w:p>
        </w:tc>
        <w:tc>
          <w:tcPr>
            <w:tcW w:w="1665" w:type="dxa"/>
          </w:tcPr>
          <w:p w14:paraId="01D5627C" w14:textId="77777777" w:rsidR="005B7BDC" w:rsidRPr="007D59D9" w:rsidRDefault="005B7BDC" w:rsidP="003643CE">
            <w:pPr>
              <w:ind w:left="0" w:firstLine="0"/>
              <w:jc w:val="right"/>
              <w:rPr>
                <w:sz w:val="18"/>
                <w:szCs w:val="18"/>
              </w:rPr>
            </w:pPr>
          </w:p>
        </w:tc>
        <w:tc>
          <w:tcPr>
            <w:tcW w:w="5490" w:type="dxa"/>
            <w:vMerge/>
          </w:tcPr>
          <w:p w14:paraId="722FEF55" w14:textId="77777777" w:rsidR="005B7BDC" w:rsidRPr="007D59D9" w:rsidRDefault="005B7BDC" w:rsidP="00427528">
            <w:pPr>
              <w:ind w:left="0" w:firstLine="0"/>
              <w:rPr>
                <w:sz w:val="18"/>
                <w:szCs w:val="18"/>
              </w:rPr>
            </w:pPr>
          </w:p>
        </w:tc>
      </w:tr>
      <w:tr w:rsidR="005B7BDC" w:rsidRPr="007D59D9" w14:paraId="7FCF398B" w14:textId="77777777">
        <w:tc>
          <w:tcPr>
            <w:tcW w:w="2070" w:type="dxa"/>
            <w:tcBorders>
              <w:bottom w:val="single" w:sz="4" w:space="0" w:color="auto"/>
            </w:tcBorders>
          </w:tcPr>
          <w:p w14:paraId="20AD2865" w14:textId="77777777" w:rsidR="005B7BDC" w:rsidRPr="007D59D9" w:rsidRDefault="005B7BDC" w:rsidP="00427528">
            <w:pPr>
              <w:ind w:left="0" w:firstLine="0"/>
              <w:rPr>
                <w:sz w:val="18"/>
                <w:szCs w:val="18"/>
              </w:rPr>
            </w:pPr>
            <w:r>
              <w:rPr>
                <w:sz w:val="18"/>
                <w:szCs w:val="18"/>
              </w:rPr>
              <w:t>Tax charged to customer</w:t>
            </w:r>
          </w:p>
        </w:tc>
        <w:tc>
          <w:tcPr>
            <w:tcW w:w="1665" w:type="dxa"/>
            <w:tcBorders>
              <w:bottom w:val="single" w:sz="4" w:space="0" w:color="auto"/>
            </w:tcBorders>
          </w:tcPr>
          <w:p w14:paraId="2DF36330" w14:textId="77777777" w:rsidR="005B7BDC" w:rsidRPr="007D59D9" w:rsidRDefault="005B7BDC" w:rsidP="003643CE">
            <w:pPr>
              <w:ind w:left="0" w:firstLine="0"/>
              <w:jc w:val="right"/>
              <w:rPr>
                <w:sz w:val="18"/>
                <w:szCs w:val="18"/>
              </w:rPr>
            </w:pPr>
            <w:r>
              <w:rPr>
                <w:sz w:val="18"/>
                <w:szCs w:val="18"/>
              </w:rPr>
              <w:t>10%*200 = 20</w:t>
            </w:r>
          </w:p>
        </w:tc>
        <w:tc>
          <w:tcPr>
            <w:tcW w:w="1665" w:type="dxa"/>
            <w:tcBorders>
              <w:bottom w:val="single" w:sz="4" w:space="0" w:color="auto"/>
            </w:tcBorders>
          </w:tcPr>
          <w:p w14:paraId="6D3100A0" w14:textId="77777777" w:rsidR="005B7BDC" w:rsidRPr="007D59D9" w:rsidRDefault="005B7BDC" w:rsidP="003643CE">
            <w:pPr>
              <w:ind w:left="0" w:firstLine="0"/>
              <w:jc w:val="right"/>
              <w:rPr>
                <w:sz w:val="18"/>
                <w:szCs w:val="18"/>
              </w:rPr>
            </w:pPr>
            <w:r>
              <w:rPr>
                <w:sz w:val="18"/>
                <w:szCs w:val="18"/>
              </w:rPr>
              <w:t>10%*320 = 32</w:t>
            </w:r>
          </w:p>
        </w:tc>
        <w:tc>
          <w:tcPr>
            <w:tcW w:w="1665" w:type="dxa"/>
            <w:tcBorders>
              <w:bottom w:val="single" w:sz="4" w:space="0" w:color="auto"/>
            </w:tcBorders>
          </w:tcPr>
          <w:p w14:paraId="0BF1F250" w14:textId="77777777" w:rsidR="005B7BDC" w:rsidRPr="007D59D9" w:rsidRDefault="005B7BDC" w:rsidP="003643CE">
            <w:pPr>
              <w:ind w:left="0" w:firstLine="0"/>
              <w:jc w:val="right"/>
              <w:rPr>
                <w:sz w:val="18"/>
                <w:szCs w:val="18"/>
              </w:rPr>
            </w:pPr>
            <w:r>
              <w:rPr>
                <w:sz w:val="18"/>
                <w:szCs w:val="18"/>
              </w:rPr>
              <w:t>10%*402 = 40.2</w:t>
            </w:r>
          </w:p>
        </w:tc>
        <w:tc>
          <w:tcPr>
            <w:tcW w:w="1665" w:type="dxa"/>
            <w:tcBorders>
              <w:bottom w:val="single" w:sz="4" w:space="0" w:color="auto"/>
            </w:tcBorders>
          </w:tcPr>
          <w:p w14:paraId="5BE9A806" w14:textId="77777777" w:rsidR="005B7BDC" w:rsidRPr="007D59D9" w:rsidRDefault="005B7BDC" w:rsidP="003643CE">
            <w:pPr>
              <w:ind w:left="0" w:firstLine="0"/>
              <w:jc w:val="right"/>
              <w:rPr>
                <w:sz w:val="18"/>
                <w:szCs w:val="18"/>
              </w:rPr>
            </w:pPr>
          </w:p>
        </w:tc>
        <w:tc>
          <w:tcPr>
            <w:tcW w:w="5490" w:type="dxa"/>
            <w:vMerge/>
          </w:tcPr>
          <w:p w14:paraId="2DDFDA87" w14:textId="77777777" w:rsidR="005B7BDC" w:rsidRPr="007D59D9" w:rsidRDefault="005B7BDC" w:rsidP="00427528">
            <w:pPr>
              <w:ind w:left="0" w:firstLine="0"/>
              <w:rPr>
                <w:sz w:val="18"/>
                <w:szCs w:val="18"/>
              </w:rPr>
            </w:pPr>
          </w:p>
        </w:tc>
      </w:tr>
      <w:tr w:rsidR="005B7BDC" w:rsidRPr="007D59D9" w14:paraId="2D30E986" w14:textId="77777777">
        <w:tc>
          <w:tcPr>
            <w:tcW w:w="2070" w:type="dxa"/>
            <w:tcBorders>
              <w:bottom w:val="single" w:sz="4" w:space="0" w:color="auto"/>
            </w:tcBorders>
          </w:tcPr>
          <w:p w14:paraId="4BDF74CB" w14:textId="77777777" w:rsidR="005B7BDC" w:rsidRPr="007D59D9" w:rsidRDefault="005B7BDC" w:rsidP="00427528">
            <w:pPr>
              <w:ind w:left="0" w:firstLine="0"/>
              <w:rPr>
                <w:sz w:val="18"/>
                <w:szCs w:val="18"/>
              </w:rPr>
            </w:pPr>
            <w:r>
              <w:rPr>
                <w:sz w:val="18"/>
                <w:szCs w:val="18"/>
              </w:rPr>
              <w:t>Selling price</w:t>
            </w:r>
          </w:p>
        </w:tc>
        <w:tc>
          <w:tcPr>
            <w:tcW w:w="1665" w:type="dxa"/>
            <w:tcBorders>
              <w:bottom w:val="single" w:sz="4" w:space="0" w:color="auto"/>
            </w:tcBorders>
          </w:tcPr>
          <w:p w14:paraId="56906DC8" w14:textId="77777777" w:rsidR="005B7BDC" w:rsidRPr="007D59D9" w:rsidRDefault="005B7BDC" w:rsidP="003643CE">
            <w:pPr>
              <w:ind w:left="0" w:firstLine="0"/>
              <w:jc w:val="right"/>
              <w:rPr>
                <w:sz w:val="18"/>
                <w:szCs w:val="18"/>
              </w:rPr>
            </w:pPr>
            <w:r>
              <w:rPr>
                <w:sz w:val="18"/>
                <w:szCs w:val="18"/>
              </w:rPr>
              <w:t>220</w:t>
            </w:r>
          </w:p>
        </w:tc>
        <w:tc>
          <w:tcPr>
            <w:tcW w:w="1665" w:type="dxa"/>
            <w:tcBorders>
              <w:bottom w:val="single" w:sz="4" w:space="0" w:color="auto"/>
            </w:tcBorders>
          </w:tcPr>
          <w:p w14:paraId="7DD069EB" w14:textId="77777777" w:rsidR="005B7BDC" w:rsidRPr="007D59D9" w:rsidRDefault="005B7BDC" w:rsidP="003643CE">
            <w:pPr>
              <w:ind w:left="0" w:firstLine="0"/>
              <w:jc w:val="right"/>
              <w:rPr>
                <w:sz w:val="18"/>
                <w:szCs w:val="18"/>
              </w:rPr>
            </w:pPr>
            <w:r>
              <w:rPr>
                <w:sz w:val="18"/>
                <w:szCs w:val="18"/>
              </w:rPr>
              <w:t>320+32 = 352</w:t>
            </w:r>
          </w:p>
        </w:tc>
        <w:tc>
          <w:tcPr>
            <w:tcW w:w="1665" w:type="dxa"/>
            <w:tcBorders>
              <w:bottom w:val="single" w:sz="4" w:space="0" w:color="auto"/>
            </w:tcBorders>
          </w:tcPr>
          <w:p w14:paraId="3F7C5B86" w14:textId="77777777" w:rsidR="005B7BDC" w:rsidRPr="007D59D9" w:rsidRDefault="005B7BDC" w:rsidP="003643CE">
            <w:pPr>
              <w:ind w:left="0" w:firstLine="0"/>
              <w:jc w:val="right"/>
              <w:rPr>
                <w:sz w:val="18"/>
                <w:szCs w:val="18"/>
              </w:rPr>
            </w:pPr>
            <w:r>
              <w:rPr>
                <w:sz w:val="18"/>
                <w:szCs w:val="18"/>
              </w:rPr>
              <w:t>402+40.2 = 442.2</w:t>
            </w:r>
          </w:p>
        </w:tc>
        <w:tc>
          <w:tcPr>
            <w:tcW w:w="1665" w:type="dxa"/>
            <w:tcBorders>
              <w:bottom w:val="single" w:sz="4" w:space="0" w:color="auto"/>
            </w:tcBorders>
          </w:tcPr>
          <w:p w14:paraId="20D006F6" w14:textId="77777777" w:rsidR="005B7BDC" w:rsidRPr="007D59D9" w:rsidRDefault="005B7BDC" w:rsidP="003643CE">
            <w:pPr>
              <w:ind w:left="0" w:firstLine="0"/>
              <w:jc w:val="right"/>
              <w:rPr>
                <w:sz w:val="18"/>
                <w:szCs w:val="18"/>
              </w:rPr>
            </w:pPr>
          </w:p>
        </w:tc>
        <w:tc>
          <w:tcPr>
            <w:tcW w:w="5490" w:type="dxa"/>
            <w:vMerge/>
            <w:tcBorders>
              <w:bottom w:val="single" w:sz="4" w:space="0" w:color="auto"/>
            </w:tcBorders>
          </w:tcPr>
          <w:p w14:paraId="67A7D8B1" w14:textId="77777777" w:rsidR="005B7BDC" w:rsidRPr="007D59D9" w:rsidRDefault="005B7BDC" w:rsidP="00427528">
            <w:pPr>
              <w:ind w:left="0" w:firstLine="0"/>
              <w:rPr>
                <w:sz w:val="18"/>
                <w:szCs w:val="18"/>
              </w:rPr>
            </w:pPr>
          </w:p>
        </w:tc>
      </w:tr>
      <w:tr w:rsidR="005B7BDC" w:rsidRPr="0003745B" w14:paraId="7DD9BA84" w14:textId="77777777" w:rsidTr="0003745B">
        <w:trPr>
          <w:trHeight w:val="144"/>
        </w:trPr>
        <w:tc>
          <w:tcPr>
            <w:tcW w:w="2070" w:type="dxa"/>
            <w:tcBorders>
              <w:top w:val="single" w:sz="4" w:space="0" w:color="auto"/>
              <w:left w:val="nil"/>
              <w:bottom w:val="nil"/>
              <w:right w:val="nil"/>
            </w:tcBorders>
          </w:tcPr>
          <w:p w14:paraId="487B90BF" w14:textId="77777777" w:rsidR="005B7BDC" w:rsidRPr="0003745B" w:rsidRDefault="005B7BDC" w:rsidP="00427528">
            <w:pPr>
              <w:ind w:left="0" w:firstLine="0"/>
              <w:rPr>
                <w:sz w:val="12"/>
                <w:szCs w:val="12"/>
              </w:rPr>
            </w:pPr>
          </w:p>
        </w:tc>
        <w:tc>
          <w:tcPr>
            <w:tcW w:w="1665" w:type="dxa"/>
            <w:tcBorders>
              <w:top w:val="single" w:sz="4" w:space="0" w:color="auto"/>
              <w:left w:val="nil"/>
              <w:bottom w:val="nil"/>
              <w:right w:val="nil"/>
            </w:tcBorders>
          </w:tcPr>
          <w:p w14:paraId="476CCBC6" w14:textId="77777777" w:rsidR="005B7BDC" w:rsidRPr="0003745B" w:rsidRDefault="005B7BDC" w:rsidP="00427528">
            <w:pPr>
              <w:ind w:left="0" w:firstLine="0"/>
              <w:jc w:val="center"/>
              <w:rPr>
                <w:sz w:val="12"/>
                <w:szCs w:val="12"/>
              </w:rPr>
            </w:pPr>
          </w:p>
        </w:tc>
        <w:tc>
          <w:tcPr>
            <w:tcW w:w="1665" w:type="dxa"/>
            <w:tcBorders>
              <w:top w:val="single" w:sz="4" w:space="0" w:color="auto"/>
              <w:left w:val="nil"/>
              <w:bottom w:val="nil"/>
              <w:right w:val="nil"/>
            </w:tcBorders>
          </w:tcPr>
          <w:p w14:paraId="33D24359" w14:textId="77777777" w:rsidR="005B7BDC" w:rsidRPr="0003745B" w:rsidRDefault="005B7BDC" w:rsidP="00427528">
            <w:pPr>
              <w:ind w:left="0" w:firstLine="0"/>
              <w:jc w:val="center"/>
              <w:rPr>
                <w:sz w:val="12"/>
                <w:szCs w:val="12"/>
              </w:rPr>
            </w:pPr>
          </w:p>
        </w:tc>
        <w:tc>
          <w:tcPr>
            <w:tcW w:w="1665" w:type="dxa"/>
            <w:tcBorders>
              <w:top w:val="single" w:sz="4" w:space="0" w:color="auto"/>
              <w:left w:val="nil"/>
              <w:bottom w:val="nil"/>
              <w:right w:val="nil"/>
            </w:tcBorders>
          </w:tcPr>
          <w:p w14:paraId="246E6DB3" w14:textId="77777777" w:rsidR="005B7BDC" w:rsidRPr="0003745B" w:rsidRDefault="005B7BDC" w:rsidP="00427528">
            <w:pPr>
              <w:ind w:left="0" w:firstLine="0"/>
              <w:jc w:val="center"/>
              <w:rPr>
                <w:sz w:val="12"/>
                <w:szCs w:val="12"/>
              </w:rPr>
            </w:pPr>
          </w:p>
        </w:tc>
        <w:tc>
          <w:tcPr>
            <w:tcW w:w="1665" w:type="dxa"/>
            <w:tcBorders>
              <w:top w:val="single" w:sz="4" w:space="0" w:color="auto"/>
              <w:left w:val="nil"/>
              <w:bottom w:val="nil"/>
              <w:right w:val="nil"/>
            </w:tcBorders>
          </w:tcPr>
          <w:p w14:paraId="3B7320A1" w14:textId="77777777" w:rsidR="005B7BDC" w:rsidRPr="0003745B" w:rsidRDefault="005B7BDC" w:rsidP="00427528">
            <w:pPr>
              <w:ind w:left="0" w:firstLine="0"/>
              <w:jc w:val="center"/>
              <w:rPr>
                <w:sz w:val="12"/>
                <w:szCs w:val="12"/>
              </w:rPr>
            </w:pPr>
          </w:p>
        </w:tc>
        <w:tc>
          <w:tcPr>
            <w:tcW w:w="5490" w:type="dxa"/>
            <w:tcBorders>
              <w:top w:val="single" w:sz="4" w:space="0" w:color="auto"/>
              <w:left w:val="nil"/>
              <w:bottom w:val="nil"/>
              <w:right w:val="nil"/>
            </w:tcBorders>
          </w:tcPr>
          <w:p w14:paraId="4AB78798" w14:textId="77777777" w:rsidR="005B7BDC" w:rsidRPr="0003745B" w:rsidRDefault="005B7BDC" w:rsidP="00427528">
            <w:pPr>
              <w:ind w:left="0" w:firstLine="0"/>
              <w:rPr>
                <w:sz w:val="12"/>
                <w:szCs w:val="12"/>
              </w:rPr>
            </w:pPr>
          </w:p>
        </w:tc>
      </w:tr>
      <w:tr w:rsidR="005B7BDC" w:rsidRPr="007D59D9" w14:paraId="5AC1A6E5" w14:textId="77777777">
        <w:tc>
          <w:tcPr>
            <w:tcW w:w="8730" w:type="dxa"/>
            <w:gridSpan w:val="5"/>
            <w:tcBorders>
              <w:top w:val="nil"/>
              <w:left w:val="nil"/>
              <w:bottom w:val="single" w:sz="4" w:space="0" w:color="auto"/>
              <w:right w:val="nil"/>
            </w:tcBorders>
          </w:tcPr>
          <w:p w14:paraId="24D5542A" w14:textId="77777777" w:rsidR="005B7BDC" w:rsidRPr="007D59D9" w:rsidRDefault="005B7BDC" w:rsidP="00427528">
            <w:pPr>
              <w:ind w:left="0" w:firstLine="0"/>
              <w:rPr>
                <w:sz w:val="18"/>
                <w:szCs w:val="18"/>
              </w:rPr>
            </w:pPr>
            <w:r w:rsidRPr="002D5EEA">
              <w:rPr>
                <w:b/>
                <w:bCs/>
                <w:sz w:val="18"/>
                <w:szCs w:val="18"/>
                <w:u w:val="single"/>
              </w:rPr>
              <w:t>Scenario 2</w:t>
            </w:r>
            <w:r>
              <w:rPr>
                <w:b/>
                <w:bCs/>
                <w:sz w:val="18"/>
                <w:szCs w:val="18"/>
                <w:u w:val="single"/>
              </w:rPr>
              <w:t>: Standard 10% VAT applied at each stage of the supply chain with no exemptions</w:t>
            </w:r>
          </w:p>
        </w:tc>
        <w:tc>
          <w:tcPr>
            <w:tcW w:w="5490" w:type="dxa"/>
            <w:tcBorders>
              <w:top w:val="nil"/>
              <w:left w:val="nil"/>
              <w:bottom w:val="single" w:sz="4" w:space="0" w:color="auto"/>
              <w:right w:val="nil"/>
            </w:tcBorders>
          </w:tcPr>
          <w:p w14:paraId="270A8CA0" w14:textId="77777777" w:rsidR="005B7BDC" w:rsidRPr="007D59D9" w:rsidRDefault="005B7BDC" w:rsidP="00427528">
            <w:pPr>
              <w:ind w:left="0" w:firstLine="0"/>
              <w:rPr>
                <w:sz w:val="18"/>
                <w:szCs w:val="18"/>
              </w:rPr>
            </w:pPr>
          </w:p>
        </w:tc>
      </w:tr>
      <w:tr w:rsidR="005B7BDC" w:rsidRPr="007D59D9" w14:paraId="7394A9F9" w14:textId="77777777">
        <w:tc>
          <w:tcPr>
            <w:tcW w:w="2070" w:type="dxa"/>
            <w:tcBorders>
              <w:top w:val="single" w:sz="4" w:space="0" w:color="auto"/>
            </w:tcBorders>
          </w:tcPr>
          <w:p w14:paraId="522C980D" w14:textId="77777777" w:rsidR="005B7BDC" w:rsidRPr="007D59D9" w:rsidRDefault="005B7BDC" w:rsidP="00427528">
            <w:pPr>
              <w:ind w:left="0" w:firstLine="0"/>
              <w:rPr>
                <w:sz w:val="18"/>
                <w:szCs w:val="18"/>
              </w:rPr>
            </w:pPr>
            <w:r>
              <w:rPr>
                <w:sz w:val="18"/>
                <w:szCs w:val="18"/>
              </w:rPr>
              <w:t>Total p</w:t>
            </w:r>
            <w:r w:rsidRPr="007D59D9">
              <w:rPr>
                <w:sz w:val="18"/>
                <w:szCs w:val="18"/>
              </w:rPr>
              <w:t>ayment for inputs</w:t>
            </w:r>
          </w:p>
        </w:tc>
        <w:tc>
          <w:tcPr>
            <w:tcW w:w="1665" w:type="dxa"/>
            <w:tcBorders>
              <w:top w:val="single" w:sz="4" w:space="0" w:color="auto"/>
            </w:tcBorders>
          </w:tcPr>
          <w:p w14:paraId="13D2040A" w14:textId="77777777" w:rsidR="005B7BDC" w:rsidRPr="007D59D9" w:rsidRDefault="005B7BDC" w:rsidP="003643CE">
            <w:pPr>
              <w:ind w:left="0" w:firstLine="0"/>
              <w:jc w:val="right"/>
              <w:rPr>
                <w:sz w:val="18"/>
                <w:szCs w:val="18"/>
              </w:rPr>
            </w:pPr>
            <w:r>
              <w:rPr>
                <w:sz w:val="18"/>
                <w:szCs w:val="18"/>
              </w:rPr>
              <w:t>0</w:t>
            </w:r>
          </w:p>
        </w:tc>
        <w:tc>
          <w:tcPr>
            <w:tcW w:w="1665" w:type="dxa"/>
            <w:tcBorders>
              <w:top w:val="single" w:sz="4" w:space="0" w:color="auto"/>
            </w:tcBorders>
          </w:tcPr>
          <w:p w14:paraId="7AF1BAE3" w14:textId="77777777" w:rsidR="005B7BDC" w:rsidRPr="007D59D9" w:rsidRDefault="005B7BDC" w:rsidP="003643CE">
            <w:pPr>
              <w:ind w:left="0" w:firstLine="0"/>
              <w:jc w:val="right"/>
              <w:rPr>
                <w:sz w:val="18"/>
                <w:szCs w:val="18"/>
              </w:rPr>
            </w:pPr>
            <w:r>
              <w:rPr>
                <w:sz w:val="18"/>
                <w:szCs w:val="18"/>
              </w:rPr>
              <w:t>220</w:t>
            </w:r>
          </w:p>
        </w:tc>
        <w:tc>
          <w:tcPr>
            <w:tcW w:w="1665" w:type="dxa"/>
            <w:tcBorders>
              <w:top w:val="single" w:sz="4" w:space="0" w:color="auto"/>
            </w:tcBorders>
          </w:tcPr>
          <w:p w14:paraId="269B8CB4" w14:textId="77777777" w:rsidR="005B7BDC" w:rsidRPr="007D59D9" w:rsidRDefault="005B7BDC" w:rsidP="003643CE">
            <w:pPr>
              <w:ind w:left="0" w:firstLine="0"/>
              <w:jc w:val="right"/>
              <w:rPr>
                <w:sz w:val="18"/>
                <w:szCs w:val="18"/>
              </w:rPr>
            </w:pPr>
            <w:r>
              <w:rPr>
                <w:sz w:val="18"/>
                <w:szCs w:val="18"/>
              </w:rPr>
              <w:t>330</w:t>
            </w:r>
          </w:p>
        </w:tc>
        <w:tc>
          <w:tcPr>
            <w:tcW w:w="1665" w:type="dxa"/>
            <w:tcBorders>
              <w:top w:val="single" w:sz="4" w:space="0" w:color="auto"/>
            </w:tcBorders>
          </w:tcPr>
          <w:p w14:paraId="3871A125" w14:textId="77777777" w:rsidR="005B7BDC" w:rsidRPr="007D59D9" w:rsidRDefault="005B7BDC" w:rsidP="003643CE">
            <w:pPr>
              <w:ind w:left="0" w:firstLine="0"/>
              <w:jc w:val="right"/>
              <w:rPr>
                <w:sz w:val="18"/>
                <w:szCs w:val="18"/>
              </w:rPr>
            </w:pPr>
            <w:r>
              <w:rPr>
                <w:sz w:val="18"/>
                <w:szCs w:val="18"/>
              </w:rPr>
              <w:t>385</w:t>
            </w:r>
          </w:p>
        </w:tc>
        <w:tc>
          <w:tcPr>
            <w:tcW w:w="5490" w:type="dxa"/>
            <w:vMerge w:val="restart"/>
            <w:tcBorders>
              <w:top w:val="single" w:sz="4" w:space="0" w:color="auto"/>
            </w:tcBorders>
          </w:tcPr>
          <w:p w14:paraId="7A3FD46A"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Total value added across all stages of production: 200+100+50 = 350</w:t>
            </w:r>
          </w:p>
          <w:p w14:paraId="7DC4EDC0"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Total VAT remitted to government: 20+30+35 = 85</w:t>
            </w:r>
          </w:p>
          <w:p w14:paraId="06E1D9B6"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Total VAT refundable to businesses: 20+30 = 50</w:t>
            </w:r>
          </w:p>
          <w:p w14:paraId="2169D171"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 xml:space="preserve">Net VAT revenues to </w:t>
            </w:r>
            <w:proofErr w:type="gramStart"/>
            <w:r>
              <w:rPr>
                <w:sz w:val="18"/>
                <w:szCs w:val="18"/>
              </w:rPr>
              <w:t>government</w:t>
            </w:r>
            <w:proofErr w:type="gramEnd"/>
            <w:r>
              <w:rPr>
                <w:sz w:val="18"/>
                <w:szCs w:val="18"/>
              </w:rPr>
              <w:t>: 85-50 = 35</w:t>
            </w:r>
          </w:p>
        </w:tc>
      </w:tr>
      <w:tr w:rsidR="005B7BDC" w:rsidRPr="007D59D9" w14:paraId="58EE513E" w14:textId="77777777">
        <w:tc>
          <w:tcPr>
            <w:tcW w:w="2070" w:type="dxa"/>
          </w:tcPr>
          <w:p w14:paraId="2949B211" w14:textId="77777777" w:rsidR="005B7BDC" w:rsidRPr="007D59D9" w:rsidRDefault="005B7BDC" w:rsidP="00427528">
            <w:pPr>
              <w:ind w:left="0" w:firstLine="0"/>
              <w:rPr>
                <w:sz w:val="18"/>
                <w:szCs w:val="18"/>
              </w:rPr>
            </w:pPr>
            <w:r>
              <w:rPr>
                <w:sz w:val="18"/>
                <w:szCs w:val="18"/>
              </w:rPr>
              <w:t>Refundable VAT in inputs</w:t>
            </w:r>
          </w:p>
        </w:tc>
        <w:tc>
          <w:tcPr>
            <w:tcW w:w="1665" w:type="dxa"/>
          </w:tcPr>
          <w:p w14:paraId="0B40EC5A" w14:textId="77777777" w:rsidR="005B7BDC" w:rsidRPr="007D59D9" w:rsidRDefault="005B7BDC" w:rsidP="003643CE">
            <w:pPr>
              <w:ind w:left="0" w:firstLine="0"/>
              <w:jc w:val="right"/>
              <w:rPr>
                <w:sz w:val="18"/>
                <w:szCs w:val="18"/>
              </w:rPr>
            </w:pPr>
            <w:r>
              <w:rPr>
                <w:sz w:val="18"/>
                <w:szCs w:val="18"/>
              </w:rPr>
              <w:t>0</w:t>
            </w:r>
          </w:p>
        </w:tc>
        <w:tc>
          <w:tcPr>
            <w:tcW w:w="1665" w:type="dxa"/>
          </w:tcPr>
          <w:p w14:paraId="54B7F8AF" w14:textId="77777777" w:rsidR="005B7BDC" w:rsidRPr="007D59D9" w:rsidRDefault="005B7BDC" w:rsidP="003643CE">
            <w:pPr>
              <w:ind w:left="0" w:firstLine="0"/>
              <w:jc w:val="right"/>
              <w:rPr>
                <w:sz w:val="18"/>
                <w:szCs w:val="18"/>
              </w:rPr>
            </w:pPr>
            <w:r>
              <w:rPr>
                <w:sz w:val="18"/>
                <w:szCs w:val="18"/>
              </w:rPr>
              <w:t>20</w:t>
            </w:r>
          </w:p>
        </w:tc>
        <w:tc>
          <w:tcPr>
            <w:tcW w:w="1665" w:type="dxa"/>
          </w:tcPr>
          <w:p w14:paraId="30CC300F" w14:textId="77777777" w:rsidR="005B7BDC" w:rsidRPr="007D59D9" w:rsidRDefault="005B7BDC" w:rsidP="003643CE">
            <w:pPr>
              <w:ind w:left="0" w:firstLine="0"/>
              <w:jc w:val="right"/>
              <w:rPr>
                <w:sz w:val="18"/>
                <w:szCs w:val="18"/>
              </w:rPr>
            </w:pPr>
            <w:r>
              <w:rPr>
                <w:sz w:val="18"/>
                <w:szCs w:val="18"/>
              </w:rPr>
              <w:t>30</w:t>
            </w:r>
          </w:p>
        </w:tc>
        <w:tc>
          <w:tcPr>
            <w:tcW w:w="1665" w:type="dxa"/>
          </w:tcPr>
          <w:p w14:paraId="245C8B2A" w14:textId="77777777" w:rsidR="005B7BDC" w:rsidRPr="007D59D9" w:rsidRDefault="005B7BDC" w:rsidP="003643CE">
            <w:pPr>
              <w:ind w:left="0" w:firstLine="0"/>
              <w:jc w:val="right"/>
              <w:rPr>
                <w:sz w:val="18"/>
                <w:szCs w:val="18"/>
              </w:rPr>
            </w:pPr>
          </w:p>
        </w:tc>
        <w:tc>
          <w:tcPr>
            <w:tcW w:w="5490" w:type="dxa"/>
            <w:vMerge/>
          </w:tcPr>
          <w:p w14:paraId="0D538A53" w14:textId="77777777" w:rsidR="005B7BDC" w:rsidRPr="007D59D9" w:rsidRDefault="005B7BDC" w:rsidP="00427528">
            <w:pPr>
              <w:ind w:left="0" w:firstLine="0"/>
              <w:rPr>
                <w:sz w:val="18"/>
                <w:szCs w:val="18"/>
              </w:rPr>
            </w:pPr>
          </w:p>
        </w:tc>
      </w:tr>
      <w:tr w:rsidR="005B7BDC" w:rsidRPr="007D59D9" w14:paraId="3C4295E6" w14:textId="77777777">
        <w:tc>
          <w:tcPr>
            <w:tcW w:w="2070" w:type="dxa"/>
          </w:tcPr>
          <w:p w14:paraId="49AF8F1D" w14:textId="77777777" w:rsidR="005B7BDC" w:rsidRPr="007D59D9" w:rsidRDefault="005B7BDC" w:rsidP="00427528">
            <w:pPr>
              <w:ind w:left="0" w:firstLine="0"/>
              <w:rPr>
                <w:sz w:val="18"/>
                <w:szCs w:val="18"/>
              </w:rPr>
            </w:pPr>
            <w:r>
              <w:rPr>
                <w:sz w:val="18"/>
                <w:szCs w:val="18"/>
              </w:rPr>
              <w:t>Value added at this stage</w:t>
            </w:r>
          </w:p>
        </w:tc>
        <w:tc>
          <w:tcPr>
            <w:tcW w:w="1665" w:type="dxa"/>
          </w:tcPr>
          <w:p w14:paraId="6F123256" w14:textId="77777777" w:rsidR="005B7BDC" w:rsidRPr="007D59D9" w:rsidRDefault="005B7BDC" w:rsidP="003643CE">
            <w:pPr>
              <w:ind w:left="0" w:firstLine="0"/>
              <w:jc w:val="right"/>
              <w:rPr>
                <w:sz w:val="18"/>
                <w:szCs w:val="18"/>
              </w:rPr>
            </w:pPr>
            <w:r>
              <w:rPr>
                <w:sz w:val="18"/>
                <w:szCs w:val="18"/>
              </w:rPr>
              <w:t>200</w:t>
            </w:r>
          </w:p>
        </w:tc>
        <w:tc>
          <w:tcPr>
            <w:tcW w:w="1665" w:type="dxa"/>
          </w:tcPr>
          <w:p w14:paraId="2821EF2D" w14:textId="77777777" w:rsidR="005B7BDC" w:rsidRPr="007D59D9" w:rsidRDefault="005B7BDC" w:rsidP="003643CE">
            <w:pPr>
              <w:ind w:left="0" w:firstLine="0"/>
              <w:jc w:val="right"/>
              <w:rPr>
                <w:sz w:val="18"/>
                <w:szCs w:val="18"/>
              </w:rPr>
            </w:pPr>
            <w:r>
              <w:rPr>
                <w:sz w:val="18"/>
                <w:szCs w:val="18"/>
              </w:rPr>
              <w:t>100</w:t>
            </w:r>
          </w:p>
        </w:tc>
        <w:tc>
          <w:tcPr>
            <w:tcW w:w="1665" w:type="dxa"/>
          </w:tcPr>
          <w:p w14:paraId="38E15469" w14:textId="77777777" w:rsidR="005B7BDC" w:rsidRPr="007D59D9" w:rsidRDefault="005B7BDC" w:rsidP="003643CE">
            <w:pPr>
              <w:ind w:left="0" w:firstLine="0"/>
              <w:jc w:val="right"/>
              <w:rPr>
                <w:sz w:val="18"/>
                <w:szCs w:val="18"/>
              </w:rPr>
            </w:pPr>
            <w:r>
              <w:rPr>
                <w:sz w:val="18"/>
                <w:szCs w:val="18"/>
              </w:rPr>
              <w:t>50</w:t>
            </w:r>
          </w:p>
        </w:tc>
        <w:tc>
          <w:tcPr>
            <w:tcW w:w="1665" w:type="dxa"/>
          </w:tcPr>
          <w:p w14:paraId="3770096D" w14:textId="77777777" w:rsidR="005B7BDC" w:rsidRPr="007D59D9" w:rsidRDefault="005B7BDC" w:rsidP="003643CE">
            <w:pPr>
              <w:ind w:left="0" w:firstLine="0"/>
              <w:jc w:val="right"/>
              <w:rPr>
                <w:sz w:val="18"/>
                <w:szCs w:val="18"/>
              </w:rPr>
            </w:pPr>
          </w:p>
        </w:tc>
        <w:tc>
          <w:tcPr>
            <w:tcW w:w="5490" w:type="dxa"/>
            <w:vMerge/>
          </w:tcPr>
          <w:p w14:paraId="602666CC" w14:textId="77777777" w:rsidR="005B7BDC" w:rsidRPr="007D59D9" w:rsidRDefault="005B7BDC" w:rsidP="00427528">
            <w:pPr>
              <w:ind w:left="0" w:firstLine="0"/>
              <w:rPr>
                <w:sz w:val="18"/>
                <w:szCs w:val="18"/>
              </w:rPr>
            </w:pPr>
          </w:p>
        </w:tc>
      </w:tr>
      <w:tr w:rsidR="005B7BDC" w:rsidRPr="007D59D9" w14:paraId="115D1FA9" w14:textId="77777777">
        <w:tc>
          <w:tcPr>
            <w:tcW w:w="2070" w:type="dxa"/>
          </w:tcPr>
          <w:p w14:paraId="617D60B5" w14:textId="77777777" w:rsidR="005B7BDC" w:rsidRDefault="005B7BDC" w:rsidP="00427528">
            <w:pPr>
              <w:ind w:left="0" w:firstLine="0"/>
              <w:rPr>
                <w:sz w:val="18"/>
                <w:szCs w:val="18"/>
              </w:rPr>
            </w:pPr>
            <w:r>
              <w:rPr>
                <w:sz w:val="18"/>
                <w:szCs w:val="18"/>
              </w:rPr>
              <w:t>Preliminary selling price</w:t>
            </w:r>
          </w:p>
        </w:tc>
        <w:tc>
          <w:tcPr>
            <w:tcW w:w="1665" w:type="dxa"/>
          </w:tcPr>
          <w:p w14:paraId="21F3FCE3" w14:textId="77777777" w:rsidR="005B7BDC" w:rsidRDefault="005B7BDC" w:rsidP="003643CE">
            <w:pPr>
              <w:ind w:left="0" w:firstLine="0"/>
              <w:jc w:val="right"/>
              <w:rPr>
                <w:sz w:val="18"/>
                <w:szCs w:val="18"/>
              </w:rPr>
            </w:pPr>
            <w:r>
              <w:rPr>
                <w:sz w:val="18"/>
                <w:szCs w:val="18"/>
              </w:rPr>
              <w:t>200</w:t>
            </w:r>
          </w:p>
        </w:tc>
        <w:tc>
          <w:tcPr>
            <w:tcW w:w="1665" w:type="dxa"/>
          </w:tcPr>
          <w:p w14:paraId="283950FB" w14:textId="77777777" w:rsidR="005B7BDC" w:rsidRDefault="005B7BDC" w:rsidP="003643CE">
            <w:pPr>
              <w:ind w:left="0" w:firstLine="0"/>
              <w:jc w:val="right"/>
              <w:rPr>
                <w:sz w:val="18"/>
                <w:szCs w:val="18"/>
              </w:rPr>
            </w:pPr>
            <w:r>
              <w:rPr>
                <w:sz w:val="18"/>
                <w:szCs w:val="18"/>
              </w:rPr>
              <w:t>(220-</w:t>
            </w:r>
            <w:proofErr w:type="gramStart"/>
            <w:r>
              <w:rPr>
                <w:sz w:val="18"/>
                <w:szCs w:val="18"/>
              </w:rPr>
              <w:t>20)+</w:t>
            </w:r>
            <w:proofErr w:type="gramEnd"/>
            <w:r>
              <w:rPr>
                <w:sz w:val="18"/>
                <w:szCs w:val="18"/>
              </w:rPr>
              <w:t>100 = 300</w:t>
            </w:r>
          </w:p>
        </w:tc>
        <w:tc>
          <w:tcPr>
            <w:tcW w:w="1665" w:type="dxa"/>
          </w:tcPr>
          <w:p w14:paraId="39E46FB8" w14:textId="77777777" w:rsidR="005B7BDC" w:rsidRDefault="005B7BDC" w:rsidP="003643CE">
            <w:pPr>
              <w:ind w:left="0" w:firstLine="0"/>
              <w:jc w:val="right"/>
              <w:rPr>
                <w:sz w:val="18"/>
                <w:szCs w:val="18"/>
              </w:rPr>
            </w:pPr>
            <w:r>
              <w:rPr>
                <w:sz w:val="18"/>
                <w:szCs w:val="18"/>
              </w:rPr>
              <w:t>(330-</w:t>
            </w:r>
            <w:proofErr w:type="gramStart"/>
            <w:r>
              <w:rPr>
                <w:sz w:val="18"/>
                <w:szCs w:val="18"/>
              </w:rPr>
              <w:t>30)+</w:t>
            </w:r>
            <w:proofErr w:type="gramEnd"/>
            <w:r>
              <w:rPr>
                <w:sz w:val="18"/>
                <w:szCs w:val="18"/>
              </w:rPr>
              <w:t>50 = 350</w:t>
            </w:r>
          </w:p>
        </w:tc>
        <w:tc>
          <w:tcPr>
            <w:tcW w:w="1665" w:type="dxa"/>
          </w:tcPr>
          <w:p w14:paraId="0B9ECB13" w14:textId="77777777" w:rsidR="005B7BDC" w:rsidRPr="007D59D9" w:rsidRDefault="005B7BDC" w:rsidP="003643CE">
            <w:pPr>
              <w:ind w:left="0" w:firstLine="0"/>
              <w:jc w:val="right"/>
              <w:rPr>
                <w:sz w:val="18"/>
                <w:szCs w:val="18"/>
              </w:rPr>
            </w:pPr>
          </w:p>
        </w:tc>
        <w:tc>
          <w:tcPr>
            <w:tcW w:w="5490" w:type="dxa"/>
            <w:vMerge/>
          </w:tcPr>
          <w:p w14:paraId="65E15A96" w14:textId="77777777" w:rsidR="005B7BDC" w:rsidRPr="007D59D9" w:rsidRDefault="005B7BDC" w:rsidP="00427528">
            <w:pPr>
              <w:ind w:left="0" w:firstLine="0"/>
              <w:rPr>
                <w:sz w:val="18"/>
                <w:szCs w:val="18"/>
              </w:rPr>
            </w:pPr>
          </w:p>
        </w:tc>
      </w:tr>
      <w:tr w:rsidR="005B7BDC" w:rsidRPr="007D59D9" w14:paraId="5DB83D63" w14:textId="77777777">
        <w:tc>
          <w:tcPr>
            <w:tcW w:w="2070" w:type="dxa"/>
          </w:tcPr>
          <w:p w14:paraId="3C9450D7" w14:textId="77777777" w:rsidR="005B7BDC" w:rsidRPr="007D59D9" w:rsidRDefault="005B7BDC" w:rsidP="00427528">
            <w:pPr>
              <w:ind w:left="0" w:firstLine="0"/>
              <w:rPr>
                <w:sz w:val="18"/>
                <w:szCs w:val="18"/>
              </w:rPr>
            </w:pPr>
            <w:r>
              <w:rPr>
                <w:sz w:val="18"/>
                <w:szCs w:val="18"/>
              </w:rPr>
              <w:t>VAT charged to customer</w:t>
            </w:r>
          </w:p>
        </w:tc>
        <w:tc>
          <w:tcPr>
            <w:tcW w:w="1665" w:type="dxa"/>
          </w:tcPr>
          <w:p w14:paraId="20EE15A9" w14:textId="77777777" w:rsidR="005B7BDC" w:rsidRPr="007D59D9" w:rsidRDefault="005B7BDC" w:rsidP="003643CE">
            <w:pPr>
              <w:ind w:left="0" w:firstLine="0"/>
              <w:jc w:val="right"/>
              <w:rPr>
                <w:sz w:val="18"/>
                <w:szCs w:val="18"/>
              </w:rPr>
            </w:pPr>
            <w:r>
              <w:rPr>
                <w:sz w:val="18"/>
                <w:szCs w:val="18"/>
              </w:rPr>
              <w:t>10%*200 = 20</w:t>
            </w:r>
          </w:p>
        </w:tc>
        <w:tc>
          <w:tcPr>
            <w:tcW w:w="1665" w:type="dxa"/>
          </w:tcPr>
          <w:p w14:paraId="68C1A7CB" w14:textId="77777777" w:rsidR="005B7BDC" w:rsidRPr="007D59D9" w:rsidRDefault="005B7BDC" w:rsidP="003643CE">
            <w:pPr>
              <w:ind w:left="0" w:firstLine="0"/>
              <w:jc w:val="right"/>
              <w:rPr>
                <w:sz w:val="18"/>
                <w:szCs w:val="18"/>
              </w:rPr>
            </w:pPr>
            <w:r>
              <w:rPr>
                <w:sz w:val="18"/>
                <w:szCs w:val="18"/>
              </w:rPr>
              <w:t>10%*300 = 30</w:t>
            </w:r>
          </w:p>
        </w:tc>
        <w:tc>
          <w:tcPr>
            <w:tcW w:w="1665" w:type="dxa"/>
          </w:tcPr>
          <w:p w14:paraId="684F07D0" w14:textId="77777777" w:rsidR="005B7BDC" w:rsidRPr="007D59D9" w:rsidRDefault="005B7BDC" w:rsidP="003643CE">
            <w:pPr>
              <w:ind w:left="0" w:firstLine="0"/>
              <w:jc w:val="right"/>
              <w:rPr>
                <w:sz w:val="18"/>
                <w:szCs w:val="18"/>
              </w:rPr>
            </w:pPr>
            <w:r>
              <w:rPr>
                <w:sz w:val="18"/>
                <w:szCs w:val="18"/>
              </w:rPr>
              <w:t>10%*(300+50) = 35</w:t>
            </w:r>
          </w:p>
        </w:tc>
        <w:tc>
          <w:tcPr>
            <w:tcW w:w="1665" w:type="dxa"/>
          </w:tcPr>
          <w:p w14:paraId="3AEB9413" w14:textId="77777777" w:rsidR="005B7BDC" w:rsidRPr="007D59D9" w:rsidRDefault="005B7BDC" w:rsidP="003643CE">
            <w:pPr>
              <w:ind w:left="0" w:firstLine="0"/>
              <w:jc w:val="right"/>
              <w:rPr>
                <w:sz w:val="18"/>
                <w:szCs w:val="18"/>
              </w:rPr>
            </w:pPr>
          </w:p>
        </w:tc>
        <w:tc>
          <w:tcPr>
            <w:tcW w:w="5490" w:type="dxa"/>
            <w:vMerge/>
          </w:tcPr>
          <w:p w14:paraId="7A9C6AC0" w14:textId="77777777" w:rsidR="005B7BDC" w:rsidRPr="007D59D9" w:rsidRDefault="005B7BDC" w:rsidP="00427528">
            <w:pPr>
              <w:ind w:left="0" w:firstLine="0"/>
              <w:rPr>
                <w:sz w:val="18"/>
                <w:szCs w:val="18"/>
              </w:rPr>
            </w:pPr>
          </w:p>
        </w:tc>
      </w:tr>
      <w:tr w:rsidR="005B7BDC" w:rsidRPr="007D59D9" w14:paraId="499786C2" w14:textId="77777777">
        <w:tc>
          <w:tcPr>
            <w:tcW w:w="2070" w:type="dxa"/>
            <w:tcBorders>
              <w:bottom w:val="single" w:sz="4" w:space="0" w:color="auto"/>
            </w:tcBorders>
          </w:tcPr>
          <w:p w14:paraId="0017DFB4" w14:textId="77777777" w:rsidR="005B7BDC" w:rsidRPr="007D59D9" w:rsidRDefault="005B7BDC" w:rsidP="00427528">
            <w:pPr>
              <w:ind w:left="0" w:firstLine="0"/>
              <w:rPr>
                <w:sz w:val="18"/>
                <w:szCs w:val="18"/>
              </w:rPr>
            </w:pPr>
            <w:r>
              <w:rPr>
                <w:sz w:val="18"/>
                <w:szCs w:val="18"/>
              </w:rPr>
              <w:t>Selling price</w:t>
            </w:r>
          </w:p>
        </w:tc>
        <w:tc>
          <w:tcPr>
            <w:tcW w:w="1665" w:type="dxa"/>
            <w:tcBorders>
              <w:bottom w:val="single" w:sz="4" w:space="0" w:color="auto"/>
            </w:tcBorders>
          </w:tcPr>
          <w:p w14:paraId="2EED9C9C" w14:textId="77777777" w:rsidR="005B7BDC" w:rsidRPr="007D59D9" w:rsidRDefault="005B7BDC" w:rsidP="003643CE">
            <w:pPr>
              <w:ind w:left="0" w:firstLine="0"/>
              <w:jc w:val="right"/>
              <w:rPr>
                <w:sz w:val="18"/>
                <w:szCs w:val="18"/>
              </w:rPr>
            </w:pPr>
            <w:r>
              <w:rPr>
                <w:sz w:val="18"/>
                <w:szCs w:val="18"/>
              </w:rPr>
              <w:t>220</w:t>
            </w:r>
          </w:p>
        </w:tc>
        <w:tc>
          <w:tcPr>
            <w:tcW w:w="1665" w:type="dxa"/>
            <w:tcBorders>
              <w:bottom w:val="single" w:sz="4" w:space="0" w:color="auto"/>
            </w:tcBorders>
          </w:tcPr>
          <w:p w14:paraId="6C9DEA8E" w14:textId="77777777" w:rsidR="005B7BDC" w:rsidRPr="007D59D9" w:rsidRDefault="005B7BDC" w:rsidP="003643CE">
            <w:pPr>
              <w:ind w:left="0" w:firstLine="0"/>
              <w:jc w:val="right"/>
              <w:rPr>
                <w:sz w:val="18"/>
                <w:szCs w:val="18"/>
              </w:rPr>
            </w:pPr>
            <w:r>
              <w:rPr>
                <w:sz w:val="18"/>
                <w:szCs w:val="18"/>
              </w:rPr>
              <w:t>300+30 = 330</w:t>
            </w:r>
          </w:p>
        </w:tc>
        <w:tc>
          <w:tcPr>
            <w:tcW w:w="1665" w:type="dxa"/>
            <w:tcBorders>
              <w:bottom w:val="single" w:sz="4" w:space="0" w:color="auto"/>
            </w:tcBorders>
          </w:tcPr>
          <w:p w14:paraId="013C47EB" w14:textId="77777777" w:rsidR="005B7BDC" w:rsidRPr="007D59D9" w:rsidRDefault="005B7BDC" w:rsidP="003643CE">
            <w:pPr>
              <w:ind w:left="0" w:firstLine="0"/>
              <w:jc w:val="right"/>
              <w:rPr>
                <w:sz w:val="18"/>
                <w:szCs w:val="18"/>
              </w:rPr>
            </w:pPr>
            <w:r>
              <w:rPr>
                <w:sz w:val="18"/>
                <w:szCs w:val="18"/>
              </w:rPr>
              <w:t>300+50+35 = 385</w:t>
            </w:r>
          </w:p>
        </w:tc>
        <w:tc>
          <w:tcPr>
            <w:tcW w:w="1665" w:type="dxa"/>
            <w:tcBorders>
              <w:bottom w:val="single" w:sz="4" w:space="0" w:color="auto"/>
            </w:tcBorders>
          </w:tcPr>
          <w:p w14:paraId="009FBF71" w14:textId="77777777" w:rsidR="005B7BDC" w:rsidRPr="007D59D9" w:rsidRDefault="005B7BDC" w:rsidP="003643CE">
            <w:pPr>
              <w:ind w:left="0" w:firstLine="0"/>
              <w:jc w:val="right"/>
              <w:rPr>
                <w:sz w:val="18"/>
                <w:szCs w:val="18"/>
              </w:rPr>
            </w:pPr>
          </w:p>
        </w:tc>
        <w:tc>
          <w:tcPr>
            <w:tcW w:w="5490" w:type="dxa"/>
            <w:vMerge/>
            <w:tcBorders>
              <w:bottom w:val="single" w:sz="4" w:space="0" w:color="auto"/>
            </w:tcBorders>
          </w:tcPr>
          <w:p w14:paraId="0B8006F4" w14:textId="77777777" w:rsidR="005B7BDC" w:rsidRPr="007D59D9" w:rsidRDefault="005B7BDC" w:rsidP="00427528">
            <w:pPr>
              <w:ind w:left="0" w:firstLine="0"/>
              <w:rPr>
                <w:sz w:val="18"/>
                <w:szCs w:val="18"/>
              </w:rPr>
            </w:pPr>
          </w:p>
        </w:tc>
      </w:tr>
      <w:tr w:rsidR="005B7BDC" w:rsidRPr="0003745B" w14:paraId="1065C47F" w14:textId="77777777" w:rsidTr="0003745B">
        <w:trPr>
          <w:trHeight w:val="144"/>
        </w:trPr>
        <w:tc>
          <w:tcPr>
            <w:tcW w:w="2070" w:type="dxa"/>
            <w:tcBorders>
              <w:top w:val="single" w:sz="4" w:space="0" w:color="auto"/>
              <w:left w:val="nil"/>
              <w:bottom w:val="nil"/>
              <w:right w:val="nil"/>
            </w:tcBorders>
          </w:tcPr>
          <w:p w14:paraId="55198FF2" w14:textId="77777777" w:rsidR="005B7BDC" w:rsidRPr="0003745B" w:rsidRDefault="005B7BDC" w:rsidP="00427528">
            <w:pPr>
              <w:ind w:left="0" w:firstLine="0"/>
              <w:rPr>
                <w:sz w:val="12"/>
                <w:szCs w:val="12"/>
              </w:rPr>
            </w:pPr>
          </w:p>
        </w:tc>
        <w:tc>
          <w:tcPr>
            <w:tcW w:w="1665" w:type="dxa"/>
            <w:tcBorders>
              <w:top w:val="single" w:sz="4" w:space="0" w:color="auto"/>
              <w:left w:val="nil"/>
              <w:bottom w:val="nil"/>
              <w:right w:val="nil"/>
            </w:tcBorders>
          </w:tcPr>
          <w:p w14:paraId="50B424FC" w14:textId="77777777" w:rsidR="005B7BDC" w:rsidRPr="0003745B" w:rsidRDefault="005B7BDC" w:rsidP="00427528">
            <w:pPr>
              <w:ind w:left="0" w:firstLine="0"/>
              <w:jc w:val="center"/>
              <w:rPr>
                <w:sz w:val="12"/>
                <w:szCs w:val="12"/>
              </w:rPr>
            </w:pPr>
          </w:p>
        </w:tc>
        <w:tc>
          <w:tcPr>
            <w:tcW w:w="1665" w:type="dxa"/>
            <w:tcBorders>
              <w:top w:val="single" w:sz="4" w:space="0" w:color="auto"/>
              <w:left w:val="nil"/>
              <w:bottom w:val="nil"/>
              <w:right w:val="nil"/>
            </w:tcBorders>
          </w:tcPr>
          <w:p w14:paraId="29FBAADE" w14:textId="77777777" w:rsidR="005B7BDC" w:rsidRPr="0003745B" w:rsidRDefault="005B7BDC" w:rsidP="00427528">
            <w:pPr>
              <w:ind w:left="0" w:firstLine="0"/>
              <w:jc w:val="center"/>
              <w:rPr>
                <w:sz w:val="12"/>
                <w:szCs w:val="12"/>
              </w:rPr>
            </w:pPr>
          </w:p>
        </w:tc>
        <w:tc>
          <w:tcPr>
            <w:tcW w:w="1665" w:type="dxa"/>
            <w:tcBorders>
              <w:top w:val="single" w:sz="4" w:space="0" w:color="auto"/>
              <w:left w:val="nil"/>
              <w:bottom w:val="nil"/>
              <w:right w:val="nil"/>
            </w:tcBorders>
          </w:tcPr>
          <w:p w14:paraId="36D6DFE4" w14:textId="77777777" w:rsidR="005B7BDC" w:rsidRPr="0003745B" w:rsidRDefault="005B7BDC" w:rsidP="00427528">
            <w:pPr>
              <w:ind w:left="0" w:firstLine="0"/>
              <w:jc w:val="center"/>
              <w:rPr>
                <w:sz w:val="12"/>
                <w:szCs w:val="12"/>
              </w:rPr>
            </w:pPr>
          </w:p>
        </w:tc>
        <w:tc>
          <w:tcPr>
            <w:tcW w:w="1665" w:type="dxa"/>
            <w:tcBorders>
              <w:top w:val="single" w:sz="4" w:space="0" w:color="auto"/>
              <w:left w:val="nil"/>
              <w:bottom w:val="nil"/>
              <w:right w:val="nil"/>
            </w:tcBorders>
          </w:tcPr>
          <w:p w14:paraId="6C57EE1D" w14:textId="77777777" w:rsidR="005B7BDC" w:rsidRPr="0003745B" w:rsidRDefault="005B7BDC" w:rsidP="00427528">
            <w:pPr>
              <w:ind w:left="0" w:firstLine="0"/>
              <w:jc w:val="center"/>
              <w:rPr>
                <w:sz w:val="12"/>
                <w:szCs w:val="12"/>
              </w:rPr>
            </w:pPr>
          </w:p>
        </w:tc>
        <w:tc>
          <w:tcPr>
            <w:tcW w:w="5490" w:type="dxa"/>
            <w:tcBorders>
              <w:top w:val="single" w:sz="4" w:space="0" w:color="auto"/>
              <w:left w:val="nil"/>
              <w:bottom w:val="nil"/>
              <w:right w:val="nil"/>
            </w:tcBorders>
          </w:tcPr>
          <w:p w14:paraId="0456C8E6" w14:textId="77777777" w:rsidR="005B7BDC" w:rsidRPr="0003745B" w:rsidRDefault="005B7BDC" w:rsidP="00427528">
            <w:pPr>
              <w:ind w:left="0" w:firstLine="0"/>
              <w:rPr>
                <w:sz w:val="12"/>
                <w:szCs w:val="12"/>
              </w:rPr>
            </w:pPr>
          </w:p>
        </w:tc>
      </w:tr>
      <w:tr w:rsidR="005B7BDC" w:rsidRPr="007D59D9" w14:paraId="04CBD36C" w14:textId="77777777">
        <w:tc>
          <w:tcPr>
            <w:tcW w:w="8730" w:type="dxa"/>
            <w:gridSpan w:val="5"/>
            <w:tcBorders>
              <w:top w:val="nil"/>
              <w:left w:val="nil"/>
              <w:bottom w:val="single" w:sz="4" w:space="0" w:color="auto"/>
              <w:right w:val="nil"/>
            </w:tcBorders>
          </w:tcPr>
          <w:p w14:paraId="2B3004AB" w14:textId="77777777" w:rsidR="005B7BDC" w:rsidRPr="007D59D9" w:rsidRDefault="005B7BDC" w:rsidP="00427528">
            <w:pPr>
              <w:ind w:left="0" w:firstLine="0"/>
              <w:rPr>
                <w:sz w:val="18"/>
                <w:szCs w:val="18"/>
              </w:rPr>
            </w:pPr>
            <w:r w:rsidRPr="002D5EEA">
              <w:rPr>
                <w:b/>
                <w:bCs/>
                <w:sz w:val="18"/>
                <w:szCs w:val="18"/>
                <w:u w:val="single"/>
              </w:rPr>
              <w:t>Scenario 3</w:t>
            </w:r>
            <w:r>
              <w:rPr>
                <w:b/>
                <w:bCs/>
                <w:sz w:val="18"/>
                <w:szCs w:val="18"/>
                <w:u w:val="single"/>
              </w:rPr>
              <w:t>: Standard 10% VAT applied at each stage of the supply chain with final stage exempted</w:t>
            </w:r>
          </w:p>
        </w:tc>
        <w:tc>
          <w:tcPr>
            <w:tcW w:w="5490" w:type="dxa"/>
            <w:tcBorders>
              <w:top w:val="nil"/>
              <w:left w:val="nil"/>
              <w:bottom w:val="single" w:sz="4" w:space="0" w:color="auto"/>
              <w:right w:val="nil"/>
            </w:tcBorders>
          </w:tcPr>
          <w:p w14:paraId="6C2FE75D" w14:textId="77777777" w:rsidR="005B7BDC" w:rsidRPr="007D59D9" w:rsidRDefault="005B7BDC" w:rsidP="00427528">
            <w:pPr>
              <w:ind w:left="0" w:firstLine="0"/>
              <w:rPr>
                <w:sz w:val="18"/>
                <w:szCs w:val="18"/>
              </w:rPr>
            </w:pPr>
          </w:p>
        </w:tc>
      </w:tr>
      <w:tr w:rsidR="005B7BDC" w:rsidRPr="007D59D9" w14:paraId="01E07F18" w14:textId="77777777">
        <w:tc>
          <w:tcPr>
            <w:tcW w:w="2070" w:type="dxa"/>
            <w:tcBorders>
              <w:top w:val="single" w:sz="4" w:space="0" w:color="auto"/>
            </w:tcBorders>
          </w:tcPr>
          <w:p w14:paraId="1A7A9ACC" w14:textId="77777777" w:rsidR="005B7BDC" w:rsidRPr="007D59D9" w:rsidRDefault="005B7BDC" w:rsidP="00427528">
            <w:pPr>
              <w:ind w:left="0" w:firstLine="0"/>
              <w:rPr>
                <w:sz w:val="18"/>
                <w:szCs w:val="18"/>
              </w:rPr>
            </w:pPr>
            <w:r>
              <w:rPr>
                <w:sz w:val="18"/>
                <w:szCs w:val="18"/>
              </w:rPr>
              <w:t>Total p</w:t>
            </w:r>
            <w:r w:rsidRPr="007D59D9">
              <w:rPr>
                <w:sz w:val="18"/>
                <w:szCs w:val="18"/>
              </w:rPr>
              <w:t>ayment for inputs</w:t>
            </w:r>
          </w:p>
        </w:tc>
        <w:tc>
          <w:tcPr>
            <w:tcW w:w="1665" w:type="dxa"/>
            <w:tcBorders>
              <w:top w:val="single" w:sz="4" w:space="0" w:color="auto"/>
            </w:tcBorders>
          </w:tcPr>
          <w:p w14:paraId="6C913F4D" w14:textId="77777777" w:rsidR="005B7BDC" w:rsidRPr="007D59D9" w:rsidRDefault="005B7BDC" w:rsidP="003643CE">
            <w:pPr>
              <w:ind w:left="0" w:firstLine="0"/>
              <w:jc w:val="right"/>
              <w:rPr>
                <w:sz w:val="18"/>
                <w:szCs w:val="18"/>
              </w:rPr>
            </w:pPr>
            <w:r>
              <w:rPr>
                <w:sz w:val="18"/>
                <w:szCs w:val="18"/>
              </w:rPr>
              <w:t>0</w:t>
            </w:r>
          </w:p>
        </w:tc>
        <w:tc>
          <w:tcPr>
            <w:tcW w:w="1665" w:type="dxa"/>
            <w:tcBorders>
              <w:top w:val="single" w:sz="4" w:space="0" w:color="auto"/>
            </w:tcBorders>
          </w:tcPr>
          <w:p w14:paraId="1B3659D9" w14:textId="77777777" w:rsidR="005B7BDC" w:rsidRPr="007D59D9" w:rsidRDefault="005B7BDC" w:rsidP="003643CE">
            <w:pPr>
              <w:ind w:left="0" w:firstLine="0"/>
              <w:jc w:val="right"/>
              <w:rPr>
                <w:sz w:val="18"/>
                <w:szCs w:val="18"/>
              </w:rPr>
            </w:pPr>
            <w:r>
              <w:rPr>
                <w:sz w:val="18"/>
                <w:szCs w:val="18"/>
              </w:rPr>
              <w:t>220</w:t>
            </w:r>
          </w:p>
        </w:tc>
        <w:tc>
          <w:tcPr>
            <w:tcW w:w="1665" w:type="dxa"/>
            <w:tcBorders>
              <w:top w:val="single" w:sz="4" w:space="0" w:color="auto"/>
            </w:tcBorders>
          </w:tcPr>
          <w:p w14:paraId="0F218A77" w14:textId="77777777" w:rsidR="005B7BDC" w:rsidRPr="007D59D9" w:rsidRDefault="005B7BDC" w:rsidP="003643CE">
            <w:pPr>
              <w:ind w:left="0" w:firstLine="0"/>
              <w:jc w:val="right"/>
              <w:rPr>
                <w:sz w:val="18"/>
                <w:szCs w:val="18"/>
              </w:rPr>
            </w:pPr>
            <w:r>
              <w:rPr>
                <w:sz w:val="18"/>
                <w:szCs w:val="18"/>
              </w:rPr>
              <w:t>330</w:t>
            </w:r>
          </w:p>
        </w:tc>
        <w:tc>
          <w:tcPr>
            <w:tcW w:w="1665" w:type="dxa"/>
            <w:tcBorders>
              <w:top w:val="single" w:sz="4" w:space="0" w:color="auto"/>
            </w:tcBorders>
          </w:tcPr>
          <w:p w14:paraId="14C9A64A" w14:textId="77777777" w:rsidR="005B7BDC" w:rsidRPr="007D59D9" w:rsidRDefault="005B7BDC" w:rsidP="003643CE">
            <w:pPr>
              <w:ind w:left="0" w:firstLine="0"/>
              <w:jc w:val="right"/>
              <w:rPr>
                <w:sz w:val="18"/>
                <w:szCs w:val="18"/>
              </w:rPr>
            </w:pPr>
            <w:r>
              <w:rPr>
                <w:sz w:val="18"/>
                <w:szCs w:val="18"/>
              </w:rPr>
              <w:t>380</w:t>
            </w:r>
          </w:p>
        </w:tc>
        <w:tc>
          <w:tcPr>
            <w:tcW w:w="5490" w:type="dxa"/>
            <w:vMerge w:val="restart"/>
            <w:tcBorders>
              <w:top w:val="single" w:sz="4" w:space="0" w:color="auto"/>
            </w:tcBorders>
          </w:tcPr>
          <w:p w14:paraId="16FD1B0F"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Total value added across all stages of production: 200+100+50 = 350</w:t>
            </w:r>
          </w:p>
          <w:p w14:paraId="0703CE71"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Total VAT remitted to government: 20+30 = 50</w:t>
            </w:r>
          </w:p>
          <w:p w14:paraId="38137D2C"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Total VAT refundable to businesses: 20</w:t>
            </w:r>
          </w:p>
          <w:p w14:paraId="5EB5DCB2"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Net VAT revenues to government: 50-20 = 30</w:t>
            </w:r>
          </w:p>
        </w:tc>
      </w:tr>
      <w:tr w:rsidR="005B7BDC" w:rsidRPr="007D59D9" w14:paraId="635E0238" w14:textId="77777777">
        <w:tc>
          <w:tcPr>
            <w:tcW w:w="2070" w:type="dxa"/>
          </w:tcPr>
          <w:p w14:paraId="1C787AD0" w14:textId="77777777" w:rsidR="005B7BDC" w:rsidRPr="007D59D9" w:rsidRDefault="005B7BDC" w:rsidP="00427528">
            <w:pPr>
              <w:ind w:left="0" w:firstLine="0"/>
              <w:rPr>
                <w:sz w:val="18"/>
                <w:szCs w:val="18"/>
              </w:rPr>
            </w:pPr>
            <w:r>
              <w:rPr>
                <w:sz w:val="18"/>
                <w:szCs w:val="18"/>
              </w:rPr>
              <w:t>Refundable VAT in inputs</w:t>
            </w:r>
          </w:p>
        </w:tc>
        <w:tc>
          <w:tcPr>
            <w:tcW w:w="1665" w:type="dxa"/>
          </w:tcPr>
          <w:p w14:paraId="550C2ECB" w14:textId="77777777" w:rsidR="005B7BDC" w:rsidRPr="007D59D9" w:rsidRDefault="005B7BDC" w:rsidP="003643CE">
            <w:pPr>
              <w:ind w:left="0" w:firstLine="0"/>
              <w:jc w:val="right"/>
              <w:rPr>
                <w:sz w:val="18"/>
                <w:szCs w:val="18"/>
              </w:rPr>
            </w:pPr>
            <w:r>
              <w:rPr>
                <w:sz w:val="18"/>
                <w:szCs w:val="18"/>
              </w:rPr>
              <w:t>0</w:t>
            </w:r>
          </w:p>
        </w:tc>
        <w:tc>
          <w:tcPr>
            <w:tcW w:w="1665" w:type="dxa"/>
          </w:tcPr>
          <w:p w14:paraId="4F6BF930" w14:textId="77777777" w:rsidR="005B7BDC" w:rsidRPr="007D59D9" w:rsidRDefault="005B7BDC" w:rsidP="003643CE">
            <w:pPr>
              <w:ind w:left="0" w:firstLine="0"/>
              <w:jc w:val="right"/>
              <w:rPr>
                <w:sz w:val="18"/>
                <w:szCs w:val="18"/>
              </w:rPr>
            </w:pPr>
            <w:r>
              <w:rPr>
                <w:sz w:val="18"/>
                <w:szCs w:val="18"/>
              </w:rPr>
              <w:t>20</w:t>
            </w:r>
          </w:p>
        </w:tc>
        <w:tc>
          <w:tcPr>
            <w:tcW w:w="1665" w:type="dxa"/>
          </w:tcPr>
          <w:p w14:paraId="7C437F4D" w14:textId="77777777" w:rsidR="005B7BDC" w:rsidRPr="007D59D9" w:rsidRDefault="005B7BDC" w:rsidP="003643CE">
            <w:pPr>
              <w:ind w:left="0" w:firstLine="0"/>
              <w:jc w:val="right"/>
              <w:rPr>
                <w:sz w:val="18"/>
                <w:szCs w:val="18"/>
              </w:rPr>
            </w:pPr>
            <w:r>
              <w:rPr>
                <w:sz w:val="18"/>
                <w:szCs w:val="18"/>
              </w:rPr>
              <w:t>Not eligible</w:t>
            </w:r>
          </w:p>
        </w:tc>
        <w:tc>
          <w:tcPr>
            <w:tcW w:w="1665" w:type="dxa"/>
          </w:tcPr>
          <w:p w14:paraId="44779725" w14:textId="77777777" w:rsidR="005B7BDC" w:rsidRPr="007D59D9" w:rsidRDefault="005B7BDC" w:rsidP="003643CE">
            <w:pPr>
              <w:ind w:left="0" w:firstLine="0"/>
              <w:jc w:val="right"/>
              <w:rPr>
                <w:sz w:val="18"/>
                <w:szCs w:val="18"/>
              </w:rPr>
            </w:pPr>
          </w:p>
        </w:tc>
        <w:tc>
          <w:tcPr>
            <w:tcW w:w="5490" w:type="dxa"/>
            <w:vMerge/>
          </w:tcPr>
          <w:p w14:paraId="3AEE4F1E" w14:textId="77777777" w:rsidR="005B7BDC" w:rsidRPr="007D59D9" w:rsidRDefault="005B7BDC" w:rsidP="00427528">
            <w:pPr>
              <w:ind w:left="0" w:firstLine="0"/>
              <w:rPr>
                <w:sz w:val="18"/>
                <w:szCs w:val="18"/>
              </w:rPr>
            </w:pPr>
          </w:p>
        </w:tc>
      </w:tr>
      <w:tr w:rsidR="005B7BDC" w:rsidRPr="007D59D9" w14:paraId="6CFFADD3" w14:textId="77777777">
        <w:tc>
          <w:tcPr>
            <w:tcW w:w="2070" w:type="dxa"/>
          </w:tcPr>
          <w:p w14:paraId="288813C2" w14:textId="77777777" w:rsidR="005B7BDC" w:rsidRPr="007D59D9" w:rsidRDefault="005B7BDC" w:rsidP="00427528">
            <w:pPr>
              <w:ind w:left="0" w:firstLine="0"/>
              <w:rPr>
                <w:sz w:val="18"/>
                <w:szCs w:val="18"/>
              </w:rPr>
            </w:pPr>
            <w:r>
              <w:rPr>
                <w:sz w:val="18"/>
                <w:szCs w:val="18"/>
              </w:rPr>
              <w:t>Value added at this stage</w:t>
            </w:r>
          </w:p>
        </w:tc>
        <w:tc>
          <w:tcPr>
            <w:tcW w:w="1665" w:type="dxa"/>
          </w:tcPr>
          <w:p w14:paraId="076AC528" w14:textId="77777777" w:rsidR="005B7BDC" w:rsidRPr="007D59D9" w:rsidRDefault="005B7BDC" w:rsidP="003643CE">
            <w:pPr>
              <w:ind w:left="0" w:firstLine="0"/>
              <w:jc w:val="right"/>
              <w:rPr>
                <w:sz w:val="18"/>
                <w:szCs w:val="18"/>
              </w:rPr>
            </w:pPr>
            <w:r>
              <w:rPr>
                <w:sz w:val="18"/>
                <w:szCs w:val="18"/>
              </w:rPr>
              <w:t>200</w:t>
            </w:r>
          </w:p>
        </w:tc>
        <w:tc>
          <w:tcPr>
            <w:tcW w:w="1665" w:type="dxa"/>
          </w:tcPr>
          <w:p w14:paraId="261A548B" w14:textId="77777777" w:rsidR="005B7BDC" w:rsidRPr="007D59D9" w:rsidRDefault="005B7BDC" w:rsidP="003643CE">
            <w:pPr>
              <w:ind w:left="0" w:firstLine="0"/>
              <w:jc w:val="right"/>
              <w:rPr>
                <w:sz w:val="18"/>
                <w:szCs w:val="18"/>
              </w:rPr>
            </w:pPr>
            <w:r>
              <w:rPr>
                <w:sz w:val="18"/>
                <w:szCs w:val="18"/>
              </w:rPr>
              <w:t>100</w:t>
            </w:r>
          </w:p>
        </w:tc>
        <w:tc>
          <w:tcPr>
            <w:tcW w:w="1665" w:type="dxa"/>
          </w:tcPr>
          <w:p w14:paraId="5B2A1723" w14:textId="77777777" w:rsidR="005B7BDC" w:rsidRPr="007D59D9" w:rsidRDefault="005B7BDC" w:rsidP="003643CE">
            <w:pPr>
              <w:ind w:left="0" w:firstLine="0"/>
              <w:jc w:val="right"/>
              <w:rPr>
                <w:sz w:val="18"/>
                <w:szCs w:val="18"/>
              </w:rPr>
            </w:pPr>
            <w:r>
              <w:rPr>
                <w:sz w:val="18"/>
                <w:szCs w:val="18"/>
              </w:rPr>
              <w:t>50</w:t>
            </w:r>
          </w:p>
        </w:tc>
        <w:tc>
          <w:tcPr>
            <w:tcW w:w="1665" w:type="dxa"/>
          </w:tcPr>
          <w:p w14:paraId="78C66DDB" w14:textId="77777777" w:rsidR="005B7BDC" w:rsidRPr="007D59D9" w:rsidRDefault="005B7BDC" w:rsidP="003643CE">
            <w:pPr>
              <w:ind w:left="0" w:firstLine="0"/>
              <w:jc w:val="right"/>
              <w:rPr>
                <w:sz w:val="18"/>
                <w:szCs w:val="18"/>
              </w:rPr>
            </w:pPr>
          </w:p>
        </w:tc>
        <w:tc>
          <w:tcPr>
            <w:tcW w:w="5490" w:type="dxa"/>
            <w:vMerge/>
          </w:tcPr>
          <w:p w14:paraId="6F716A16" w14:textId="77777777" w:rsidR="005B7BDC" w:rsidRPr="007D59D9" w:rsidRDefault="005B7BDC" w:rsidP="00427528">
            <w:pPr>
              <w:ind w:left="0" w:firstLine="0"/>
              <w:rPr>
                <w:sz w:val="18"/>
                <w:szCs w:val="18"/>
              </w:rPr>
            </w:pPr>
          </w:p>
        </w:tc>
      </w:tr>
      <w:tr w:rsidR="005B7BDC" w:rsidRPr="007D59D9" w14:paraId="12AA8EB0" w14:textId="77777777">
        <w:tc>
          <w:tcPr>
            <w:tcW w:w="2070" w:type="dxa"/>
          </w:tcPr>
          <w:p w14:paraId="27BC5DC8" w14:textId="77777777" w:rsidR="005B7BDC" w:rsidRDefault="005B7BDC" w:rsidP="00427528">
            <w:pPr>
              <w:ind w:left="0" w:firstLine="0"/>
              <w:rPr>
                <w:sz w:val="18"/>
                <w:szCs w:val="18"/>
              </w:rPr>
            </w:pPr>
            <w:r>
              <w:rPr>
                <w:sz w:val="18"/>
                <w:szCs w:val="18"/>
              </w:rPr>
              <w:t>Preliminary selling price</w:t>
            </w:r>
          </w:p>
        </w:tc>
        <w:tc>
          <w:tcPr>
            <w:tcW w:w="1665" w:type="dxa"/>
          </w:tcPr>
          <w:p w14:paraId="00668B51" w14:textId="77777777" w:rsidR="005B7BDC" w:rsidRDefault="005B7BDC" w:rsidP="003643CE">
            <w:pPr>
              <w:ind w:left="0" w:firstLine="0"/>
              <w:jc w:val="right"/>
              <w:rPr>
                <w:sz w:val="18"/>
                <w:szCs w:val="18"/>
              </w:rPr>
            </w:pPr>
            <w:r>
              <w:rPr>
                <w:sz w:val="18"/>
                <w:szCs w:val="18"/>
              </w:rPr>
              <w:t>200</w:t>
            </w:r>
          </w:p>
        </w:tc>
        <w:tc>
          <w:tcPr>
            <w:tcW w:w="1665" w:type="dxa"/>
          </w:tcPr>
          <w:p w14:paraId="78FB44BD" w14:textId="77777777" w:rsidR="005B7BDC" w:rsidRDefault="005B7BDC" w:rsidP="003643CE">
            <w:pPr>
              <w:ind w:left="0" w:firstLine="0"/>
              <w:jc w:val="right"/>
              <w:rPr>
                <w:sz w:val="18"/>
                <w:szCs w:val="18"/>
              </w:rPr>
            </w:pPr>
            <w:r>
              <w:rPr>
                <w:sz w:val="18"/>
                <w:szCs w:val="18"/>
              </w:rPr>
              <w:t>(220-</w:t>
            </w:r>
            <w:proofErr w:type="gramStart"/>
            <w:r>
              <w:rPr>
                <w:sz w:val="18"/>
                <w:szCs w:val="18"/>
              </w:rPr>
              <w:t>20)+</w:t>
            </w:r>
            <w:proofErr w:type="gramEnd"/>
            <w:r>
              <w:rPr>
                <w:sz w:val="18"/>
                <w:szCs w:val="18"/>
              </w:rPr>
              <w:t>100 = 300</w:t>
            </w:r>
          </w:p>
        </w:tc>
        <w:tc>
          <w:tcPr>
            <w:tcW w:w="1665" w:type="dxa"/>
          </w:tcPr>
          <w:p w14:paraId="5A890E35" w14:textId="77777777" w:rsidR="005B7BDC" w:rsidRDefault="005B7BDC" w:rsidP="003643CE">
            <w:pPr>
              <w:ind w:left="0" w:firstLine="0"/>
              <w:jc w:val="right"/>
              <w:rPr>
                <w:sz w:val="18"/>
                <w:szCs w:val="18"/>
              </w:rPr>
            </w:pPr>
            <w:r>
              <w:rPr>
                <w:sz w:val="18"/>
                <w:szCs w:val="18"/>
              </w:rPr>
              <w:t>330+50 = 380</w:t>
            </w:r>
          </w:p>
        </w:tc>
        <w:tc>
          <w:tcPr>
            <w:tcW w:w="1665" w:type="dxa"/>
          </w:tcPr>
          <w:p w14:paraId="56F2DFBE" w14:textId="77777777" w:rsidR="005B7BDC" w:rsidRPr="007D59D9" w:rsidRDefault="005B7BDC" w:rsidP="003643CE">
            <w:pPr>
              <w:ind w:left="0" w:firstLine="0"/>
              <w:jc w:val="right"/>
              <w:rPr>
                <w:sz w:val="18"/>
                <w:szCs w:val="18"/>
              </w:rPr>
            </w:pPr>
          </w:p>
        </w:tc>
        <w:tc>
          <w:tcPr>
            <w:tcW w:w="5490" w:type="dxa"/>
            <w:vMerge/>
          </w:tcPr>
          <w:p w14:paraId="3E7E69B8" w14:textId="77777777" w:rsidR="005B7BDC" w:rsidRPr="007D59D9" w:rsidRDefault="005B7BDC" w:rsidP="00427528">
            <w:pPr>
              <w:ind w:left="0" w:firstLine="0"/>
              <w:rPr>
                <w:sz w:val="18"/>
                <w:szCs w:val="18"/>
              </w:rPr>
            </w:pPr>
          </w:p>
        </w:tc>
      </w:tr>
      <w:tr w:rsidR="005B7BDC" w:rsidRPr="007D59D9" w14:paraId="28F01CD7" w14:textId="77777777">
        <w:tc>
          <w:tcPr>
            <w:tcW w:w="2070" w:type="dxa"/>
          </w:tcPr>
          <w:p w14:paraId="3430BD6C" w14:textId="77777777" w:rsidR="005B7BDC" w:rsidRPr="007D59D9" w:rsidRDefault="005B7BDC" w:rsidP="00427528">
            <w:pPr>
              <w:ind w:left="0" w:firstLine="0"/>
              <w:rPr>
                <w:sz w:val="18"/>
                <w:szCs w:val="18"/>
              </w:rPr>
            </w:pPr>
            <w:r>
              <w:rPr>
                <w:sz w:val="18"/>
                <w:szCs w:val="18"/>
              </w:rPr>
              <w:t>VAT charged to customer</w:t>
            </w:r>
          </w:p>
        </w:tc>
        <w:tc>
          <w:tcPr>
            <w:tcW w:w="1665" w:type="dxa"/>
          </w:tcPr>
          <w:p w14:paraId="4CDF96A6" w14:textId="77777777" w:rsidR="005B7BDC" w:rsidRPr="007D59D9" w:rsidRDefault="005B7BDC" w:rsidP="003643CE">
            <w:pPr>
              <w:ind w:left="0" w:firstLine="0"/>
              <w:jc w:val="right"/>
              <w:rPr>
                <w:sz w:val="18"/>
                <w:szCs w:val="18"/>
              </w:rPr>
            </w:pPr>
            <w:r>
              <w:rPr>
                <w:sz w:val="18"/>
                <w:szCs w:val="18"/>
              </w:rPr>
              <w:t>10%*200 = 20</w:t>
            </w:r>
          </w:p>
        </w:tc>
        <w:tc>
          <w:tcPr>
            <w:tcW w:w="1665" w:type="dxa"/>
          </w:tcPr>
          <w:p w14:paraId="38A343E9" w14:textId="77777777" w:rsidR="005B7BDC" w:rsidRPr="007D59D9" w:rsidRDefault="005B7BDC" w:rsidP="003643CE">
            <w:pPr>
              <w:ind w:left="0" w:firstLine="0"/>
              <w:jc w:val="right"/>
              <w:rPr>
                <w:sz w:val="18"/>
                <w:szCs w:val="18"/>
              </w:rPr>
            </w:pPr>
            <w:r>
              <w:rPr>
                <w:sz w:val="18"/>
                <w:szCs w:val="18"/>
              </w:rPr>
              <w:t>10%*300 = 30</w:t>
            </w:r>
          </w:p>
        </w:tc>
        <w:tc>
          <w:tcPr>
            <w:tcW w:w="1665" w:type="dxa"/>
          </w:tcPr>
          <w:p w14:paraId="6A7100CF" w14:textId="77777777" w:rsidR="005B7BDC" w:rsidRPr="007D59D9" w:rsidRDefault="005B7BDC" w:rsidP="003643CE">
            <w:pPr>
              <w:ind w:left="0" w:firstLine="0"/>
              <w:jc w:val="right"/>
              <w:rPr>
                <w:sz w:val="18"/>
                <w:szCs w:val="18"/>
              </w:rPr>
            </w:pPr>
            <w:r>
              <w:rPr>
                <w:sz w:val="18"/>
                <w:szCs w:val="18"/>
              </w:rPr>
              <w:t>None</w:t>
            </w:r>
          </w:p>
        </w:tc>
        <w:tc>
          <w:tcPr>
            <w:tcW w:w="1665" w:type="dxa"/>
          </w:tcPr>
          <w:p w14:paraId="0C38E3C3" w14:textId="77777777" w:rsidR="005B7BDC" w:rsidRPr="007D59D9" w:rsidRDefault="005B7BDC" w:rsidP="003643CE">
            <w:pPr>
              <w:ind w:left="0" w:firstLine="0"/>
              <w:jc w:val="right"/>
              <w:rPr>
                <w:sz w:val="18"/>
                <w:szCs w:val="18"/>
              </w:rPr>
            </w:pPr>
          </w:p>
        </w:tc>
        <w:tc>
          <w:tcPr>
            <w:tcW w:w="5490" w:type="dxa"/>
            <w:vMerge/>
          </w:tcPr>
          <w:p w14:paraId="7D866C27" w14:textId="77777777" w:rsidR="005B7BDC" w:rsidRPr="007D59D9" w:rsidRDefault="005B7BDC" w:rsidP="00427528">
            <w:pPr>
              <w:ind w:left="0" w:firstLine="0"/>
              <w:rPr>
                <w:sz w:val="18"/>
                <w:szCs w:val="18"/>
              </w:rPr>
            </w:pPr>
          </w:p>
        </w:tc>
      </w:tr>
      <w:tr w:rsidR="005B7BDC" w:rsidRPr="007D59D9" w14:paraId="57A2CEC9" w14:textId="77777777">
        <w:tc>
          <w:tcPr>
            <w:tcW w:w="2070" w:type="dxa"/>
            <w:tcBorders>
              <w:bottom w:val="single" w:sz="4" w:space="0" w:color="auto"/>
            </w:tcBorders>
          </w:tcPr>
          <w:p w14:paraId="1E8F2392" w14:textId="77777777" w:rsidR="005B7BDC" w:rsidRPr="007D59D9" w:rsidRDefault="005B7BDC" w:rsidP="00427528">
            <w:pPr>
              <w:ind w:left="0" w:firstLine="0"/>
              <w:rPr>
                <w:sz w:val="18"/>
                <w:szCs w:val="18"/>
              </w:rPr>
            </w:pPr>
            <w:r>
              <w:rPr>
                <w:sz w:val="18"/>
                <w:szCs w:val="18"/>
              </w:rPr>
              <w:t>Selling price</w:t>
            </w:r>
          </w:p>
        </w:tc>
        <w:tc>
          <w:tcPr>
            <w:tcW w:w="1665" w:type="dxa"/>
            <w:tcBorders>
              <w:bottom w:val="single" w:sz="4" w:space="0" w:color="auto"/>
            </w:tcBorders>
          </w:tcPr>
          <w:p w14:paraId="74546C1B" w14:textId="77777777" w:rsidR="005B7BDC" w:rsidRPr="007D59D9" w:rsidRDefault="005B7BDC" w:rsidP="003643CE">
            <w:pPr>
              <w:ind w:left="0" w:firstLine="0"/>
              <w:jc w:val="right"/>
              <w:rPr>
                <w:sz w:val="18"/>
                <w:szCs w:val="18"/>
              </w:rPr>
            </w:pPr>
            <w:r>
              <w:rPr>
                <w:sz w:val="18"/>
                <w:szCs w:val="18"/>
              </w:rPr>
              <w:t>220</w:t>
            </w:r>
          </w:p>
        </w:tc>
        <w:tc>
          <w:tcPr>
            <w:tcW w:w="1665" w:type="dxa"/>
            <w:tcBorders>
              <w:bottom w:val="single" w:sz="4" w:space="0" w:color="auto"/>
            </w:tcBorders>
          </w:tcPr>
          <w:p w14:paraId="65C4405E" w14:textId="77777777" w:rsidR="005B7BDC" w:rsidRPr="007D59D9" w:rsidRDefault="005B7BDC" w:rsidP="003643CE">
            <w:pPr>
              <w:ind w:left="0" w:firstLine="0"/>
              <w:jc w:val="right"/>
              <w:rPr>
                <w:sz w:val="18"/>
                <w:szCs w:val="18"/>
              </w:rPr>
            </w:pPr>
            <w:r>
              <w:rPr>
                <w:sz w:val="18"/>
                <w:szCs w:val="18"/>
              </w:rPr>
              <w:t>300+30 = 330</w:t>
            </w:r>
          </w:p>
        </w:tc>
        <w:tc>
          <w:tcPr>
            <w:tcW w:w="1665" w:type="dxa"/>
            <w:tcBorders>
              <w:bottom w:val="single" w:sz="4" w:space="0" w:color="auto"/>
            </w:tcBorders>
          </w:tcPr>
          <w:p w14:paraId="34E63A07" w14:textId="77777777" w:rsidR="005B7BDC" w:rsidRPr="007D59D9" w:rsidRDefault="005B7BDC" w:rsidP="003643CE">
            <w:pPr>
              <w:ind w:left="0" w:firstLine="0"/>
              <w:jc w:val="right"/>
              <w:rPr>
                <w:sz w:val="18"/>
                <w:szCs w:val="18"/>
              </w:rPr>
            </w:pPr>
            <w:r>
              <w:rPr>
                <w:sz w:val="18"/>
                <w:szCs w:val="18"/>
              </w:rPr>
              <w:t>380</w:t>
            </w:r>
          </w:p>
        </w:tc>
        <w:tc>
          <w:tcPr>
            <w:tcW w:w="1665" w:type="dxa"/>
            <w:tcBorders>
              <w:bottom w:val="single" w:sz="4" w:space="0" w:color="auto"/>
            </w:tcBorders>
          </w:tcPr>
          <w:p w14:paraId="7F4CFD40" w14:textId="77777777" w:rsidR="005B7BDC" w:rsidRPr="007D59D9" w:rsidRDefault="005B7BDC" w:rsidP="003643CE">
            <w:pPr>
              <w:ind w:left="0" w:firstLine="0"/>
              <w:jc w:val="right"/>
              <w:rPr>
                <w:sz w:val="18"/>
                <w:szCs w:val="18"/>
              </w:rPr>
            </w:pPr>
          </w:p>
        </w:tc>
        <w:tc>
          <w:tcPr>
            <w:tcW w:w="5490" w:type="dxa"/>
            <w:vMerge/>
            <w:tcBorders>
              <w:bottom w:val="single" w:sz="4" w:space="0" w:color="auto"/>
            </w:tcBorders>
          </w:tcPr>
          <w:p w14:paraId="479C70DE" w14:textId="77777777" w:rsidR="005B7BDC" w:rsidRPr="007D59D9" w:rsidRDefault="005B7BDC" w:rsidP="00427528">
            <w:pPr>
              <w:ind w:left="0" w:firstLine="0"/>
              <w:rPr>
                <w:sz w:val="18"/>
                <w:szCs w:val="18"/>
              </w:rPr>
            </w:pPr>
          </w:p>
        </w:tc>
      </w:tr>
      <w:tr w:rsidR="005B7BDC" w:rsidRPr="0003745B" w14:paraId="37C2645A" w14:textId="77777777">
        <w:tc>
          <w:tcPr>
            <w:tcW w:w="2070" w:type="dxa"/>
            <w:tcBorders>
              <w:top w:val="single" w:sz="4" w:space="0" w:color="auto"/>
              <w:left w:val="nil"/>
              <w:bottom w:val="nil"/>
              <w:right w:val="nil"/>
            </w:tcBorders>
          </w:tcPr>
          <w:p w14:paraId="1BE3E291" w14:textId="77777777" w:rsidR="005B7BDC" w:rsidRPr="0003745B" w:rsidRDefault="005B7BDC" w:rsidP="00427528">
            <w:pPr>
              <w:ind w:left="0" w:firstLine="0"/>
              <w:rPr>
                <w:sz w:val="12"/>
                <w:szCs w:val="12"/>
              </w:rPr>
            </w:pPr>
          </w:p>
        </w:tc>
        <w:tc>
          <w:tcPr>
            <w:tcW w:w="1665" w:type="dxa"/>
            <w:tcBorders>
              <w:top w:val="single" w:sz="4" w:space="0" w:color="auto"/>
              <w:left w:val="nil"/>
              <w:bottom w:val="nil"/>
              <w:right w:val="nil"/>
            </w:tcBorders>
          </w:tcPr>
          <w:p w14:paraId="10779D96" w14:textId="77777777" w:rsidR="005B7BDC" w:rsidRPr="0003745B" w:rsidRDefault="005B7BDC" w:rsidP="00427528">
            <w:pPr>
              <w:ind w:left="0" w:firstLine="0"/>
              <w:jc w:val="center"/>
              <w:rPr>
                <w:sz w:val="12"/>
                <w:szCs w:val="12"/>
              </w:rPr>
            </w:pPr>
          </w:p>
        </w:tc>
        <w:tc>
          <w:tcPr>
            <w:tcW w:w="1665" w:type="dxa"/>
            <w:tcBorders>
              <w:top w:val="single" w:sz="4" w:space="0" w:color="auto"/>
              <w:left w:val="nil"/>
              <w:bottom w:val="nil"/>
              <w:right w:val="nil"/>
            </w:tcBorders>
          </w:tcPr>
          <w:p w14:paraId="57E52CDA" w14:textId="77777777" w:rsidR="005B7BDC" w:rsidRPr="0003745B" w:rsidRDefault="005B7BDC" w:rsidP="00427528">
            <w:pPr>
              <w:ind w:left="0" w:firstLine="0"/>
              <w:jc w:val="center"/>
              <w:rPr>
                <w:sz w:val="12"/>
                <w:szCs w:val="12"/>
              </w:rPr>
            </w:pPr>
          </w:p>
        </w:tc>
        <w:tc>
          <w:tcPr>
            <w:tcW w:w="1665" w:type="dxa"/>
            <w:tcBorders>
              <w:top w:val="single" w:sz="4" w:space="0" w:color="auto"/>
              <w:left w:val="nil"/>
              <w:bottom w:val="nil"/>
              <w:right w:val="nil"/>
            </w:tcBorders>
          </w:tcPr>
          <w:p w14:paraId="0DF68B3A" w14:textId="77777777" w:rsidR="005B7BDC" w:rsidRPr="0003745B" w:rsidRDefault="005B7BDC" w:rsidP="00427528">
            <w:pPr>
              <w:ind w:left="0" w:firstLine="0"/>
              <w:jc w:val="center"/>
              <w:rPr>
                <w:sz w:val="12"/>
                <w:szCs w:val="12"/>
              </w:rPr>
            </w:pPr>
          </w:p>
        </w:tc>
        <w:tc>
          <w:tcPr>
            <w:tcW w:w="1665" w:type="dxa"/>
            <w:tcBorders>
              <w:top w:val="single" w:sz="4" w:space="0" w:color="auto"/>
              <w:left w:val="nil"/>
              <w:bottom w:val="nil"/>
              <w:right w:val="nil"/>
            </w:tcBorders>
          </w:tcPr>
          <w:p w14:paraId="4647F65A" w14:textId="77777777" w:rsidR="005B7BDC" w:rsidRPr="0003745B" w:rsidRDefault="005B7BDC" w:rsidP="00427528">
            <w:pPr>
              <w:ind w:left="0" w:firstLine="0"/>
              <w:jc w:val="center"/>
              <w:rPr>
                <w:sz w:val="12"/>
                <w:szCs w:val="12"/>
              </w:rPr>
            </w:pPr>
          </w:p>
        </w:tc>
        <w:tc>
          <w:tcPr>
            <w:tcW w:w="5490" w:type="dxa"/>
            <w:tcBorders>
              <w:top w:val="single" w:sz="4" w:space="0" w:color="auto"/>
              <w:left w:val="nil"/>
              <w:bottom w:val="nil"/>
              <w:right w:val="nil"/>
            </w:tcBorders>
          </w:tcPr>
          <w:p w14:paraId="51C2C312" w14:textId="77777777" w:rsidR="005B7BDC" w:rsidRPr="0003745B" w:rsidRDefault="005B7BDC" w:rsidP="00427528">
            <w:pPr>
              <w:ind w:left="0" w:firstLine="0"/>
              <w:rPr>
                <w:sz w:val="12"/>
                <w:szCs w:val="12"/>
              </w:rPr>
            </w:pPr>
          </w:p>
        </w:tc>
      </w:tr>
      <w:tr w:rsidR="005B7BDC" w:rsidRPr="007D59D9" w14:paraId="6A700721" w14:textId="77777777">
        <w:tc>
          <w:tcPr>
            <w:tcW w:w="8730" w:type="dxa"/>
            <w:gridSpan w:val="5"/>
            <w:tcBorders>
              <w:top w:val="nil"/>
              <w:left w:val="nil"/>
              <w:bottom w:val="single" w:sz="4" w:space="0" w:color="auto"/>
              <w:right w:val="nil"/>
            </w:tcBorders>
          </w:tcPr>
          <w:p w14:paraId="3790B03B" w14:textId="77777777" w:rsidR="005B7BDC" w:rsidRPr="007D59D9" w:rsidRDefault="005B7BDC" w:rsidP="00427528">
            <w:pPr>
              <w:ind w:left="0" w:firstLine="0"/>
              <w:rPr>
                <w:sz w:val="18"/>
                <w:szCs w:val="18"/>
              </w:rPr>
            </w:pPr>
            <w:r w:rsidRPr="002D5EEA">
              <w:rPr>
                <w:b/>
                <w:bCs/>
                <w:sz w:val="18"/>
                <w:szCs w:val="18"/>
                <w:u w:val="single"/>
              </w:rPr>
              <w:t>Scenario 4</w:t>
            </w:r>
            <w:r>
              <w:rPr>
                <w:b/>
                <w:bCs/>
                <w:sz w:val="18"/>
                <w:szCs w:val="18"/>
                <w:u w:val="single"/>
              </w:rPr>
              <w:t>: Standard 10% VAT applied at each stage of the supply chain with intermediate stage exempted</w:t>
            </w:r>
          </w:p>
        </w:tc>
        <w:tc>
          <w:tcPr>
            <w:tcW w:w="5490" w:type="dxa"/>
            <w:tcBorders>
              <w:top w:val="nil"/>
              <w:left w:val="nil"/>
              <w:bottom w:val="single" w:sz="4" w:space="0" w:color="auto"/>
              <w:right w:val="nil"/>
            </w:tcBorders>
          </w:tcPr>
          <w:p w14:paraId="44C5919D" w14:textId="77777777" w:rsidR="005B7BDC" w:rsidRPr="007D59D9" w:rsidRDefault="005B7BDC" w:rsidP="00427528">
            <w:pPr>
              <w:ind w:left="0" w:firstLine="0"/>
              <w:rPr>
                <w:sz w:val="18"/>
                <w:szCs w:val="18"/>
              </w:rPr>
            </w:pPr>
          </w:p>
        </w:tc>
      </w:tr>
      <w:tr w:rsidR="005B7BDC" w:rsidRPr="007D59D9" w14:paraId="76B75128" w14:textId="77777777">
        <w:tc>
          <w:tcPr>
            <w:tcW w:w="2070" w:type="dxa"/>
            <w:tcBorders>
              <w:top w:val="single" w:sz="4" w:space="0" w:color="auto"/>
            </w:tcBorders>
          </w:tcPr>
          <w:p w14:paraId="66CE67AF" w14:textId="77777777" w:rsidR="005B7BDC" w:rsidRPr="007D59D9" w:rsidRDefault="005B7BDC" w:rsidP="00427528">
            <w:pPr>
              <w:ind w:left="0" w:firstLine="0"/>
              <w:rPr>
                <w:sz w:val="18"/>
                <w:szCs w:val="18"/>
              </w:rPr>
            </w:pPr>
            <w:r>
              <w:rPr>
                <w:sz w:val="18"/>
                <w:szCs w:val="18"/>
              </w:rPr>
              <w:t>Total p</w:t>
            </w:r>
            <w:r w:rsidRPr="007D59D9">
              <w:rPr>
                <w:sz w:val="18"/>
                <w:szCs w:val="18"/>
              </w:rPr>
              <w:t>ayment for inputs</w:t>
            </w:r>
          </w:p>
        </w:tc>
        <w:tc>
          <w:tcPr>
            <w:tcW w:w="1665" w:type="dxa"/>
            <w:tcBorders>
              <w:top w:val="single" w:sz="4" w:space="0" w:color="auto"/>
            </w:tcBorders>
          </w:tcPr>
          <w:p w14:paraId="176C9798" w14:textId="77777777" w:rsidR="005B7BDC" w:rsidRPr="007D59D9" w:rsidRDefault="005B7BDC" w:rsidP="003643CE">
            <w:pPr>
              <w:ind w:left="0" w:firstLine="0"/>
              <w:jc w:val="right"/>
              <w:rPr>
                <w:sz w:val="18"/>
                <w:szCs w:val="18"/>
              </w:rPr>
            </w:pPr>
            <w:r>
              <w:rPr>
                <w:sz w:val="18"/>
                <w:szCs w:val="18"/>
              </w:rPr>
              <w:t>0</w:t>
            </w:r>
          </w:p>
        </w:tc>
        <w:tc>
          <w:tcPr>
            <w:tcW w:w="1665" w:type="dxa"/>
            <w:tcBorders>
              <w:top w:val="single" w:sz="4" w:space="0" w:color="auto"/>
            </w:tcBorders>
          </w:tcPr>
          <w:p w14:paraId="3C004EBA" w14:textId="77777777" w:rsidR="005B7BDC" w:rsidRPr="007D59D9" w:rsidRDefault="005B7BDC" w:rsidP="003643CE">
            <w:pPr>
              <w:ind w:left="0" w:firstLine="0"/>
              <w:jc w:val="right"/>
              <w:rPr>
                <w:sz w:val="18"/>
                <w:szCs w:val="18"/>
              </w:rPr>
            </w:pPr>
            <w:r>
              <w:rPr>
                <w:sz w:val="18"/>
                <w:szCs w:val="18"/>
              </w:rPr>
              <w:t>220</w:t>
            </w:r>
          </w:p>
        </w:tc>
        <w:tc>
          <w:tcPr>
            <w:tcW w:w="1665" w:type="dxa"/>
            <w:tcBorders>
              <w:top w:val="single" w:sz="4" w:space="0" w:color="auto"/>
            </w:tcBorders>
          </w:tcPr>
          <w:p w14:paraId="72D90B5C" w14:textId="77777777" w:rsidR="005B7BDC" w:rsidRPr="007D59D9" w:rsidRDefault="005B7BDC" w:rsidP="003643CE">
            <w:pPr>
              <w:ind w:left="0" w:firstLine="0"/>
              <w:jc w:val="right"/>
              <w:rPr>
                <w:sz w:val="18"/>
                <w:szCs w:val="18"/>
              </w:rPr>
            </w:pPr>
            <w:r>
              <w:rPr>
                <w:sz w:val="18"/>
                <w:szCs w:val="18"/>
              </w:rPr>
              <w:t>320</w:t>
            </w:r>
          </w:p>
        </w:tc>
        <w:tc>
          <w:tcPr>
            <w:tcW w:w="1665" w:type="dxa"/>
            <w:tcBorders>
              <w:top w:val="single" w:sz="4" w:space="0" w:color="auto"/>
            </w:tcBorders>
          </w:tcPr>
          <w:p w14:paraId="0B95C7CE" w14:textId="77777777" w:rsidR="005B7BDC" w:rsidRPr="007D59D9" w:rsidRDefault="005B7BDC" w:rsidP="003643CE">
            <w:pPr>
              <w:ind w:left="0" w:firstLine="0"/>
              <w:jc w:val="right"/>
              <w:rPr>
                <w:sz w:val="18"/>
                <w:szCs w:val="18"/>
              </w:rPr>
            </w:pPr>
            <w:r>
              <w:rPr>
                <w:sz w:val="18"/>
                <w:szCs w:val="18"/>
              </w:rPr>
              <w:t>407</w:t>
            </w:r>
          </w:p>
        </w:tc>
        <w:tc>
          <w:tcPr>
            <w:tcW w:w="5490" w:type="dxa"/>
            <w:vMerge w:val="restart"/>
            <w:tcBorders>
              <w:top w:val="single" w:sz="4" w:space="0" w:color="auto"/>
            </w:tcBorders>
          </w:tcPr>
          <w:p w14:paraId="0C1ED539"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Total value added across all stages of production: 200+100+50 = 350</w:t>
            </w:r>
          </w:p>
          <w:p w14:paraId="15E6A5B4"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Total VAT remitted to government: 20+37 = 57</w:t>
            </w:r>
          </w:p>
          <w:p w14:paraId="4C6FB47F"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Total VAT refundable to businesses: 0</w:t>
            </w:r>
          </w:p>
          <w:p w14:paraId="746C3843" w14:textId="77777777" w:rsidR="005B7BDC" w:rsidRPr="007D59D9" w:rsidRDefault="005B7BDC" w:rsidP="005B7BDC">
            <w:pPr>
              <w:pStyle w:val="ListParagraph"/>
              <w:numPr>
                <w:ilvl w:val="0"/>
                <w:numId w:val="11"/>
              </w:numPr>
              <w:spacing w:before="40" w:after="40"/>
              <w:ind w:left="332" w:hanging="202"/>
              <w:contextualSpacing w:val="0"/>
              <w:rPr>
                <w:sz w:val="18"/>
                <w:szCs w:val="18"/>
              </w:rPr>
            </w:pPr>
            <w:r>
              <w:rPr>
                <w:sz w:val="18"/>
                <w:szCs w:val="18"/>
              </w:rPr>
              <w:t>Net VAT revenues to government: 57</w:t>
            </w:r>
          </w:p>
        </w:tc>
      </w:tr>
      <w:tr w:rsidR="005B7BDC" w:rsidRPr="007D59D9" w14:paraId="7ACB4C13" w14:textId="77777777">
        <w:tc>
          <w:tcPr>
            <w:tcW w:w="2070" w:type="dxa"/>
          </w:tcPr>
          <w:p w14:paraId="71B15E3E" w14:textId="77777777" w:rsidR="005B7BDC" w:rsidRPr="007D59D9" w:rsidRDefault="005B7BDC" w:rsidP="00427528">
            <w:pPr>
              <w:ind w:left="0" w:firstLine="0"/>
              <w:rPr>
                <w:sz w:val="18"/>
                <w:szCs w:val="18"/>
              </w:rPr>
            </w:pPr>
            <w:r>
              <w:rPr>
                <w:sz w:val="18"/>
                <w:szCs w:val="18"/>
              </w:rPr>
              <w:t>Refundable VAT in inputs</w:t>
            </w:r>
          </w:p>
        </w:tc>
        <w:tc>
          <w:tcPr>
            <w:tcW w:w="1665" w:type="dxa"/>
          </w:tcPr>
          <w:p w14:paraId="3C797453" w14:textId="77777777" w:rsidR="005B7BDC" w:rsidRPr="007D59D9" w:rsidRDefault="005B7BDC" w:rsidP="003643CE">
            <w:pPr>
              <w:ind w:left="0" w:firstLine="0"/>
              <w:jc w:val="right"/>
              <w:rPr>
                <w:sz w:val="18"/>
                <w:szCs w:val="18"/>
              </w:rPr>
            </w:pPr>
            <w:r>
              <w:rPr>
                <w:sz w:val="18"/>
                <w:szCs w:val="18"/>
              </w:rPr>
              <w:t>0</w:t>
            </w:r>
          </w:p>
        </w:tc>
        <w:tc>
          <w:tcPr>
            <w:tcW w:w="1665" w:type="dxa"/>
          </w:tcPr>
          <w:p w14:paraId="1A705B1D" w14:textId="77777777" w:rsidR="005B7BDC" w:rsidRPr="007D59D9" w:rsidRDefault="005B7BDC" w:rsidP="003643CE">
            <w:pPr>
              <w:ind w:left="0" w:firstLine="0"/>
              <w:jc w:val="right"/>
              <w:rPr>
                <w:sz w:val="18"/>
                <w:szCs w:val="18"/>
              </w:rPr>
            </w:pPr>
            <w:r>
              <w:rPr>
                <w:sz w:val="18"/>
                <w:szCs w:val="18"/>
              </w:rPr>
              <w:t>Not eligible</w:t>
            </w:r>
          </w:p>
        </w:tc>
        <w:tc>
          <w:tcPr>
            <w:tcW w:w="1665" w:type="dxa"/>
          </w:tcPr>
          <w:p w14:paraId="63641B89" w14:textId="77777777" w:rsidR="005B7BDC" w:rsidRPr="007D59D9" w:rsidRDefault="005B7BDC" w:rsidP="003643CE">
            <w:pPr>
              <w:ind w:left="0" w:firstLine="0"/>
              <w:jc w:val="right"/>
              <w:rPr>
                <w:sz w:val="18"/>
                <w:szCs w:val="18"/>
              </w:rPr>
            </w:pPr>
            <w:r>
              <w:rPr>
                <w:sz w:val="18"/>
                <w:szCs w:val="18"/>
              </w:rPr>
              <w:t>None</w:t>
            </w:r>
          </w:p>
        </w:tc>
        <w:tc>
          <w:tcPr>
            <w:tcW w:w="1665" w:type="dxa"/>
          </w:tcPr>
          <w:p w14:paraId="128132DC" w14:textId="77777777" w:rsidR="005B7BDC" w:rsidRPr="007D59D9" w:rsidRDefault="005B7BDC" w:rsidP="003643CE">
            <w:pPr>
              <w:ind w:left="0" w:firstLine="0"/>
              <w:jc w:val="right"/>
              <w:rPr>
                <w:sz w:val="18"/>
                <w:szCs w:val="18"/>
              </w:rPr>
            </w:pPr>
          </w:p>
        </w:tc>
        <w:tc>
          <w:tcPr>
            <w:tcW w:w="5490" w:type="dxa"/>
            <w:vMerge/>
          </w:tcPr>
          <w:p w14:paraId="0188DE78" w14:textId="77777777" w:rsidR="005B7BDC" w:rsidRPr="007D59D9" w:rsidRDefault="005B7BDC" w:rsidP="00427528">
            <w:pPr>
              <w:ind w:left="0" w:firstLine="0"/>
              <w:rPr>
                <w:sz w:val="18"/>
                <w:szCs w:val="18"/>
              </w:rPr>
            </w:pPr>
          </w:p>
        </w:tc>
      </w:tr>
      <w:tr w:rsidR="005B7BDC" w:rsidRPr="007D59D9" w14:paraId="7F14FF67" w14:textId="77777777">
        <w:tc>
          <w:tcPr>
            <w:tcW w:w="2070" w:type="dxa"/>
          </w:tcPr>
          <w:p w14:paraId="643274BB" w14:textId="77777777" w:rsidR="005B7BDC" w:rsidRPr="007D59D9" w:rsidRDefault="005B7BDC" w:rsidP="00427528">
            <w:pPr>
              <w:ind w:left="0" w:firstLine="0"/>
              <w:rPr>
                <w:sz w:val="18"/>
                <w:szCs w:val="18"/>
              </w:rPr>
            </w:pPr>
            <w:r>
              <w:rPr>
                <w:sz w:val="18"/>
                <w:szCs w:val="18"/>
              </w:rPr>
              <w:t>Value added at this stage</w:t>
            </w:r>
          </w:p>
        </w:tc>
        <w:tc>
          <w:tcPr>
            <w:tcW w:w="1665" w:type="dxa"/>
          </w:tcPr>
          <w:p w14:paraId="7EB50AAA" w14:textId="77777777" w:rsidR="005B7BDC" w:rsidRPr="007D59D9" w:rsidRDefault="005B7BDC" w:rsidP="003643CE">
            <w:pPr>
              <w:ind w:left="0" w:firstLine="0"/>
              <w:jc w:val="right"/>
              <w:rPr>
                <w:sz w:val="18"/>
                <w:szCs w:val="18"/>
              </w:rPr>
            </w:pPr>
            <w:r>
              <w:rPr>
                <w:sz w:val="18"/>
                <w:szCs w:val="18"/>
              </w:rPr>
              <w:t>200</w:t>
            </w:r>
          </w:p>
        </w:tc>
        <w:tc>
          <w:tcPr>
            <w:tcW w:w="1665" w:type="dxa"/>
          </w:tcPr>
          <w:p w14:paraId="026708B5" w14:textId="77777777" w:rsidR="005B7BDC" w:rsidRPr="007D59D9" w:rsidRDefault="005B7BDC" w:rsidP="003643CE">
            <w:pPr>
              <w:ind w:left="0" w:firstLine="0"/>
              <w:jc w:val="right"/>
              <w:rPr>
                <w:sz w:val="18"/>
                <w:szCs w:val="18"/>
              </w:rPr>
            </w:pPr>
            <w:r>
              <w:rPr>
                <w:sz w:val="18"/>
                <w:szCs w:val="18"/>
              </w:rPr>
              <w:t>100</w:t>
            </w:r>
          </w:p>
        </w:tc>
        <w:tc>
          <w:tcPr>
            <w:tcW w:w="1665" w:type="dxa"/>
          </w:tcPr>
          <w:p w14:paraId="45C5BF6D" w14:textId="77777777" w:rsidR="005B7BDC" w:rsidRPr="007D59D9" w:rsidRDefault="005B7BDC" w:rsidP="003643CE">
            <w:pPr>
              <w:ind w:left="0" w:firstLine="0"/>
              <w:jc w:val="right"/>
              <w:rPr>
                <w:sz w:val="18"/>
                <w:szCs w:val="18"/>
              </w:rPr>
            </w:pPr>
            <w:r>
              <w:rPr>
                <w:sz w:val="18"/>
                <w:szCs w:val="18"/>
              </w:rPr>
              <w:t>50</w:t>
            </w:r>
          </w:p>
        </w:tc>
        <w:tc>
          <w:tcPr>
            <w:tcW w:w="1665" w:type="dxa"/>
          </w:tcPr>
          <w:p w14:paraId="4E4D90DD" w14:textId="77777777" w:rsidR="005B7BDC" w:rsidRPr="007D59D9" w:rsidRDefault="005B7BDC" w:rsidP="003643CE">
            <w:pPr>
              <w:ind w:left="0" w:firstLine="0"/>
              <w:jc w:val="right"/>
              <w:rPr>
                <w:sz w:val="18"/>
                <w:szCs w:val="18"/>
              </w:rPr>
            </w:pPr>
          </w:p>
        </w:tc>
        <w:tc>
          <w:tcPr>
            <w:tcW w:w="5490" w:type="dxa"/>
            <w:vMerge/>
          </w:tcPr>
          <w:p w14:paraId="10BB5E15" w14:textId="77777777" w:rsidR="005B7BDC" w:rsidRPr="007D59D9" w:rsidRDefault="005B7BDC" w:rsidP="00427528">
            <w:pPr>
              <w:ind w:left="0" w:firstLine="0"/>
              <w:rPr>
                <w:sz w:val="18"/>
                <w:szCs w:val="18"/>
              </w:rPr>
            </w:pPr>
          </w:p>
        </w:tc>
      </w:tr>
      <w:tr w:rsidR="005B7BDC" w:rsidRPr="007D59D9" w14:paraId="5EEDA920" w14:textId="77777777">
        <w:tc>
          <w:tcPr>
            <w:tcW w:w="2070" w:type="dxa"/>
          </w:tcPr>
          <w:p w14:paraId="6396FFF6" w14:textId="77777777" w:rsidR="005B7BDC" w:rsidRDefault="005B7BDC" w:rsidP="00427528">
            <w:pPr>
              <w:ind w:left="0" w:firstLine="0"/>
              <w:rPr>
                <w:sz w:val="18"/>
                <w:szCs w:val="18"/>
              </w:rPr>
            </w:pPr>
            <w:r>
              <w:rPr>
                <w:sz w:val="18"/>
                <w:szCs w:val="18"/>
              </w:rPr>
              <w:t>Preliminary selling price</w:t>
            </w:r>
          </w:p>
        </w:tc>
        <w:tc>
          <w:tcPr>
            <w:tcW w:w="1665" w:type="dxa"/>
          </w:tcPr>
          <w:p w14:paraId="32E66FC9" w14:textId="77777777" w:rsidR="005B7BDC" w:rsidRDefault="005B7BDC" w:rsidP="003643CE">
            <w:pPr>
              <w:ind w:left="0" w:firstLine="0"/>
              <w:jc w:val="right"/>
              <w:rPr>
                <w:sz w:val="18"/>
                <w:szCs w:val="18"/>
              </w:rPr>
            </w:pPr>
            <w:r>
              <w:rPr>
                <w:sz w:val="18"/>
                <w:szCs w:val="18"/>
              </w:rPr>
              <w:t>200</w:t>
            </w:r>
          </w:p>
        </w:tc>
        <w:tc>
          <w:tcPr>
            <w:tcW w:w="1665" w:type="dxa"/>
          </w:tcPr>
          <w:p w14:paraId="4D5B4FAE" w14:textId="77777777" w:rsidR="005B7BDC" w:rsidRDefault="005B7BDC" w:rsidP="003643CE">
            <w:pPr>
              <w:ind w:left="0" w:firstLine="0"/>
              <w:jc w:val="right"/>
              <w:rPr>
                <w:sz w:val="18"/>
                <w:szCs w:val="18"/>
              </w:rPr>
            </w:pPr>
            <w:r>
              <w:rPr>
                <w:sz w:val="18"/>
                <w:szCs w:val="18"/>
              </w:rPr>
              <w:t>220+100 = 320</w:t>
            </w:r>
          </w:p>
        </w:tc>
        <w:tc>
          <w:tcPr>
            <w:tcW w:w="1665" w:type="dxa"/>
          </w:tcPr>
          <w:p w14:paraId="430CA200" w14:textId="77777777" w:rsidR="005B7BDC" w:rsidRDefault="005B7BDC" w:rsidP="003643CE">
            <w:pPr>
              <w:ind w:left="0" w:firstLine="0"/>
              <w:jc w:val="right"/>
              <w:rPr>
                <w:sz w:val="18"/>
                <w:szCs w:val="18"/>
              </w:rPr>
            </w:pPr>
            <w:r>
              <w:rPr>
                <w:sz w:val="18"/>
                <w:szCs w:val="18"/>
              </w:rPr>
              <w:t>320+50 = 370</w:t>
            </w:r>
          </w:p>
        </w:tc>
        <w:tc>
          <w:tcPr>
            <w:tcW w:w="1665" w:type="dxa"/>
          </w:tcPr>
          <w:p w14:paraId="56AFA108" w14:textId="77777777" w:rsidR="005B7BDC" w:rsidRPr="007D59D9" w:rsidRDefault="005B7BDC" w:rsidP="003643CE">
            <w:pPr>
              <w:ind w:left="0" w:firstLine="0"/>
              <w:jc w:val="right"/>
              <w:rPr>
                <w:sz w:val="18"/>
                <w:szCs w:val="18"/>
              </w:rPr>
            </w:pPr>
          </w:p>
        </w:tc>
        <w:tc>
          <w:tcPr>
            <w:tcW w:w="5490" w:type="dxa"/>
            <w:vMerge/>
          </w:tcPr>
          <w:p w14:paraId="2AC1913D" w14:textId="77777777" w:rsidR="005B7BDC" w:rsidRPr="007D59D9" w:rsidRDefault="005B7BDC" w:rsidP="00427528">
            <w:pPr>
              <w:ind w:left="0" w:firstLine="0"/>
              <w:rPr>
                <w:sz w:val="18"/>
                <w:szCs w:val="18"/>
              </w:rPr>
            </w:pPr>
          </w:p>
        </w:tc>
      </w:tr>
      <w:tr w:rsidR="005B7BDC" w:rsidRPr="007D59D9" w14:paraId="033C050F" w14:textId="77777777">
        <w:tc>
          <w:tcPr>
            <w:tcW w:w="2070" w:type="dxa"/>
          </w:tcPr>
          <w:p w14:paraId="5E7E13E7" w14:textId="77777777" w:rsidR="005B7BDC" w:rsidRPr="007D59D9" w:rsidRDefault="005B7BDC" w:rsidP="00427528">
            <w:pPr>
              <w:ind w:left="0" w:firstLine="0"/>
              <w:rPr>
                <w:sz w:val="18"/>
                <w:szCs w:val="18"/>
              </w:rPr>
            </w:pPr>
            <w:r>
              <w:rPr>
                <w:sz w:val="18"/>
                <w:szCs w:val="18"/>
              </w:rPr>
              <w:t>VAT charged to customer</w:t>
            </w:r>
          </w:p>
        </w:tc>
        <w:tc>
          <w:tcPr>
            <w:tcW w:w="1665" w:type="dxa"/>
          </w:tcPr>
          <w:p w14:paraId="25CE789C" w14:textId="77777777" w:rsidR="005B7BDC" w:rsidRPr="007D59D9" w:rsidRDefault="005B7BDC" w:rsidP="003643CE">
            <w:pPr>
              <w:ind w:left="0" w:firstLine="0"/>
              <w:jc w:val="right"/>
              <w:rPr>
                <w:sz w:val="18"/>
                <w:szCs w:val="18"/>
              </w:rPr>
            </w:pPr>
            <w:r>
              <w:rPr>
                <w:sz w:val="18"/>
                <w:szCs w:val="18"/>
              </w:rPr>
              <w:t>10%*200 = 20</w:t>
            </w:r>
          </w:p>
        </w:tc>
        <w:tc>
          <w:tcPr>
            <w:tcW w:w="1665" w:type="dxa"/>
          </w:tcPr>
          <w:p w14:paraId="7CF5BD87" w14:textId="77777777" w:rsidR="005B7BDC" w:rsidRPr="007D59D9" w:rsidRDefault="005B7BDC" w:rsidP="003643CE">
            <w:pPr>
              <w:ind w:left="0" w:firstLine="0"/>
              <w:jc w:val="right"/>
              <w:rPr>
                <w:sz w:val="18"/>
                <w:szCs w:val="18"/>
              </w:rPr>
            </w:pPr>
            <w:r>
              <w:rPr>
                <w:sz w:val="18"/>
                <w:szCs w:val="18"/>
              </w:rPr>
              <w:t>None</w:t>
            </w:r>
          </w:p>
        </w:tc>
        <w:tc>
          <w:tcPr>
            <w:tcW w:w="1665" w:type="dxa"/>
          </w:tcPr>
          <w:p w14:paraId="7A74E178" w14:textId="77777777" w:rsidR="005B7BDC" w:rsidRPr="007D59D9" w:rsidRDefault="005B7BDC" w:rsidP="003643CE">
            <w:pPr>
              <w:ind w:left="0" w:firstLine="0"/>
              <w:jc w:val="right"/>
              <w:rPr>
                <w:sz w:val="18"/>
                <w:szCs w:val="18"/>
              </w:rPr>
            </w:pPr>
            <w:r>
              <w:rPr>
                <w:sz w:val="18"/>
                <w:szCs w:val="18"/>
              </w:rPr>
              <w:t>10%*370 = 37</w:t>
            </w:r>
          </w:p>
        </w:tc>
        <w:tc>
          <w:tcPr>
            <w:tcW w:w="1665" w:type="dxa"/>
          </w:tcPr>
          <w:p w14:paraId="70FABB7E" w14:textId="77777777" w:rsidR="005B7BDC" w:rsidRPr="007D59D9" w:rsidRDefault="005B7BDC" w:rsidP="003643CE">
            <w:pPr>
              <w:ind w:left="0" w:firstLine="0"/>
              <w:jc w:val="right"/>
              <w:rPr>
                <w:sz w:val="18"/>
                <w:szCs w:val="18"/>
              </w:rPr>
            </w:pPr>
          </w:p>
        </w:tc>
        <w:tc>
          <w:tcPr>
            <w:tcW w:w="5490" w:type="dxa"/>
            <w:vMerge/>
          </w:tcPr>
          <w:p w14:paraId="5DF7B733" w14:textId="77777777" w:rsidR="005B7BDC" w:rsidRPr="007D59D9" w:rsidRDefault="005B7BDC" w:rsidP="00427528">
            <w:pPr>
              <w:ind w:left="0" w:firstLine="0"/>
              <w:rPr>
                <w:sz w:val="18"/>
                <w:szCs w:val="18"/>
              </w:rPr>
            </w:pPr>
          </w:p>
        </w:tc>
      </w:tr>
      <w:tr w:rsidR="005B7BDC" w:rsidRPr="007D59D9" w14:paraId="0D3F4A68" w14:textId="77777777" w:rsidTr="003643CE">
        <w:tc>
          <w:tcPr>
            <w:tcW w:w="2070" w:type="dxa"/>
            <w:tcBorders>
              <w:bottom w:val="single" w:sz="4" w:space="0" w:color="auto"/>
            </w:tcBorders>
          </w:tcPr>
          <w:p w14:paraId="309AC8A6" w14:textId="77777777" w:rsidR="005B7BDC" w:rsidRPr="007D59D9" w:rsidRDefault="005B7BDC" w:rsidP="00427528">
            <w:pPr>
              <w:ind w:left="0" w:firstLine="0"/>
              <w:rPr>
                <w:sz w:val="18"/>
                <w:szCs w:val="18"/>
              </w:rPr>
            </w:pPr>
            <w:r>
              <w:rPr>
                <w:sz w:val="18"/>
                <w:szCs w:val="18"/>
              </w:rPr>
              <w:lastRenderedPageBreak/>
              <w:t>Selling price</w:t>
            </w:r>
          </w:p>
        </w:tc>
        <w:tc>
          <w:tcPr>
            <w:tcW w:w="1665" w:type="dxa"/>
            <w:tcBorders>
              <w:bottom w:val="single" w:sz="4" w:space="0" w:color="auto"/>
            </w:tcBorders>
          </w:tcPr>
          <w:p w14:paraId="3D1044A0" w14:textId="77777777" w:rsidR="005B7BDC" w:rsidRPr="007D59D9" w:rsidRDefault="005B7BDC" w:rsidP="003643CE">
            <w:pPr>
              <w:ind w:left="0" w:firstLine="0"/>
              <w:jc w:val="right"/>
              <w:rPr>
                <w:sz w:val="18"/>
                <w:szCs w:val="18"/>
              </w:rPr>
            </w:pPr>
            <w:r>
              <w:rPr>
                <w:sz w:val="18"/>
                <w:szCs w:val="18"/>
              </w:rPr>
              <w:t>220</w:t>
            </w:r>
          </w:p>
        </w:tc>
        <w:tc>
          <w:tcPr>
            <w:tcW w:w="1665" w:type="dxa"/>
            <w:tcBorders>
              <w:bottom w:val="single" w:sz="4" w:space="0" w:color="auto"/>
            </w:tcBorders>
          </w:tcPr>
          <w:p w14:paraId="34258112" w14:textId="77777777" w:rsidR="005B7BDC" w:rsidRPr="007D59D9" w:rsidRDefault="005B7BDC" w:rsidP="003643CE">
            <w:pPr>
              <w:ind w:left="0" w:firstLine="0"/>
              <w:jc w:val="right"/>
              <w:rPr>
                <w:sz w:val="18"/>
                <w:szCs w:val="18"/>
              </w:rPr>
            </w:pPr>
            <w:r>
              <w:rPr>
                <w:sz w:val="18"/>
                <w:szCs w:val="18"/>
              </w:rPr>
              <w:t>320</w:t>
            </w:r>
          </w:p>
        </w:tc>
        <w:tc>
          <w:tcPr>
            <w:tcW w:w="1665" w:type="dxa"/>
            <w:tcBorders>
              <w:bottom w:val="single" w:sz="4" w:space="0" w:color="auto"/>
            </w:tcBorders>
          </w:tcPr>
          <w:p w14:paraId="1DD56C4D" w14:textId="77777777" w:rsidR="005B7BDC" w:rsidRPr="007D59D9" w:rsidRDefault="005B7BDC" w:rsidP="003643CE">
            <w:pPr>
              <w:ind w:left="0" w:firstLine="0"/>
              <w:jc w:val="right"/>
              <w:rPr>
                <w:sz w:val="18"/>
                <w:szCs w:val="18"/>
              </w:rPr>
            </w:pPr>
            <w:r>
              <w:rPr>
                <w:sz w:val="18"/>
                <w:szCs w:val="18"/>
              </w:rPr>
              <w:t>370+37 = 407</w:t>
            </w:r>
          </w:p>
        </w:tc>
        <w:tc>
          <w:tcPr>
            <w:tcW w:w="1665" w:type="dxa"/>
            <w:tcBorders>
              <w:bottom w:val="single" w:sz="4" w:space="0" w:color="auto"/>
            </w:tcBorders>
          </w:tcPr>
          <w:p w14:paraId="1FA89ADE" w14:textId="77777777" w:rsidR="005B7BDC" w:rsidRPr="007D59D9" w:rsidRDefault="005B7BDC" w:rsidP="003643CE">
            <w:pPr>
              <w:ind w:left="0" w:firstLine="0"/>
              <w:jc w:val="right"/>
              <w:rPr>
                <w:sz w:val="18"/>
                <w:szCs w:val="18"/>
              </w:rPr>
            </w:pPr>
          </w:p>
        </w:tc>
        <w:tc>
          <w:tcPr>
            <w:tcW w:w="5490" w:type="dxa"/>
            <w:vMerge/>
            <w:tcBorders>
              <w:bottom w:val="single" w:sz="4" w:space="0" w:color="auto"/>
            </w:tcBorders>
          </w:tcPr>
          <w:p w14:paraId="224A08C6" w14:textId="77777777" w:rsidR="005B7BDC" w:rsidRPr="007D59D9" w:rsidRDefault="005B7BDC" w:rsidP="00427528">
            <w:pPr>
              <w:ind w:left="0" w:firstLine="0"/>
              <w:rPr>
                <w:sz w:val="18"/>
                <w:szCs w:val="18"/>
              </w:rPr>
            </w:pPr>
          </w:p>
        </w:tc>
      </w:tr>
      <w:tr w:rsidR="00C1151C" w:rsidRPr="007D59D9" w14:paraId="453729C2" w14:textId="77777777" w:rsidTr="003643CE">
        <w:tc>
          <w:tcPr>
            <w:tcW w:w="14220" w:type="dxa"/>
            <w:gridSpan w:val="6"/>
            <w:tcBorders>
              <w:left w:val="nil"/>
              <w:bottom w:val="nil"/>
              <w:right w:val="nil"/>
            </w:tcBorders>
          </w:tcPr>
          <w:p w14:paraId="52EC1039" w14:textId="5353EFC2" w:rsidR="00C1151C" w:rsidRPr="007D59D9" w:rsidRDefault="00C1151C" w:rsidP="00427528">
            <w:pPr>
              <w:ind w:left="0" w:firstLine="0"/>
              <w:rPr>
                <w:sz w:val="18"/>
                <w:szCs w:val="18"/>
              </w:rPr>
            </w:pPr>
            <w:r w:rsidRPr="005702AB">
              <w:rPr>
                <w:i/>
                <w:iCs/>
                <w:sz w:val="18"/>
                <w:szCs w:val="18"/>
              </w:rPr>
              <w:t>Note</w:t>
            </w:r>
            <w:r>
              <w:rPr>
                <w:sz w:val="18"/>
                <w:szCs w:val="18"/>
              </w:rPr>
              <w:t>: The units of value in this table are for illustrative purposes only and not currency specific.</w:t>
            </w:r>
          </w:p>
        </w:tc>
      </w:tr>
    </w:tbl>
    <w:p w14:paraId="6C41C2BC" w14:textId="77777777" w:rsidR="002375EF" w:rsidRDefault="002375EF" w:rsidP="002375EF">
      <w:pPr>
        <w:spacing w:after="0"/>
        <w:ind w:left="0" w:firstLine="0"/>
        <w:rPr>
          <w:sz w:val="10"/>
          <w:szCs w:val="10"/>
        </w:rPr>
        <w:sectPr w:rsidR="002375EF" w:rsidSect="003643CE">
          <w:footerReference w:type="even" r:id="rId40"/>
          <w:footerReference w:type="default" r:id="rId41"/>
          <w:footerReference w:type="first" r:id="rId42"/>
          <w:type w:val="continuous"/>
          <w:pgSz w:w="15840" w:h="12240" w:orient="landscape"/>
          <w:pgMar w:top="1008" w:right="1152" w:bottom="1008" w:left="1152" w:header="720" w:footer="720" w:gutter="0"/>
          <w:pgNumType w:start="51"/>
          <w:cols w:space="720"/>
          <w:docGrid w:linePitch="360"/>
        </w:sectPr>
      </w:pPr>
    </w:p>
    <w:p w14:paraId="2AF5C0B0" w14:textId="2C9323D8" w:rsidR="002A31FF" w:rsidRPr="00BE74E2" w:rsidRDefault="002A31FF" w:rsidP="009B0FB6">
      <w:pPr>
        <w:pStyle w:val="Heading1"/>
        <w:spacing w:before="120"/>
        <w:ind w:left="0" w:firstLine="0"/>
        <w:rPr>
          <w:rFonts w:cstheme="majorHAnsi"/>
        </w:rPr>
      </w:pPr>
      <w:bookmarkStart w:id="65" w:name="_Toc177819058"/>
      <w:r w:rsidRPr="00BE74E2">
        <w:rPr>
          <w:rFonts w:cstheme="majorHAnsi"/>
        </w:rPr>
        <w:lastRenderedPageBreak/>
        <w:t>A</w:t>
      </w:r>
      <w:r w:rsidR="00525612">
        <w:rPr>
          <w:rFonts w:cstheme="majorHAnsi"/>
        </w:rPr>
        <w:t>ppendi</w:t>
      </w:r>
      <w:r w:rsidRPr="00BE74E2">
        <w:rPr>
          <w:rFonts w:cstheme="majorHAnsi"/>
        </w:rPr>
        <w:t xml:space="preserve">x </w:t>
      </w:r>
      <w:r w:rsidR="0046099A" w:rsidRPr="00BE74E2">
        <w:rPr>
          <w:rFonts w:cstheme="majorHAnsi"/>
        </w:rPr>
        <w:t>3</w:t>
      </w:r>
      <w:r w:rsidRPr="00BE74E2">
        <w:rPr>
          <w:rFonts w:cstheme="majorHAnsi"/>
        </w:rPr>
        <w:t xml:space="preserve">: </w:t>
      </w:r>
      <w:r w:rsidR="009B0FB6" w:rsidRPr="00BE74E2">
        <w:rPr>
          <w:rFonts w:cstheme="majorHAnsi"/>
        </w:rPr>
        <w:t xml:space="preserve">Turnover </w:t>
      </w:r>
      <w:r w:rsidR="00FE0D4A">
        <w:rPr>
          <w:rFonts w:cstheme="majorHAnsi"/>
        </w:rPr>
        <w:t>T</w:t>
      </w:r>
      <w:r w:rsidR="009B0FB6" w:rsidRPr="00BE74E2">
        <w:rPr>
          <w:rFonts w:cstheme="majorHAnsi"/>
        </w:rPr>
        <w:t>axes in ASEAN</w:t>
      </w:r>
      <w:bookmarkEnd w:id="65"/>
    </w:p>
    <w:p w14:paraId="7E709634" w14:textId="6980ADCE" w:rsidR="003542A3" w:rsidRPr="007D7E39" w:rsidRDefault="003542A3" w:rsidP="00FA74D3">
      <w:pPr>
        <w:pStyle w:val="ListParagraph"/>
        <w:spacing w:before="120" w:after="200"/>
        <w:ind w:left="0" w:firstLine="0"/>
        <w:contextualSpacing w:val="0"/>
        <w:jc w:val="both"/>
      </w:pPr>
      <w:r w:rsidRPr="007D7E39">
        <w:rPr>
          <w:b/>
        </w:rPr>
        <w:t xml:space="preserve">Among other ASEAN countries, only Lao PDR has implemented a simplified turnover tax regime </w:t>
      </w:r>
      <w:r>
        <w:rPr>
          <w:b/>
        </w:rPr>
        <w:t xml:space="preserve">specifically </w:t>
      </w:r>
      <w:r w:rsidRPr="007D7E39">
        <w:rPr>
          <w:b/>
        </w:rPr>
        <w:t xml:space="preserve">for small businesses. </w:t>
      </w:r>
      <w:r w:rsidRPr="007D7E39">
        <w:t xml:space="preserve">The scheme has two tiers. The first tier </w:t>
      </w:r>
      <w:proofErr w:type="gramStart"/>
      <w:r>
        <w:t>applies</w:t>
      </w:r>
      <w:proofErr w:type="gramEnd"/>
      <w:r>
        <w:t xml:space="preserve"> a zero-tax rate on </w:t>
      </w:r>
      <w:r w:rsidRPr="007D7E39">
        <w:t xml:space="preserve">the first </w:t>
      </w:r>
      <w:r w:rsidR="0001530C" w:rsidRPr="0001530C">
        <w:t>₭</w:t>
      </w:r>
      <w:r w:rsidR="003964C1">
        <w:t>N</w:t>
      </w:r>
      <w:r w:rsidRPr="007D7E39">
        <w:t xml:space="preserve"> 50 million (US$2,600) of annual turnover. The second tier applies to any remaining annual turnover above </w:t>
      </w:r>
      <w:r w:rsidR="0001530C" w:rsidRPr="0001530C">
        <w:t>₭</w:t>
      </w:r>
      <w:r w:rsidR="003964C1">
        <w:t>N</w:t>
      </w:r>
      <w:r w:rsidRPr="007D7E39">
        <w:t xml:space="preserve"> 50 million and up to </w:t>
      </w:r>
      <w:r w:rsidR="0001530C" w:rsidRPr="0001530C">
        <w:t>₭</w:t>
      </w:r>
      <w:r w:rsidR="003964C1">
        <w:t>N</w:t>
      </w:r>
      <w:r w:rsidRPr="007D7E39">
        <w:t xml:space="preserve"> 400 million (US$21,000). This tier sets different turnover tax rates based on </w:t>
      </w:r>
      <w:proofErr w:type="gramStart"/>
      <w:r w:rsidRPr="007D7E39">
        <w:t>sector</w:t>
      </w:r>
      <w:proofErr w:type="gramEnd"/>
      <w:r w:rsidRPr="007D7E39">
        <w:t xml:space="preserve"> of activity: 1 percent for agriculture and manufacturing, 2 percent for commerce, and 3 percent for services. Firms with </w:t>
      </w:r>
      <w:r>
        <w:t xml:space="preserve">annual </w:t>
      </w:r>
      <w:r w:rsidRPr="007D7E39">
        <w:t xml:space="preserve">turnover above US$21,000 are ineligible </w:t>
      </w:r>
      <w:r>
        <w:t xml:space="preserve">for the scheme </w:t>
      </w:r>
      <w:r w:rsidRPr="007D7E39">
        <w:t xml:space="preserve">and fall under </w:t>
      </w:r>
      <w:r>
        <w:t xml:space="preserve">the </w:t>
      </w:r>
      <w:r w:rsidRPr="007D7E39">
        <w:t>standard CIT regime with a statutory rate of 20 percent. Clearly, the scheme has a much lower eligibility threshold than that in Indonesia. The US</w:t>
      </w:r>
      <w:r w:rsidR="00CB262B">
        <w:t>$</w:t>
      </w:r>
      <w:r w:rsidRPr="007D7E39">
        <w:t xml:space="preserve"> value of Indonesia’s threshold is </w:t>
      </w:r>
      <w:r w:rsidR="00CB262B">
        <w:t>about</w:t>
      </w:r>
      <w:r w:rsidRPr="007D7E39">
        <w:t xml:space="preserve"> 14 times that of Lao PDR</w:t>
      </w:r>
      <w:r>
        <w:t xml:space="preserve">. Likewise, Indonesia’s threshold is 27 times its GDP per capita at PPP, while Lao PDR’s is only </w:t>
      </w:r>
      <w:r w:rsidR="003964C1">
        <w:t>three</w:t>
      </w:r>
      <w:r>
        <w:t xml:space="preserve"> times its own. </w:t>
      </w:r>
    </w:p>
    <w:p w14:paraId="403F3A08" w14:textId="0280FEF1" w:rsidR="003542A3" w:rsidRDefault="003542A3" w:rsidP="00FA74D3">
      <w:pPr>
        <w:pStyle w:val="ListParagraph"/>
        <w:spacing w:before="120"/>
        <w:ind w:left="0" w:firstLine="0"/>
        <w:contextualSpacing w:val="0"/>
        <w:jc w:val="both"/>
      </w:pPr>
      <w:r w:rsidRPr="007579A3">
        <w:rPr>
          <w:b/>
        </w:rPr>
        <w:t>By contrast, Cambodia and the Philippines have introduced a turnover tax in the form of a minimum tax.</w:t>
      </w:r>
      <w:r w:rsidRPr="007579A3">
        <w:t xml:space="preserve"> </w:t>
      </w:r>
      <w:r>
        <w:t xml:space="preserve">As its name suggests, the minimum tax is a mechanism that ensures that all firms, whether large or small, pay </w:t>
      </w:r>
      <w:proofErr w:type="gramStart"/>
      <w:r>
        <w:t>some</w:t>
      </w:r>
      <w:proofErr w:type="gramEnd"/>
      <w:r>
        <w:t xml:space="preserve"> minimum amount of tax. </w:t>
      </w:r>
      <w:r w:rsidRPr="007579A3">
        <w:t xml:space="preserve">The minimum tax comes into play when </w:t>
      </w:r>
      <w:r>
        <w:t xml:space="preserve">a firm’s </w:t>
      </w:r>
      <w:r w:rsidRPr="007579A3">
        <w:t xml:space="preserve">tax liability </w:t>
      </w:r>
      <w:r>
        <w:t xml:space="preserve">as </w:t>
      </w:r>
      <w:r w:rsidRPr="007579A3">
        <w:t xml:space="preserve">calculated under the minimum tax regime exceeds </w:t>
      </w:r>
      <w:r>
        <w:t xml:space="preserve">its </w:t>
      </w:r>
      <w:r w:rsidRPr="007579A3">
        <w:t xml:space="preserve">tax liability </w:t>
      </w:r>
      <w:r>
        <w:t xml:space="preserve">as </w:t>
      </w:r>
      <w:r w:rsidRPr="007579A3">
        <w:t xml:space="preserve">calculated under the regular CIT regime. In such cases, the minimum tax liability replaces </w:t>
      </w:r>
      <w:proofErr w:type="gramStart"/>
      <w:r w:rsidRPr="007579A3">
        <w:t>the CIT</w:t>
      </w:r>
      <w:proofErr w:type="gramEnd"/>
      <w:r w:rsidRPr="007579A3">
        <w:t xml:space="preserve"> liability. In Cambodia, the minimum tax is set at 1 percent of turnover,</w:t>
      </w:r>
      <w:r w:rsidRPr="007579A3">
        <w:rPr>
          <w:vertAlign w:val="superscript"/>
        </w:rPr>
        <w:footnoteReference w:id="102"/>
      </w:r>
      <w:r w:rsidRPr="007579A3">
        <w:t xml:space="preserve"> while in the Philippines, it is set at 2</w:t>
      </w:r>
      <w:r>
        <w:t> </w:t>
      </w:r>
      <w:r w:rsidRPr="007579A3">
        <w:t>percent.</w:t>
      </w:r>
      <w:r w:rsidRPr="007579A3">
        <w:rPr>
          <w:vertAlign w:val="superscript"/>
        </w:rPr>
        <w:footnoteReference w:id="103"/>
      </w:r>
      <w:r w:rsidRPr="007579A3">
        <w:t xml:space="preserve"> In recent years, the IMF has recommended minimum tax regimes in developing countries</w:t>
      </w:r>
      <w:r w:rsidR="005D78A3">
        <w:t xml:space="preserve"> (IMF 2021)</w:t>
      </w:r>
      <w:r w:rsidRPr="007579A3">
        <w:t xml:space="preserve">. </w:t>
      </w:r>
      <w:r w:rsidR="003964C1">
        <w:t>The</w:t>
      </w:r>
      <w:r w:rsidRPr="007579A3">
        <w:t xml:space="preserve"> primary motivation has been to fight the aggressive international tax avoidance of large multinational firms, rather than to collect revenues from smaller firms or simplify their tax filing.</w:t>
      </w:r>
    </w:p>
    <w:p w14:paraId="787A6A7E" w14:textId="77777777" w:rsidR="00FD3E3F" w:rsidRDefault="00FD3E3F" w:rsidP="00FA74D3">
      <w:pPr>
        <w:pStyle w:val="ListParagraph"/>
        <w:spacing w:before="120"/>
        <w:ind w:left="0" w:firstLine="0"/>
        <w:contextualSpacing w:val="0"/>
        <w:jc w:val="both"/>
      </w:pPr>
    </w:p>
    <w:p w14:paraId="6E55BB42" w14:textId="77777777" w:rsidR="00097DE9" w:rsidRDefault="00097DE9">
      <w:pPr>
        <w:rPr>
          <w:rFonts w:eastAsiaTheme="majorEastAsia" w:cstheme="minorHAnsi"/>
          <w:color w:val="2F5496" w:themeColor="accent1" w:themeShade="BF"/>
          <w:sz w:val="24"/>
          <w:szCs w:val="24"/>
        </w:rPr>
      </w:pPr>
      <w:r>
        <w:rPr>
          <w:rFonts w:cstheme="minorHAnsi"/>
          <w:sz w:val="24"/>
          <w:szCs w:val="24"/>
        </w:rPr>
        <w:br w:type="page"/>
      </w:r>
    </w:p>
    <w:p w14:paraId="05B41EA0" w14:textId="72B1B364" w:rsidR="00FD3E3F" w:rsidRPr="00BE74E2" w:rsidRDefault="00FD3E3F" w:rsidP="00FD3E3F">
      <w:pPr>
        <w:pStyle w:val="Heading1"/>
        <w:spacing w:before="120"/>
        <w:ind w:left="0" w:firstLine="0"/>
        <w:rPr>
          <w:rFonts w:cstheme="majorHAnsi"/>
        </w:rPr>
      </w:pPr>
      <w:bookmarkStart w:id="66" w:name="_Toc177819059"/>
      <w:r w:rsidRPr="00BE74E2">
        <w:rPr>
          <w:rFonts w:cstheme="majorHAnsi"/>
        </w:rPr>
        <w:lastRenderedPageBreak/>
        <w:t>A</w:t>
      </w:r>
      <w:r w:rsidR="00525612">
        <w:rPr>
          <w:rFonts w:cstheme="majorHAnsi"/>
        </w:rPr>
        <w:t>ppendi</w:t>
      </w:r>
      <w:r w:rsidRPr="00BE74E2">
        <w:rPr>
          <w:rFonts w:cstheme="majorHAnsi"/>
        </w:rPr>
        <w:t xml:space="preserve">x 4: Business </w:t>
      </w:r>
      <w:r w:rsidR="003964C1">
        <w:rPr>
          <w:rFonts w:cstheme="majorHAnsi"/>
        </w:rPr>
        <w:t>A</w:t>
      </w:r>
      <w:r w:rsidRPr="00BE74E2">
        <w:rPr>
          <w:rFonts w:cstheme="majorHAnsi"/>
        </w:rPr>
        <w:t xml:space="preserve">ctivities </w:t>
      </w:r>
      <w:r w:rsidR="003964C1">
        <w:rPr>
          <w:rFonts w:cstheme="majorHAnsi"/>
        </w:rPr>
        <w:t>S</w:t>
      </w:r>
      <w:r w:rsidRPr="00BE74E2">
        <w:rPr>
          <w:rFonts w:cstheme="majorHAnsi"/>
        </w:rPr>
        <w:t xml:space="preserve">ubject to </w:t>
      </w:r>
      <w:r w:rsidR="003964C1">
        <w:rPr>
          <w:rFonts w:cstheme="majorHAnsi"/>
        </w:rPr>
        <w:t>P</w:t>
      </w:r>
      <w:r w:rsidRPr="00BE74E2">
        <w:rPr>
          <w:rFonts w:cstheme="majorHAnsi"/>
        </w:rPr>
        <w:t xml:space="preserve">ersonal </w:t>
      </w:r>
      <w:r w:rsidR="003964C1">
        <w:rPr>
          <w:rFonts w:cstheme="majorHAnsi"/>
        </w:rPr>
        <w:t>I</w:t>
      </w:r>
      <w:r w:rsidR="007C3EFD" w:rsidRPr="00BE74E2">
        <w:rPr>
          <w:rFonts w:cstheme="majorHAnsi"/>
        </w:rPr>
        <w:t xml:space="preserve">ncome </w:t>
      </w:r>
      <w:r w:rsidR="003964C1">
        <w:rPr>
          <w:rFonts w:cstheme="majorHAnsi"/>
        </w:rPr>
        <w:t>T</w:t>
      </w:r>
      <w:r w:rsidR="007C3EFD" w:rsidRPr="00BE74E2">
        <w:rPr>
          <w:rFonts w:cstheme="majorHAnsi"/>
        </w:rPr>
        <w:t>ax</w:t>
      </w:r>
      <w:bookmarkEnd w:id="66"/>
    </w:p>
    <w:p w14:paraId="359D0193" w14:textId="27C164FF" w:rsidR="00B9518D" w:rsidRPr="00601E71" w:rsidRDefault="00B9518D" w:rsidP="00B9518D">
      <w:pPr>
        <w:pStyle w:val="ListParagraph"/>
        <w:spacing w:before="120"/>
        <w:ind w:left="0" w:firstLine="0"/>
        <w:contextualSpacing w:val="0"/>
        <w:jc w:val="both"/>
        <w:rPr>
          <w:b/>
          <w:bCs/>
        </w:rPr>
      </w:pPr>
      <w:r w:rsidRPr="004469B1">
        <w:rPr>
          <w:b/>
          <w:bCs/>
        </w:rPr>
        <w:t>In Indonesia, like in many other countries, some business activi</w:t>
      </w:r>
      <w:r>
        <w:rPr>
          <w:b/>
          <w:bCs/>
        </w:rPr>
        <w:t>ties</w:t>
      </w:r>
      <w:r w:rsidRPr="004469B1">
        <w:rPr>
          <w:b/>
          <w:bCs/>
        </w:rPr>
        <w:t xml:space="preserve"> get taxed under </w:t>
      </w:r>
      <w:r>
        <w:rPr>
          <w:b/>
          <w:bCs/>
        </w:rPr>
        <w:t xml:space="preserve">the </w:t>
      </w:r>
      <w:r w:rsidRPr="004469B1">
        <w:rPr>
          <w:b/>
          <w:bCs/>
        </w:rPr>
        <w:t xml:space="preserve">personal income tax </w:t>
      </w:r>
      <w:r>
        <w:rPr>
          <w:b/>
          <w:bCs/>
        </w:rPr>
        <w:t xml:space="preserve">(PIT) rather than </w:t>
      </w:r>
      <w:r w:rsidRPr="004469B1">
        <w:rPr>
          <w:b/>
          <w:bCs/>
        </w:rPr>
        <w:t>the usual business tax regime</w:t>
      </w:r>
      <w:r>
        <w:rPr>
          <w:b/>
          <w:bCs/>
        </w:rPr>
        <w:t>s</w:t>
      </w:r>
      <w:r w:rsidRPr="004469B1">
        <w:rPr>
          <w:b/>
          <w:bCs/>
        </w:rPr>
        <w:t>.</w:t>
      </w:r>
      <w:r w:rsidRPr="00601E71">
        <w:rPr>
          <w:b/>
          <w:bCs/>
        </w:rPr>
        <w:t xml:space="preserve"> </w:t>
      </w:r>
      <w:r w:rsidRPr="00601E71">
        <w:t xml:space="preserve">To fully understand the tax base for business taxes, it is useful to understand how the Indonesian tax system defines the business activities that are subject to PIT. This </w:t>
      </w:r>
      <w:r w:rsidR="00690D4C">
        <w:t>a</w:t>
      </w:r>
      <w:r w:rsidR="003964C1">
        <w:t>ppendi</w:t>
      </w:r>
      <w:r w:rsidR="00690D4C">
        <w:t xml:space="preserve">x </w:t>
      </w:r>
      <w:r w:rsidRPr="00601E71">
        <w:t xml:space="preserve">provides a brief explanation. </w:t>
      </w:r>
    </w:p>
    <w:p w14:paraId="635231F4" w14:textId="0D097A3C" w:rsidR="00B9518D" w:rsidRPr="00601E71" w:rsidRDefault="00B9518D" w:rsidP="00B9518D">
      <w:pPr>
        <w:pStyle w:val="ListParagraph"/>
        <w:spacing w:before="120"/>
        <w:ind w:left="0" w:firstLine="0"/>
        <w:contextualSpacing w:val="0"/>
        <w:jc w:val="both"/>
        <w:rPr>
          <w:b/>
          <w:bCs/>
        </w:rPr>
      </w:pPr>
      <w:proofErr w:type="gramStart"/>
      <w:r w:rsidRPr="004469B1">
        <w:rPr>
          <w:b/>
          <w:bCs/>
        </w:rPr>
        <w:t>The PIT</w:t>
      </w:r>
      <w:proofErr w:type="gramEnd"/>
      <w:r w:rsidRPr="004469B1">
        <w:rPr>
          <w:b/>
          <w:bCs/>
        </w:rPr>
        <w:t xml:space="preserve"> has a cascading, progressive structure of marginal tax rates on taxable income. </w:t>
      </w:r>
      <w:r w:rsidRPr="00601E71">
        <w:t xml:space="preserve">Tax obligations are calculated by first calculating taxable income, which is income after </w:t>
      </w:r>
      <w:r>
        <w:t xml:space="preserve">eligible </w:t>
      </w:r>
      <w:r w:rsidRPr="00601E71">
        <w:t xml:space="preserve">deductions. All </w:t>
      </w:r>
      <w:r>
        <w:t xml:space="preserve">PIT </w:t>
      </w:r>
      <w:r w:rsidRPr="00601E71">
        <w:t>taxpayers receive a standard deduction of R</w:t>
      </w:r>
      <w:r w:rsidR="0004266E">
        <w:t>p</w:t>
      </w:r>
      <w:r w:rsidRPr="00601E71">
        <w:t xml:space="preserve"> 54 million. If they are jointly filing with a </w:t>
      </w:r>
      <w:r>
        <w:t>spouse</w:t>
      </w:r>
      <w:r w:rsidRPr="00601E71">
        <w:t>, this deduction increases to R</w:t>
      </w:r>
      <w:r w:rsidR="0004266E">
        <w:t>p</w:t>
      </w:r>
      <w:r w:rsidRPr="00601E71">
        <w:t xml:space="preserve"> 58.5 million. It increases again by another R</w:t>
      </w:r>
      <w:r w:rsidR="0004266E">
        <w:t>p</w:t>
      </w:r>
      <w:r w:rsidRPr="00601E71">
        <w:t xml:space="preserve"> 4.5 million per household dependent, up to a maximum of three dependents. If the taxpayer is engaged in business activities, certain business expenses are also eligible to be deducted in calculating taxable income. Once taxable income is determined, the following set of rates apply:</w:t>
      </w:r>
      <w:r w:rsidRPr="00601E71">
        <w:rPr>
          <w:b/>
          <w:bCs/>
        </w:rPr>
        <w:t xml:space="preserve"> </w:t>
      </w:r>
    </w:p>
    <w:tbl>
      <w:tblPr>
        <w:tblStyle w:val="TableGrid"/>
        <w:tblW w:w="0" w:type="auto"/>
        <w:jc w:val="center"/>
        <w:tblLook w:val="04A0" w:firstRow="1" w:lastRow="0" w:firstColumn="1" w:lastColumn="0" w:noHBand="0" w:noVBand="1"/>
      </w:tblPr>
      <w:tblGrid>
        <w:gridCol w:w="6008"/>
        <w:gridCol w:w="1080"/>
      </w:tblGrid>
      <w:tr w:rsidR="00B9518D" w:rsidRPr="00F817B6" w14:paraId="1F9F818F" w14:textId="77777777" w:rsidTr="000950F1">
        <w:trPr>
          <w:jc w:val="center"/>
        </w:trPr>
        <w:tc>
          <w:tcPr>
            <w:tcW w:w="6008" w:type="dxa"/>
          </w:tcPr>
          <w:p w14:paraId="63533767" w14:textId="39621471" w:rsidR="00B9518D" w:rsidRPr="00F817B6" w:rsidRDefault="00B9518D" w:rsidP="00DA1A7B">
            <w:pPr>
              <w:spacing w:before="60" w:after="60"/>
              <w:rPr>
                <w:b/>
                <w:bCs/>
              </w:rPr>
            </w:pPr>
            <w:r w:rsidRPr="00F817B6">
              <w:rPr>
                <w:b/>
                <w:bCs/>
              </w:rPr>
              <w:t xml:space="preserve">Taxable </w:t>
            </w:r>
            <w:r w:rsidR="00A912BA">
              <w:rPr>
                <w:b/>
                <w:bCs/>
              </w:rPr>
              <w:t xml:space="preserve">annual </w:t>
            </w:r>
            <w:r w:rsidRPr="00F817B6">
              <w:rPr>
                <w:b/>
                <w:bCs/>
              </w:rPr>
              <w:t>income ranges</w:t>
            </w:r>
          </w:p>
        </w:tc>
        <w:tc>
          <w:tcPr>
            <w:tcW w:w="1080" w:type="dxa"/>
          </w:tcPr>
          <w:p w14:paraId="0A815B7D" w14:textId="511AE95D" w:rsidR="00B9518D" w:rsidRPr="00F817B6" w:rsidRDefault="00B9518D" w:rsidP="00DA1A7B">
            <w:pPr>
              <w:spacing w:before="60" w:after="60"/>
              <w:jc w:val="center"/>
              <w:rPr>
                <w:b/>
                <w:bCs/>
              </w:rPr>
            </w:pPr>
            <w:r w:rsidRPr="00F817B6">
              <w:rPr>
                <w:b/>
                <w:bCs/>
              </w:rPr>
              <w:t>Tax rate</w:t>
            </w:r>
            <w:r w:rsidR="002D32A4">
              <w:rPr>
                <w:b/>
                <w:bCs/>
              </w:rPr>
              <w:t xml:space="preserve"> (%)</w:t>
            </w:r>
          </w:p>
        </w:tc>
      </w:tr>
      <w:tr w:rsidR="00B9518D" w14:paraId="165862F9" w14:textId="77777777" w:rsidTr="000950F1">
        <w:trPr>
          <w:jc w:val="center"/>
        </w:trPr>
        <w:tc>
          <w:tcPr>
            <w:tcW w:w="6008" w:type="dxa"/>
          </w:tcPr>
          <w:p w14:paraId="453A18CD" w14:textId="4594EB32" w:rsidR="00B9518D" w:rsidRPr="0053141A" w:rsidRDefault="00B9518D" w:rsidP="00DA1A7B">
            <w:pPr>
              <w:rPr>
                <w:sz w:val="20"/>
                <w:szCs w:val="20"/>
              </w:rPr>
            </w:pPr>
            <w:r w:rsidRPr="0053141A">
              <w:rPr>
                <w:sz w:val="20"/>
                <w:szCs w:val="20"/>
              </w:rPr>
              <w:t>The first R</w:t>
            </w:r>
            <w:r w:rsidR="0004266E">
              <w:rPr>
                <w:sz w:val="20"/>
                <w:szCs w:val="20"/>
              </w:rPr>
              <w:t>p</w:t>
            </w:r>
            <w:r w:rsidRPr="0053141A">
              <w:rPr>
                <w:sz w:val="20"/>
                <w:szCs w:val="20"/>
              </w:rPr>
              <w:t xml:space="preserve"> 60</w:t>
            </w:r>
            <w:r>
              <w:rPr>
                <w:sz w:val="20"/>
                <w:szCs w:val="20"/>
              </w:rPr>
              <w:t xml:space="preserve"> million</w:t>
            </w:r>
            <w:r w:rsidRPr="0053141A">
              <w:rPr>
                <w:sz w:val="20"/>
                <w:szCs w:val="20"/>
              </w:rPr>
              <w:t xml:space="preserve"> of taxable income </w:t>
            </w:r>
          </w:p>
        </w:tc>
        <w:tc>
          <w:tcPr>
            <w:tcW w:w="1080" w:type="dxa"/>
          </w:tcPr>
          <w:p w14:paraId="60D63FBF" w14:textId="386C582C" w:rsidR="00B9518D" w:rsidRPr="0053141A" w:rsidRDefault="00B9518D" w:rsidP="000950F1">
            <w:pPr>
              <w:jc w:val="right"/>
              <w:rPr>
                <w:sz w:val="20"/>
                <w:szCs w:val="20"/>
              </w:rPr>
            </w:pPr>
            <w:r w:rsidRPr="0053141A">
              <w:rPr>
                <w:sz w:val="20"/>
                <w:szCs w:val="20"/>
              </w:rPr>
              <w:t>5</w:t>
            </w:r>
          </w:p>
        </w:tc>
      </w:tr>
      <w:tr w:rsidR="00B9518D" w14:paraId="32968AFC" w14:textId="77777777" w:rsidTr="000950F1">
        <w:trPr>
          <w:jc w:val="center"/>
        </w:trPr>
        <w:tc>
          <w:tcPr>
            <w:tcW w:w="6008" w:type="dxa"/>
          </w:tcPr>
          <w:p w14:paraId="57D9A31A" w14:textId="20447D8A" w:rsidR="00B9518D" w:rsidRPr="0053141A" w:rsidRDefault="00B9518D" w:rsidP="00DA1A7B">
            <w:pPr>
              <w:rPr>
                <w:sz w:val="20"/>
                <w:szCs w:val="20"/>
              </w:rPr>
            </w:pPr>
            <w:r w:rsidRPr="0053141A">
              <w:rPr>
                <w:sz w:val="20"/>
                <w:szCs w:val="20"/>
              </w:rPr>
              <w:t>The next R</w:t>
            </w:r>
            <w:r w:rsidR="0004266E">
              <w:rPr>
                <w:sz w:val="20"/>
                <w:szCs w:val="20"/>
              </w:rPr>
              <w:t>p</w:t>
            </w:r>
            <w:r w:rsidRPr="0053141A">
              <w:rPr>
                <w:sz w:val="20"/>
                <w:szCs w:val="20"/>
              </w:rPr>
              <w:t xml:space="preserve"> </w:t>
            </w:r>
            <w:r w:rsidR="002D32A4">
              <w:rPr>
                <w:sz w:val="20"/>
                <w:szCs w:val="20"/>
              </w:rPr>
              <w:t>1</w:t>
            </w:r>
            <w:r w:rsidRPr="0053141A">
              <w:rPr>
                <w:sz w:val="20"/>
                <w:szCs w:val="20"/>
              </w:rPr>
              <w:t>90</w:t>
            </w:r>
            <w:r>
              <w:rPr>
                <w:sz w:val="20"/>
                <w:szCs w:val="20"/>
              </w:rPr>
              <w:t xml:space="preserve"> million</w:t>
            </w:r>
            <w:r w:rsidRPr="0053141A">
              <w:rPr>
                <w:sz w:val="20"/>
                <w:szCs w:val="20"/>
              </w:rPr>
              <w:t xml:space="preserve"> (</w:t>
            </w:r>
            <w:r w:rsidR="002D32A4">
              <w:rPr>
                <w:sz w:val="20"/>
                <w:szCs w:val="20"/>
              </w:rPr>
              <w:t>that is</w:t>
            </w:r>
            <w:r w:rsidRPr="0053141A">
              <w:rPr>
                <w:sz w:val="20"/>
                <w:szCs w:val="20"/>
              </w:rPr>
              <w:t>, R</w:t>
            </w:r>
            <w:r w:rsidR="0004266E">
              <w:rPr>
                <w:sz w:val="20"/>
                <w:szCs w:val="20"/>
              </w:rPr>
              <w:t>p</w:t>
            </w:r>
            <w:r w:rsidRPr="0053141A">
              <w:rPr>
                <w:sz w:val="20"/>
                <w:szCs w:val="20"/>
              </w:rPr>
              <w:t xml:space="preserve"> 60</w:t>
            </w:r>
            <w:r w:rsidR="002D32A4">
              <w:rPr>
                <w:sz w:val="20"/>
                <w:szCs w:val="20"/>
              </w:rPr>
              <w:t xml:space="preserve"> million</w:t>
            </w:r>
            <w:r w:rsidRPr="0053141A">
              <w:rPr>
                <w:sz w:val="20"/>
                <w:szCs w:val="20"/>
              </w:rPr>
              <w:t xml:space="preserve"> to R</w:t>
            </w:r>
            <w:r w:rsidR="0004266E">
              <w:rPr>
                <w:sz w:val="20"/>
                <w:szCs w:val="20"/>
              </w:rPr>
              <w:t>p</w:t>
            </w:r>
            <w:r w:rsidRPr="0053141A">
              <w:rPr>
                <w:sz w:val="20"/>
                <w:szCs w:val="20"/>
              </w:rPr>
              <w:t xml:space="preserve"> 250</w:t>
            </w:r>
            <w:r w:rsidR="002D32A4">
              <w:rPr>
                <w:sz w:val="20"/>
                <w:szCs w:val="20"/>
              </w:rPr>
              <w:t xml:space="preserve"> million</w:t>
            </w:r>
            <w:r w:rsidRPr="0053141A">
              <w:rPr>
                <w:sz w:val="20"/>
                <w:szCs w:val="20"/>
              </w:rPr>
              <w:t>)</w:t>
            </w:r>
          </w:p>
        </w:tc>
        <w:tc>
          <w:tcPr>
            <w:tcW w:w="1080" w:type="dxa"/>
          </w:tcPr>
          <w:p w14:paraId="53530292" w14:textId="7E90D2B3" w:rsidR="00B9518D" w:rsidRPr="0053141A" w:rsidRDefault="00B9518D" w:rsidP="000950F1">
            <w:pPr>
              <w:jc w:val="right"/>
              <w:rPr>
                <w:sz w:val="20"/>
                <w:szCs w:val="20"/>
              </w:rPr>
            </w:pPr>
            <w:r w:rsidRPr="0053141A">
              <w:rPr>
                <w:sz w:val="20"/>
                <w:szCs w:val="20"/>
              </w:rPr>
              <w:t>15</w:t>
            </w:r>
          </w:p>
        </w:tc>
      </w:tr>
      <w:tr w:rsidR="00B9518D" w14:paraId="0CD0B7D0" w14:textId="77777777" w:rsidTr="000950F1">
        <w:trPr>
          <w:jc w:val="center"/>
        </w:trPr>
        <w:tc>
          <w:tcPr>
            <w:tcW w:w="6008" w:type="dxa"/>
          </w:tcPr>
          <w:p w14:paraId="545EA742" w14:textId="31B384E0" w:rsidR="00B9518D" w:rsidRPr="0053141A" w:rsidRDefault="00B9518D" w:rsidP="00DA1A7B">
            <w:pPr>
              <w:rPr>
                <w:sz w:val="20"/>
                <w:szCs w:val="20"/>
              </w:rPr>
            </w:pPr>
            <w:r w:rsidRPr="0053141A">
              <w:rPr>
                <w:sz w:val="20"/>
                <w:szCs w:val="20"/>
              </w:rPr>
              <w:t>The next R</w:t>
            </w:r>
            <w:r w:rsidR="0004266E">
              <w:rPr>
                <w:sz w:val="20"/>
                <w:szCs w:val="20"/>
              </w:rPr>
              <w:t>p</w:t>
            </w:r>
            <w:r w:rsidRPr="0053141A">
              <w:rPr>
                <w:sz w:val="20"/>
                <w:szCs w:val="20"/>
              </w:rPr>
              <w:t xml:space="preserve"> 250</w:t>
            </w:r>
            <w:r>
              <w:rPr>
                <w:sz w:val="20"/>
                <w:szCs w:val="20"/>
              </w:rPr>
              <w:t xml:space="preserve"> million</w:t>
            </w:r>
            <w:r w:rsidRPr="0053141A">
              <w:rPr>
                <w:sz w:val="20"/>
                <w:szCs w:val="20"/>
              </w:rPr>
              <w:t xml:space="preserve"> (R</w:t>
            </w:r>
            <w:r w:rsidR="0004266E">
              <w:rPr>
                <w:sz w:val="20"/>
                <w:szCs w:val="20"/>
              </w:rPr>
              <w:t>p</w:t>
            </w:r>
            <w:r w:rsidRPr="0053141A">
              <w:rPr>
                <w:sz w:val="20"/>
                <w:szCs w:val="20"/>
              </w:rPr>
              <w:t xml:space="preserve"> 250</w:t>
            </w:r>
            <w:r w:rsidR="002D32A4">
              <w:rPr>
                <w:sz w:val="20"/>
                <w:szCs w:val="20"/>
              </w:rPr>
              <w:t xml:space="preserve"> million</w:t>
            </w:r>
            <w:r w:rsidRPr="0053141A">
              <w:rPr>
                <w:sz w:val="20"/>
                <w:szCs w:val="20"/>
              </w:rPr>
              <w:t xml:space="preserve"> to R</w:t>
            </w:r>
            <w:r w:rsidR="0004266E">
              <w:rPr>
                <w:sz w:val="20"/>
                <w:szCs w:val="20"/>
              </w:rPr>
              <w:t>p</w:t>
            </w:r>
            <w:r w:rsidRPr="0053141A">
              <w:rPr>
                <w:sz w:val="20"/>
                <w:szCs w:val="20"/>
              </w:rPr>
              <w:t xml:space="preserve"> 500</w:t>
            </w:r>
            <w:r w:rsidR="002D32A4">
              <w:rPr>
                <w:sz w:val="20"/>
                <w:szCs w:val="20"/>
              </w:rPr>
              <w:t xml:space="preserve"> million</w:t>
            </w:r>
            <w:r w:rsidRPr="0053141A">
              <w:rPr>
                <w:sz w:val="20"/>
                <w:szCs w:val="20"/>
              </w:rPr>
              <w:t>)</w:t>
            </w:r>
          </w:p>
        </w:tc>
        <w:tc>
          <w:tcPr>
            <w:tcW w:w="1080" w:type="dxa"/>
          </w:tcPr>
          <w:p w14:paraId="4E437447" w14:textId="4EFD4FB4" w:rsidR="00B9518D" w:rsidRPr="0053141A" w:rsidRDefault="00B9518D" w:rsidP="00E16CFE">
            <w:pPr>
              <w:jc w:val="right"/>
              <w:rPr>
                <w:sz w:val="20"/>
                <w:szCs w:val="20"/>
              </w:rPr>
            </w:pPr>
            <w:r w:rsidRPr="0053141A">
              <w:rPr>
                <w:sz w:val="20"/>
                <w:szCs w:val="20"/>
              </w:rPr>
              <w:t>25</w:t>
            </w:r>
          </w:p>
        </w:tc>
      </w:tr>
      <w:tr w:rsidR="00B9518D" w14:paraId="3549AFC9" w14:textId="77777777" w:rsidTr="000950F1">
        <w:trPr>
          <w:jc w:val="center"/>
        </w:trPr>
        <w:tc>
          <w:tcPr>
            <w:tcW w:w="6008" w:type="dxa"/>
          </w:tcPr>
          <w:p w14:paraId="3E286F3E" w14:textId="1ACBFC48" w:rsidR="00B9518D" w:rsidRPr="0053141A" w:rsidRDefault="00B9518D" w:rsidP="00DA1A7B">
            <w:pPr>
              <w:rPr>
                <w:sz w:val="20"/>
                <w:szCs w:val="20"/>
              </w:rPr>
            </w:pPr>
            <w:r w:rsidRPr="0053141A">
              <w:rPr>
                <w:sz w:val="20"/>
                <w:szCs w:val="20"/>
              </w:rPr>
              <w:t>The next R</w:t>
            </w:r>
            <w:r w:rsidR="0004266E">
              <w:rPr>
                <w:sz w:val="20"/>
                <w:szCs w:val="20"/>
              </w:rPr>
              <w:t>p</w:t>
            </w:r>
            <w:r w:rsidRPr="0053141A">
              <w:rPr>
                <w:sz w:val="20"/>
                <w:szCs w:val="20"/>
              </w:rPr>
              <w:t xml:space="preserve"> 4.5</w:t>
            </w:r>
            <w:r>
              <w:rPr>
                <w:sz w:val="20"/>
                <w:szCs w:val="20"/>
              </w:rPr>
              <w:t xml:space="preserve"> billion</w:t>
            </w:r>
            <w:r w:rsidRPr="0053141A">
              <w:rPr>
                <w:sz w:val="20"/>
                <w:szCs w:val="20"/>
              </w:rPr>
              <w:t xml:space="preserve"> (R</w:t>
            </w:r>
            <w:r w:rsidR="0004266E">
              <w:rPr>
                <w:sz w:val="20"/>
                <w:szCs w:val="20"/>
              </w:rPr>
              <w:t>p</w:t>
            </w:r>
            <w:r w:rsidRPr="0053141A">
              <w:rPr>
                <w:sz w:val="20"/>
                <w:szCs w:val="20"/>
              </w:rPr>
              <w:t xml:space="preserve"> 500</w:t>
            </w:r>
            <w:r w:rsidR="002D32A4">
              <w:rPr>
                <w:sz w:val="20"/>
                <w:szCs w:val="20"/>
              </w:rPr>
              <w:t xml:space="preserve"> million</w:t>
            </w:r>
            <w:r w:rsidRPr="0053141A">
              <w:rPr>
                <w:sz w:val="20"/>
                <w:szCs w:val="20"/>
              </w:rPr>
              <w:t xml:space="preserve"> to R</w:t>
            </w:r>
            <w:r w:rsidR="0004266E">
              <w:rPr>
                <w:sz w:val="20"/>
                <w:szCs w:val="20"/>
              </w:rPr>
              <w:t>p</w:t>
            </w:r>
            <w:r w:rsidRPr="0053141A">
              <w:rPr>
                <w:sz w:val="20"/>
                <w:szCs w:val="20"/>
              </w:rPr>
              <w:t xml:space="preserve"> 5</w:t>
            </w:r>
            <w:r w:rsidR="002D32A4">
              <w:rPr>
                <w:sz w:val="20"/>
                <w:szCs w:val="20"/>
              </w:rPr>
              <w:t xml:space="preserve"> billion</w:t>
            </w:r>
            <w:r w:rsidRPr="0053141A">
              <w:rPr>
                <w:sz w:val="20"/>
                <w:szCs w:val="20"/>
              </w:rPr>
              <w:t>)</w:t>
            </w:r>
          </w:p>
        </w:tc>
        <w:tc>
          <w:tcPr>
            <w:tcW w:w="1080" w:type="dxa"/>
          </w:tcPr>
          <w:p w14:paraId="30407EB5" w14:textId="2ED2C391" w:rsidR="00B9518D" w:rsidRPr="0053141A" w:rsidRDefault="00B9518D" w:rsidP="00E16CFE">
            <w:pPr>
              <w:jc w:val="right"/>
              <w:rPr>
                <w:sz w:val="20"/>
                <w:szCs w:val="20"/>
              </w:rPr>
            </w:pPr>
            <w:r w:rsidRPr="0053141A">
              <w:rPr>
                <w:sz w:val="20"/>
                <w:szCs w:val="20"/>
              </w:rPr>
              <w:t>30</w:t>
            </w:r>
          </w:p>
        </w:tc>
      </w:tr>
      <w:tr w:rsidR="00B9518D" w14:paraId="50AE9EC9" w14:textId="77777777" w:rsidTr="000950F1">
        <w:trPr>
          <w:jc w:val="center"/>
        </w:trPr>
        <w:tc>
          <w:tcPr>
            <w:tcW w:w="6008" w:type="dxa"/>
          </w:tcPr>
          <w:p w14:paraId="66E9772D" w14:textId="561755B6" w:rsidR="00B9518D" w:rsidRPr="0053141A" w:rsidRDefault="00B9518D" w:rsidP="00DA1A7B">
            <w:pPr>
              <w:rPr>
                <w:sz w:val="20"/>
                <w:szCs w:val="20"/>
              </w:rPr>
            </w:pPr>
            <w:r w:rsidRPr="0053141A">
              <w:rPr>
                <w:sz w:val="20"/>
                <w:szCs w:val="20"/>
              </w:rPr>
              <w:t>Any further income (above R</w:t>
            </w:r>
            <w:r w:rsidR="0004266E">
              <w:rPr>
                <w:sz w:val="20"/>
                <w:szCs w:val="20"/>
              </w:rPr>
              <w:t>p</w:t>
            </w:r>
            <w:r w:rsidRPr="0053141A">
              <w:rPr>
                <w:sz w:val="20"/>
                <w:szCs w:val="20"/>
              </w:rPr>
              <w:t xml:space="preserve"> 5</w:t>
            </w:r>
            <w:r w:rsidR="002D32A4">
              <w:rPr>
                <w:sz w:val="20"/>
                <w:szCs w:val="20"/>
              </w:rPr>
              <w:t xml:space="preserve"> billion</w:t>
            </w:r>
            <w:r w:rsidRPr="0053141A">
              <w:rPr>
                <w:sz w:val="20"/>
                <w:szCs w:val="20"/>
              </w:rPr>
              <w:t xml:space="preserve">). </w:t>
            </w:r>
          </w:p>
        </w:tc>
        <w:tc>
          <w:tcPr>
            <w:tcW w:w="1080" w:type="dxa"/>
          </w:tcPr>
          <w:p w14:paraId="258DEC4A" w14:textId="12B79AC3" w:rsidR="00B9518D" w:rsidRPr="0053141A" w:rsidRDefault="00B9518D" w:rsidP="00E16CFE">
            <w:pPr>
              <w:jc w:val="right"/>
              <w:rPr>
                <w:sz w:val="20"/>
                <w:szCs w:val="20"/>
              </w:rPr>
            </w:pPr>
            <w:r w:rsidRPr="0053141A">
              <w:rPr>
                <w:sz w:val="20"/>
                <w:szCs w:val="20"/>
              </w:rPr>
              <w:t>35</w:t>
            </w:r>
          </w:p>
        </w:tc>
      </w:tr>
    </w:tbl>
    <w:p w14:paraId="560E5EEF" w14:textId="7349E7F8" w:rsidR="00B9518D" w:rsidRPr="00601E71" w:rsidRDefault="00B9518D" w:rsidP="00524CDB">
      <w:pPr>
        <w:pStyle w:val="ListParagraph"/>
        <w:spacing w:before="120"/>
        <w:ind w:left="0" w:firstLine="0"/>
        <w:contextualSpacing w:val="0"/>
        <w:jc w:val="both"/>
        <w:rPr>
          <w:b/>
          <w:bCs/>
        </w:rPr>
      </w:pPr>
      <w:r w:rsidRPr="004469B1">
        <w:rPr>
          <w:b/>
          <w:bCs/>
        </w:rPr>
        <w:t xml:space="preserve">There are three categories of taxpayers that are subject to </w:t>
      </w:r>
      <w:proofErr w:type="gramStart"/>
      <w:r w:rsidRPr="004469B1">
        <w:rPr>
          <w:b/>
          <w:bCs/>
        </w:rPr>
        <w:t>the PIT</w:t>
      </w:r>
      <w:proofErr w:type="gramEnd"/>
      <w:r w:rsidRPr="004469B1">
        <w:rPr>
          <w:b/>
          <w:bCs/>
        </w:rPr>
        <w:t>.</w:t>
      </w:r>
      <w:r w:rsidRPr="00601E71">
        <w:rPr>
          <w:b/>
          <w:bCs/>
        </w:rPr>
        <w:t xml:space="preserve"> </w:t>
      </w:r>
      <w:r w:rsidRPr="006733F9">
        <w:t xml:space="preserve">The first and most intuitive is </w:t>
      </w:r>
      <w:r w:rsidRPr="00277B1A">
        <w:rPr>
          <w:i/>
          <w:iCs/>
        </w:rPr>
        <w:t>employees</w:t>
      </w:r>
      <w:r w:rsidRPr="006733F9">
        <w:t>. Employees have a formal employee relationship with bu</w:t>
      </w:r>
      <w:r w:rsidRPr="00601E71">
        <w:t xml:space="preserve">sinesses. They must pay the standard </w:t>
      </w:r>
      <w:proofErr w:type="gramStart"/>
      <w:r w:rsidRPr="00601E71">
        <w:t>PIT</w:t>
      </w:r>
      <w:proofErr w:type="gramEnd"/>
      <w:r w:rsidRPr="00601E71">
        <w:t xml:space="preserve"> and their employers are required to withhold PIT amounts from their salaries. A second category of PIT taxpayers is </w:t>
      </w:r>
      <w:r w:rsidRPr="00277B1A">
        <w:rPr>
          <w:i/>
          <w:iCs/>
        </w:rPr>
        <w:t>freelancers</w:t>
      </w:r>
      <w:r w:rsidRPr="00601E71">
        <w:t xml:space="preserve"> (or </w:t>
      </w:r>
      <w:proofErr w:type="spellStart"/>
      <w:r w:rsidRPr="00E16CFE">
        <w:rPr>
          <w:i/>
          <w:iCs/>
        </w:rPr>
        <w:t>wajib</w:t>
      </w:r>
      <w:proofErr w:type="spellEnd"/>
      <w:r w:rsidRPr="00E16CFE">
        <w:rPr>
          <w:i/>
          <w:iCs/>
        </w:rPr>
        <w:t xml:space="preserve"> </w:t>
      </w:r>
      <w:proofErr w:type="spellStart"/>
      <w:r w:rsidRPr="00E16CFE">
        <w:rPr>
          <w:i/>
          <w:iCs/>
        </w:rPr>
        <w:t>pajak</w:t>
      </w:r>
      <w:proofErr w:type="spellEnd"/>
      <w:r w:rsidRPr="00E16CFE">
        <w:rPr>
          <w:i/>
          <w:iCs/>
        </w:rPr>
        <w:t xml:space="preserve"> orang </w:t>
      </w:r>
      <w:proofErr w:type="spellStart"/>
      <w:r w:rsidRPr="00E16CFE">
        <w:rPr>
          <w:i/>
          <w:iCs/>
        </w:rPr>
        <w:t>pribadi</w:t>
      </w:r>
      <w:proofErr w:type="spellEnd"/>
      <w:r w:rsidRPr="00E16CFE">
        <w:rPr>
          <w:i/>
          <w:iCs/>
        </w:rPr>
        <w:t xml:space="preserve"> yang </w:t>
      </w:r>
      <w:proofErr w:type="spellStart"/>
      <w:r w:rsidRPr="00E16CFE">
        <w:rPr>
          <w:i/>
          <w:iCs/>
        </w:rPr>
        <w:t>pekerja</w:t>
      </w:r>
      <w:proofErr w:type="spellEnd"/>
      <w:r w:rsidRPr="00E16CFE">
        <w:rPr>
          <w:i/>
          <w:iCs/>
        </w:rPr>
        <w:t xml:space="preserve"> </w:t>
      </w:r>
      <w:proofErr w:type="spellStart"/>
      <w:r w:rsidRPr="00E16CFE">
        <w:rPr>
          <w:i/>
          <w:iCs/>
        </w:rPr>
        <w:t>bebas</w:t>
      </w:r>
      <w:proofErr w:type="spellEnd"/>
      <w:r w:rsidRPr="00601E71">
        <w:t xml:space="preserve">). Freelancers </w:t>
      </w:r>
      <w:r>
        <w:t xml:space="preserve">usually </w:t>
      </w:r>
      <w:r w:rsidRPr="00601E71">
        <w:t xml:space="preserve">undertake the type of work that is typically done by employees, but they do not have a formal and </w:t>
      </w:r>
      <w:proofErr w:type="gramStart"/>
      <w:r w:rsidRPr="00601E71">
        <w:t>regularized employee</w:t>
      </w:r>
      <w:proofErr w:type="gramEnd"/>
      <w:r w:rsidRPr="00601E71">
        <w:t xml:space="preserve"> relationship with the recipient of their work. The third category is </w:t>
      </w:r>
      <w:r w:rsidRPr="00277B1A">
        <w:rPr>
          <w:i/>
          <w:iCs/>
        </w:rPr>
        <w:t>free enterprises</w:t>
      </w:r>
      <w:r w:rsidRPr="00601E71">
        <w:t xml:space="preserve"> (</w:t>
      </w:r>
      <w:r>
        <w:t xml:space="preserve">or </w:t>
      </w:r>
      <w:proofErr w:type="spellStart"/>
      <w:r w:rsidRPr="00E16CFE">
        <w:rPr>
          <w:i/>
          <w:iCs/>
        </w:rPr>
        <w:t>wajib</w:t>
      </w:r>
      <w:proofErr w:type="spellEnd"/>
      <w:r w:rsidRPr="00E16CFE">
        <w:rPr>
          <w:i/>
          <w:iCs/>
        </w:rPr>
        <w:t xml:space="preserve"> </w:t>
      </w:r>
      <w:proofErr w:type="spellStart"/>
      <w:r w:rsidRPr="00E16CFE">
        <w:rPr>
          <w:i/>
          <w:iCs/>
        </w:rPr>
        <w:t>pajak</w:t>
      </w:r>
      <w:proofErr w:type="spellEnd"/>
      <w:r w:rsidRPr="00E16CFE">
        <w:rPr>
          <w:i/>
          <w:iCs/>
        </w:rPr>
        <w:t xml:space="preserve"> orang </w:t>
      </w:r>
      <w:proofErr w:type="spellStart"/>
      <w:r w:rsidRPr="00E16CFE">
        <w:rPr>
          <w:i/>
          <w:iCs/>
        </w:rPr>
        <w:t>pribadi</w:t>
      </w:r>
      <w:proofErr w:type="spellEnd"/>
      <w:r w:rsidRPr="00E16CFE">
        <w:rPr>
          <w:i/>
          <w:iCs/>
        </w:rPr>
        <w:t xml:space="preserve"> yang </w:t>
      </w:r>
      <w:proofErr w:type="spellStart"/>
      <w:r w:rsidRPr="00E16CFE">
        <w:rPr>
          <w:i/>
          <w:iCs/>
        </w:rPr>
        <w:t>melalukan</w:t>
      </w:r>
      <w:proofErr w:type="spellEnd"/>
      <w:r w:rsidRPr="00E16CFE">
        <w:rPr>
          <w:i/>
          <w:iCs/>
        </w:rPr>
        <w:t xml:space="preserve"> </w:t>
      </w:r>
      <w:proofErr w:type="spellStart"/>
      <w:r w:rsidRPr="00E16CFE">
        <w:rPr>
          <w:i/>
          <w:iCs/>
        </w:rPr>
        <w:t>kegiatan</w:t>
      </w:r>
      <w:proofErr w:type="spellEnd"/>
      <w:r w:rsidRPr="00E16CFE">
        <w:rPr>
          <w:i/>
          <w:iCs/>
        </w:rPr>
        <w:t xml:space="preserve"> </w:t>
      </w:r>
      <w:proofErr w:type="spellStart"/>
      <w:r w:rsidRPr="00E16CFE">
        <w:rPr>
          <w:i/>
          <w:iCs/>
        </w:rPr>
        <w:t>usaha</w:t>
      </w:r>
      <w:proofErr w:type="spellEnd"/>
      <w:r w:rsidRPr="00601E71">
        <w:t xml:space="preserve">). These are individuals </w:t>
      </w:r>
      <w:r w:rsidR="002D32A4">
        <w:t>who</w:t>
      </w:r>
      <w:r w:rsidRPr="00601E71">
        <w:t xml:space="preserve"> set up business operations but without formally registering as a business. Their business activities are reported under their own personal taxpayer number.</w:t>
      </w:r>
      <w:r w:rsidRPr="00601E71">
        <w:rPr>
          <w:b/>
          <w:bCs/>
        </w:rPr>
        <w:t xml:space="preserve"> </w:t>
      </w:r>
    </w:p>
    <w:p w14:paraId="005CCF78" w14:textId="604E093C" w:rsidR="00B9518D" w:rsidRDefault="00B9518D" w:rsidP="00524CDB">
      <w:pPr>
        <w:pStyle w:val="ListParagraph"/>
        <w:spacing w:before="120"/>
        <w:ind w:left="0" w:firstLine="0"/>
        <w:contextualSpacing w:val="0"/>
        <w:jc w:val="both"/>
        <w:rPr>
          <w:b/>
          <w:bCs/>
        </w:rPr>
      </w:pPr>
      <w:r w:rsidRPr="00234524">
        <w:rPr>
          <w:b/>
          <w:bCs/>
        </w:rPr>
        <w:t>Freelancers and free enterprises, or for brevity</w:t>
      </w:r>
      <w:r>
        <w:rPr>
          <w:b/>
          <w:bCs/>
        </w:rPr>
        <w:t>,</w:t>
      </w:r>
      <w:r w:rsidRPr="00234524">
        <w:rPr>
          <w:b/>
          <w:bCs/>
        </w:rPr>
        <w:t xml:space="preserve"> </w:t>
      </w:r>
      <w:r w:rsidRPr="00516403">
        <w:rPr>
          <w:b/>
          <w:bCs/>
          <w:i/>
          <w:iCs/>
        </w:rPr>
        <w:t>individual businesses</w:t>
      </w:r>
      <w:r w:rsidRPr="00601E71">
        <w:rPr>
          <w:b/>
          <w:bCs/>
        </w:rPr>
        <w:t>,</w:t>
      </w:r>
      <w:r w:rsidRPr="00234524">
        <w:rPr>
          <w:b/>
          <w:bCs/>
        </w:rPr>
        <w:t xml:space="preserve"> receive special treatment under the tax law owing to the business-like nature of some of their activities.</w:t>
      </w:r>
      <w:r w:rsidRPr="00601E71">
        <w:rPr>
          <w:b/>
          <w:bCs/>
        </w:rPr>
        <w:t xml:space="preserve"> </w:t>
      </w:r>
      <w:r w:rsidRPr="00487109">
        <w:t>Individual</w:t>
      </w:r>
      <w:r w:rsidRPr="00601E71">
        <w:rPr>
          <w:bCs/>
        </w:rPr>
        <w:t xml:space="preserve"> businesses with annual revenues below R</w:t>
      </w:r>
      <w:r w:rsidR="0004266E">
        <w:rPr>
          <w:bCs/>
        </w:rPr>
        <w:t>p</w:t>
      </w:r>
      <w:r w:rsidRPr="00601E71">
        <w:rPr>
          <w:bCs/>
        </w:rPr>
        <w:t xml:space="preserve"> 4.8 billion are treated differently to those with revenues that are higher. The</w:t>
      </w:r>
      <w:r>
        <w:rPr>
          <w:bCs/>
        </w:rPr>
        <w:t>se</w:t>
      </w:r>
      <w:r w:rsidRPr="00601E71">
        <w:rPr>
          <w:bCs/>
        </w:rPr>
        <w:t xml:space="preserve"> smaller individual businesses are only required to maintain basic records of their income </w:t>
      </w:r>
      <w:proofErr w:type="gramStart"/>
      <w:r w:rsidRPr="00601E71">
        <w:rPr>
          <w:bCs/>
        </w:rPr>
        <w:t>receipts (‘</w:t>
      </w:r>
      <w:proofErr w:type="gramEnd"/>
      <w:r w:rsidRPr="00601E71">
        <w:rPr>
          <w:bCs/>
        </w:rPr>
        <w:t xml:space="preserve">basic recordkeeping’), </w:t>
      </w:r>
      <w:r w:rsidR="002D32A4">
        <w:rPr>
          <w:bCs/>
        </w:rPr>
        <w:t>al</w:t>
      </w:r>
      <w:r w:rsidRPr="00601E71">
        <w:rPr>
          <w:bCs/>
        </w:rPr>
        <w:t xml:space="preserve">though they may opt to maintain </w:t>
      </w:r>
      <w:r w:rsidR="002D32A4">
        <w:rPr>
          <w:bCs/>
        </w:rPr>
        <w:t xml:space="preserve">a </w:t>
      </w:r>
      <w:r w:rsidRPr="00601E71">
        <w:rPr>
          <w:bCs/>
        </w:rPr>
        <w:t>full</w:t>
      </w:r>
      <w:r w:rsidR="002D32A4">
        <w:rPr>
          <w:bCs/>
        </w:rPr>
        <w:t xml:space="preserve"> set of</w:t>
      </w:r>
      <w:r w:rsidRPr="00601E71">
        <w:rPr>
          <w:bCs/>
        </w:rPr>
        <w:t xml:space="preserve"> bookkeeping</w:t>
      </w:r>
      <w:r w:rsidR="002D32A4">
        <w:rPr>
          <w:bCs/>
        </w:rPr>
        <w:t xml:space="preserve"> records</w:t>
      </w:r>
      <w:r w:rsidRPr="00601E71">
        <w:rPr>
          <w:bCs/>
        </w:rPr>
        <w:t>. If they choose to maintain basic recordkeeping, their taxable income for PIT purposes must be determined by applying a regulated deemed rate to their business’s gross income.</w:t>
      </w:r>
      <w:r w:rsidRPr="00601E71">
        <w:rPr>
          <w:bCs/>
          <w:vertAlign w:val="superscript"/>
        </w:rPr>
        <w:footnoteReference w:id="104"/>
      </w:r>
      <w:r w:rsidRPr="00601E71">
        <w:rPr>
          <w:bCs/>
        </w:rPr>
        <w:t xml:space="preserve"> D</w:t>
      </w:r>
      <w:r w:rsidR="002D32A4">
        <w:rPr>
          <w:bCs/>
        </w:rPr>
        <w:t xml:space="preserve">irector </w:t>
      </w:r>
      <w:r w:rsidRPr="00601E71">
        <w:rPr>
          <w:bCs/>
        </w:rPr>
        <w:t>G</w:t>
      </w:r>
      <w:r w:rsidR="002D32A4">
        <w:rPr>
          <w:bCs/>
        </w:rPr>
        <w:t xml:space="preserve">eneral of </w:t>
      </w:r>
      <w:r w:rsidRPr="00601E71">
        <w:rPr>
          <w:bCs/>
        </w:rPr>
        <w:t>T</w:t>
      </w:r>
      <w:r w:rsidR="002D32A4">
        <w:rPr>
          <w:bCs/>
        </w:rPr>
        <w:t>axation</w:t>
      </w:r>
      <w:r w:rsidRPr="00601E71">
        <w:rPr>
          <w:bCs/>
        </w:rPr>
        <w:t xml:space="preserve"> </w:t>
      </w:r>
      <w:r w:rsidR="002D32A4">
        <w:rPr>
          <w:bCs/>
        </w:rPr>
        <w:t>D</w:t>
      </w:r>
      <w:r w:rsidRPr="00601E71">
        <w:rPr>
          <w:bCs/>
        </w:rPr>
        <w:t xml:space="preserve">ecree </w:t>
      </w:r>
      <w:r w:rsidR="002D32A4">
        <w:rPr>
          <w:bCs/>
        </w:rPr>
        <w:t xml:space="preserve">No. </w:t>
      </w:r>
      <w:r w:rsidRPr="00601E71">
        <w:rPr>
          <w:bCs/>
        </w:rPr>
        <w:t>17</w:t>
      </w:r>
      <w:r w:rsidR="002D32A4">
        <w:rPr>
          <w:bCs/>
        </w:rPr>
        <w:t>/</w:t>
      </w:r>
      <w:r w:rsidRPr="00601E71">
        <w:rPr>
          <w:bCs/>
        </w:rPr>
        <w:t xml:space="preserve">2015 sets out hundreds of deemed rates that vary by location and type of activity. By contrast, </w:t>
      </w:r>
      <w:r>
        <w:rPr>
          <w:bCs/>
        </w:rPr>
        <w:t xml:space="preserve">larger </w:t>
      </w:r>
      <w:r w:rsidRPr="00601E71">
        <w:rPr>
          <w:bCs/>
        </w:rPr>
        <w:t>individual businesses with annual revenues of at least R</w:t>
      </w:r>
      <w:r w:rsidR="0004266E">
        <w:rPr>
          <w:bCs/>
        </w:rPr>
        <w:t>p</w:t>
      </w:r>
      <w:r w:rsidRPr="00601E71">
        <w:rPr>
          <w:bCs/>
        </w:rPr>
        <w:t xml:space="preserve"> 4.8 billion are subject to more stringent requirements. They are </w:t>
      </w:r>
      <w:proofErr w:type="gramStart"/>
      <w:r w:rsidRPr="00601E71">
        <w:rPr>
          <w:bCs/>
        </w:rPr>
        <w:t>obligated</w:t>
      </w:r>
      <w:proofErr w:type="gramEnd"/>
      <w:r w:rsidRPr="00601E71">
        <w:rPr>
          <w:bCs/>
        </w:rPr>
        <w:t xml:space="preserve"> to maintain </w:t>
      </w:r>
      <w:proofErr w:type="gramStart"/>
      <w:r w:rsidRPr="00601E71">
        <w:rPr>
          <w:bCs/>
        </w:rPr>
        <w:t>full standard</w:t>
      </w:r>
      <w:proofErr w:type="gramEnd"/>
      <w:r w:rsidRPr="00601E71">
        <w:rPr>
          <w:bCs/>
        </w:rPr>
        <w:t xml:space="preserve"> bookkeeping</w:t>
      </w:r>
      <w:r w:rsidR="002D32A4">
        <w:rPr>
          <w:bCs/>
        </w:rPr>
        <w:t xml:space="preserve"> records that are</w:t>
      </w:r>
      <w:r w:rsidRPr="00601E71">
        <w:rPr>
          <w:bCs/>
        </w:rPr>
        <w:t xml:space="preserve"> sufficient to determine net profits (</w:t>
      </w:r>
      <w:r w:rsidR="002D32A4">
        <w:rPr>
          <w:bCs/>
        </w:rPr>
        <w:t>that is</w:t>
      </w:r>
      <w:r w:rsidRPr="00601E71">
        <w:rPr>
          <w:bCs/>
        </w:rPr>
        <w:t xml:space="preserve">, their taxable income) and </w:t>
      </w:r>
      <w:r>
        <w:rPr>
          <w:bCs/>
        </w:rPr>
        <w:t xml:space="preserve">provide </w:t>
      </w:r>
      <w:r w:rsidRPr="00601E71">
        <w:rPr>
          <w:bCs/>
        </w:rPr>
        <w:t>evidence of all deductions.</w:t>
      </w:r>
      <w:r w:rsidRPr="00601E71">
        <w:rPr>
          <w:b/>
          <w:bCs/>
        </w:rPr>
        <w:t xml:space="preserve"> </w:t>
      </w:r>
    </w:p>
    <w:p w14:paraId="7CC707C4" w14:textId="2226931D" w:rsidR="00097DE9" w:rsidRDefault="00B9518D" w:rsidP="00DF6827">
      <w:pPr>
        <w:pStyle w:val="ListParagraph"/>
        <w:ind w:left="0" w:firstLine="0"/>
        <w:jc w:val="both"/>
        <w:rPr>
          <w:rFonts w:eastAsiaTheme="majorEastAsia" w:cstheme="minorHAnsi"/>
          <w:color w:val="2F5496" w:themeColor="accent1" w:themeShade="BF"/>
          <w:sz w:val="24"/>
          <w:szCs w:val="24"/>
        </w:rPr>
      </w:pPr>
      <w:r w:rsidRPr="008C2F4A">
        <w:rPr>
          <w:b/>
          <w:bCs/>
        </w:rPr>
        <w:t xml:space="preserve">As noted earlier in the main text, individual businesses are eligible for the AFT regime. </w:t>
      </w:r>
      <w:r w:rsidRPr="00601E71">
        <w:t xml:space="preserve">Since these businesses are not formally registered, there is no automatic registration event. They must inform the </w:t>
      </w:r>
      <w:r w:rsidRPr="00601E71">
        <w:lastRenderedPageBreak/>
        <w:t>D</w:t>
      </w:r>
      <w:r w:rsidR="002D32A4">
        <w:t xml:space="preserve">irector </w:t>
      </w:r>
      <w:r w:rsidRPr="00601E71">
        <w:t>G</w:t>
      </w:r>
      <w:r w:rsidR="002D32A4">
        <w:t xml:space="preserve">eneral of </w:t>
      </w:r>
      <w:r w:rsidRPr="00601E71">
        <w:t>T</w:t>
      </w:r>
      <w:r w:rsidR="002D32A4">
        <w:t>axation</w:t>
      </w:r>
      <w:r w:rsidRPr="00601E71">
        <w:t xml:space="preserve"> that they are starting to earn income as a freelancer or free enterprise, and that they will be calculating their income tax obligations based on the AFT. </w:t>
      </w:r>
      <w:r>
        <w:t xml:space="preserve">Once subject to the </w:t>
      </w:r>
      <w:r w:rsidRPr="00601E71">
        <w:t>AFT, individual businesses pay no tax on their first R</w:t>
      </w:r>
      <w:r w:rsidR="0004266E">
        <w:t>p</w:t>
      </w:r>
      <w:r w:rsidRPr="00601E71">
        <w:t xml:space="preserve"> 500 million in revenues each year. Moreover, </w:t>
      </w:r>
      <w:r>
        <w:t xml:space="preserve">they may remain within the </w:t>
      </w:r>
      <w:r w:rsidRPr="00601E71">
        <w:t xml:space="preserve">AFT </w:t>
      </w:r>
      <w:r>
        <w:t xml:space="preserve">regime for longer than that afforded to </w:t>
      </w:r>
      <w:r w:rsidRPr="00601E71">
        <w:t>registered businesses (see discussion</w:t>
      </w:r>
      <w:r>
        <w:t xml:space="preserve"> below</w:t>
      </w:r>
      <w:r w:rsidRPr="00601E71">
        <w:t>).</w:t>
      </w:r>
    </w:p>
    <w:p w14:paraId="1148B3EF" w14:textId="77777777" w:rsidR="002D32A4" w:rsidRDefault="002D32A4">
      <w:pPr>
        <w:rPr>
          <w:rFonts w:ascii="Calibri" w:eastAsiaTheme="majorEastAsia" w:hAnsi="Calibri" w:cstheme="majorHAnsi"/>
          <w:b/>
          <w:color w:val="2F5496" w:themeColor="accent1" w:themeShade="BF"/>
          <w:sz w:val="32"/>
          <w:szCs w:val="32"/>
        </w:rPr>
      </w:pPr>
      <w:r>
        <w:rPr>
          <w:rFonts w:cstheme="majorHAnsi"/>
        </w:rPr>
        <w:br w:type="page"/>
      </w:r>
    </w:p>
    <w:p w14:paraId="17B7418E" w14:textId="4C77FA0F" w:rsidR="00DB072E" w:rsidRPr="00BE74E2" w:rsidRDefault="00DB072E" w:rsidP="00AC1333">
      <w:pPr>
        <w:pStyle w:val="Heading1"/>
        <w:spacing w:before="120"/>
        <w:ind w:left="0" w:firstLine="0"/>
        <w:jc w:val="both"/>
        <w:rPr>
          <w:rFonts w:cstheme="majorHAnsi"/>
        </w:rPr>
      </w:pPr>
      <w:bookmarkStart w:id="67" w:name="_Toc177819060"/>
      <w:r w:rsidRPr="00BE74E2">
        <w:rPr>
          <w:rFonts w:cstheme="majorHAnsi"/>
        </w:rPr>
        <w:lastRenderedPageBreak/>
        <w:t>A</w:t>
      </w:r>
      <w:r w:rsidR="00525612">
        <w:rPr>
          <w:rFonts w:cstheme="majorHAnsi"/>
        </w:rPr>
        <w:t>ppendi</w:t>
      </w:r>
      <w:r w:rsidRPr="00BE74E2">
        <w:rPr>
          <w:rFonts w:cstheme="majorHAnsi"/>
        </w:rPr>
        <w:t xml:space="preserve">x 5: </w:t>
      </w:r>
      <w:r w:rsidR="00F37C24" w:rsidRPr="00BE74E2">
        <w:rPr>
          <w:rFonts w:cstheme="majorHAnsi"/>
        </w:rPr>
        <w:t xml:space="preserve">Peer </w:t>
      </w:r>
      <w:r w:rsidR="002D32A4">
        <w:rPr>
          <w:rFonts w:cstheme="majorHAnsi"/>
        </w:rPr>
        <w:t>C</w:t>
      </w:r>
      <w:r w:rsidR="00F37C24" w:rsidRPr="00BE74E2">
        <w:rPr>
          <w:rFonts w:cstheme="majorHAnsi"/>
        </w:rPr>
        <w:t xml:space="preserve">ountry </w:t>
      </w:r>
      <w:r w:rsidR="002D32A4">
        <w:rPr>
          <w:rFonts w:cstheme="majorHAnsi"/>
        </w:rPr>
        <w:t>C</w:t>
      </w:r>
      <w:r w:rsidR="00F37C24" w:rsidRPr="00BE74E2">
        <w:rPr>
          <w:rFonts w:cstheme="majorHAnsi"/>
        </w:rPr>
        <w:t xml:space="preserve">ase </w:t>
      </w:r>
      <w:r w:rsidR="002D32A4">
        <w:rPr>
          <w:rFonts w:cstheme="majorHAnsi"/>
        </w:rPr>
        <w:t>S</w:t>
      </w:r>
      <w:r w:rsidR="00F37C24" w:rsidRPr="00BE74E2">
        <w:rPr>
          <w:rFonts w:cstheme="majorHAnsi"/>
        </w:rPr>
        <w:t xml:space="preserve">tudies: Increasing </w:t>
      </w:r>
      <w:r w:rsidR="002D32A4">
        <w:rPr>
          <w:rFonts w:cstheme="majorHAnsi"/>
        </w:rPr>
        <w:t>R</w:t>
      </w:r>
      <w:r w:rsidR="00F37C24" w:rsidRPr="00BE74E2">
        <w:rPr>
          <w:rFonts w:cstheme="majorHAnsi"/>
        </w:rPr>
        <w:t xml:space="preserve">evenues </w:t>
      </w:r>
      <w:r w:rsidR="002D32A4">
        <w:rPr>
          <w:rFonts w:cstheme="majorHAnsi"/>
        </w:rPr>
        <w:t>T</w:t>
      </w:r>
      <w:r w:rsidR="00F37C24" w:rsidRPr="00BE74E2">
        <w:rPr>
          <w:rFonts w:cstheme="majorHAnsi"/>
        </w:rPr>
        <w:t xml:space="preserve">hrough </w:t>
      </w:r>
      <w:r w:rsidR="002D32A4">
        <w:rPr>
          <w:rFonts w:cstheme="majorHAnsi"/>
        </w:rPr>
        <w:t>H</w:t>
      </w:r>
      <w:r w:rsidR="00F37C24" w:rsidRPr="00BE74E2">
        <w:rPr>
          <w:rFonts w:cstheme="majorHAnsi"/>
        </w:rPr>
        <w:t xml:space="preserve">igher </w:t>
      </w:r>
      <w:r w:rsidR="002D32A4">
        <w:rPr>
          <w:rFonts w:cstheme="majorHAnsi"/>
        </w:rPr>
        <w:t>S</w:t>
      </w:r>
      <w:r w:rsidR="00F37C24" w:rsidRPr="00BE74E2">
        <w:rPr>
          <w:rFonts w:cstheme="majorHAnsi"/>
        </w:rPr>
        <w:t xml:space="preserve">tatutory </w:t>
      </w:r>
      <w:r w:rsidR="002D32A4">
        <w:rPr>
          <w:rFonts w:cstheme="majorHAnsi"/>
        </w:rPr>
        <w:t>R</w:t>
      </w:r>
      <w:r w:rsidR="00F37C24" w:rsidRPr="00BE74E2">
        <w:rPr>
          <w:rFonts w:cstheme="majorHAnsi"/>
        </w:rPr>
        <w:t xml:space="preserve">ates and a </w:t>
      </w:r>
      <w:r w:rsidR="002D32A4">
        <w:rPr>
          <w:rFonts w:cstheme="majorHAnsi"/>
        </w:rPr>
        <w:t>B</w:t>
      </w:r>
      <w:r w:rsidR="00F37C24" w:rsidRPr="00BE74E2">
        <w:rPr>
          <w:rFonts w:cstheme="majorHAnsi"/>
        </w:rPr>
        <w:t xml:space="preserve">roader </w:t>
      </w:r>
      <w:r w:rsidR="002D32A4">
        <w:rPr>
          <w:rFonts w:cstheme="majorHAnsi"/>
        </w:rPr>
        <w:t>T</w:t>
      </w:r>
      <w:r w:rsidR="00F37C24" w:rsidRPr="00BE74E2">
        <w:rPr>
          <w:rFonts w:cstheme="majorHAnsi"/>
        </w:rPr>
        <w:t xml:space="preserve">ax </w:t>
      </w:r>
      <w:r w:rsidR="002D32A4">
        <w:rPr>
          <w:rFonts w:cstheme="majorHAnsi"/>
        </w:rPr>
        <w:t>B</w:t>
      </w:r>
      <w:r w:rsidR="00F37C24" w:rsidRPr="00BE74E2">
        <w:rPr>
          <w:rFonts w:cstheme="majorHAnsi"/>
        </w:rPr>
        <w:t>ase</w:t>
      </w:r>
      <w:bookmarkEnd w:id="67"/>
    </w:p>
    <w:p w14:paraId="3F929009" w14:textId="71EA0168" w:rsidR="005607CA" w:rsidRPr="00A765BB" w:rsidRDefault="005607CA" w:rsidP="005607CA">
      <w:pPr>
        <w:pStyle w:val="ListParagraph"/>
        <w:spacing w:before="120" w:after="0"/>
        <w:ind w:left="0" w:firstLine="0"/>
        <w:contextualSpacing w:val="0"/>
        <w:jc w:val="both"/>
        <w:rPr>
          <w:rFonts w:eastAsiaTheme="minorEastAsia" w:cstheme="minorHAnsi"/>
          <w:lang w:val="en-GB"/>
        </w:rPr>
      </w:pPr>
      <w:r w:rsidRPr="00A765BB">
        <w:rPr>
          <w:rFonts w:eastAsiaTheme="minorEastAsia" w:cstheme="minorHAnsi"/>
          <w:b/>
          <w:bCs/>
          <w:lang w:val="en-GB"/>
        </w:rPr>
        <w:t>Increasing the statutory VAT rate cannot be a standalone reform measure.</w:t>
      </w:r>
      <w:r w:rsidRPr="00A765BB">
        <w:rPr>
          <w:rFonts w:eastAsiaTheme="minorEastAsia" w:cstheme="minorHAnsi"/>
          <w:lang w:val="en-GB"/>
        </w:rPr>
        <w:t xml:space="preserve"> The policy reform requires additional measures in the form of broadening the tax base and enforcing high compliance. Although </w:t>
      </w:r>
      <w:r w:rsidR="00D13B43">
        <w:rPr>
          <w:rFonts w:eastAsiaTheme="minorEastAsia" w:cstheme="minorHAnsi"/>
          <w:lang w:val="en-GB"/>
        </w:rPr>
        <w:t xml:space="preserve">an increase in the </w:t>
      </w:r>
      <w:r w:rsidRPr="00A765BB">
        <w:rPr>
          <w:rFonts w:eastAsiaTheme="minorEastAsia" w:cstheme="minorHAnsi"/>
          <w:lang w:val="en-GB"/>
        </w:rPr>
        <w:t xml:space="preserve">VAT rate brings revenue gains in theory, without additional measures such revenue gains might be restrained by the inability to enforce </w:t>
      </w:r>
      <w:r w:rsidR="00D13B43">
        <w:rPr>
          <w:rFonts w:eastAsiaTheme="minorEastAsia" w:cstheme="minorHAnsi"/>
          <w:lang w:val="en-GB"/>
        </w:rPr>
        <w:t xml:space="preserve">a </w:t>
      </w:r>
      <w:r w:rsidRPr="00A765BB">
        <w:rPr>
          <w:rFonts w:eastAsiaTheme="minorEastAsia" w:cstheme="minorHAnsi"/>
          <w:lang w:val="en-GB"/>
        </w:rPr>
        <w:t>higher tax burden in certain sectors. The case studies on reforms in Argentina, Hungary</w:t>
      </w:r>
      <w:r w:rsidR="00D13B43">
        <w:rPr>
          <w:rFonts w:eastAsiaTheme="minorEastAsia" w:cstheme="minorHAnsi"/>
          <w:lang w:val="en-GB"/>
        </w:rPr>
        <w:t>,</w:t>
      </w:r>
      <w:r w:rsidRPr="00A765BB">
        <w:rPr>
          <w:rFonts w:eastAsiaTheme="minorEastAsia" w:cstheme="minorHAnsi"/>
          <w:lang w:val="en-GB"/>
        </w:rPr>
        <w:t xml:space="preserve"> and Romania highlight the significance of interlinkages between three elements of tax rates, base-broadening reforms, and compliance measures.</w:t>
      </w:r>
    </w:p>
    <w:p w14:paraId="74AC7B9D" w14:textId="6423E3F0" w:rsidR="005607CA" w:rsidRPr="00391086" w:rsidRDefault="005607CA" w:rsidP="005607CA">
      <w:pPr>
        <w:pStyle w:val="ListParagraph"/>
        <w:spacing w:before="120" w:after="0"/>
        <w:ind w:left="0" w:firstLine="0"/>
        <w:contextualSpacing w:val="0"/>
        <w:jc w:val="both"/>
        <w:rPr>
          <w:rFonts w:eastAsiaTheme="minorEastAsia" w:cstheme="minorHAnsi"/>
          <w:b/>
          <w:bCs/>
          <w:color w:val="000000" w:themeColor="text1"/>
          <w:lang w:val="en-GB"/>
        </w:rPr>
      </w:pPr>
      <w:r w:rsidRPr="00A765BB">
        <w:rPr>
          <w:rFonts w:eastAsiaTheme="minorEastAsia" w:cstheme="minorHAnsi"/>
          <w:b/>
          <w:bCs/>
          <w:lang w:val="en-GB"/>
        </w:rPr>
        <w:t xml:space="preserve">Argentina experienced a threefold increase in VAT revenue </w:t>
      </w:r>
      <w:r w:rsidR="00D13B43">
        <w:rPr>
          <w:rFonts w:eastAsiaTheme="minorEastAsia" w:cstheme="minorHAnsi"/>
          <w:b/>
          <w:bCs/>
          <w:lang w:val="en-GB"/>
        </w:rPr>
        <w:t xml:space="preserve">as a percentage of GDP </w:t>
      </w:r>
      <w:r w:rsidRPr="00A765BB">
        <w:rPr>
          <w:rFonts w:eastAsiaTheme="minorEastAsia" w:cstheme="minorHAnsi"/>
          <w:b/>
          <w:bCs/>
          <w:lang w:val="en-GB"/>
        </w:rPr>
        <w:t xml:space="preserve">between 1990 and 1993 after eliminating certain exemptions and extending the tax </w:t>
      </w:r>
      <w:r w:rsidRPr="00391086">
        <w:rPr>
          <w:rFonts w:eastAsiaTheme="minorEastAsia" w:cstheme="minorHAnsi"/>
          <w:b/>
          <w:bCs/>
          <w:color w:val="000000" w:themeColor="text1"/>
          <w:lang w:val="en-GB"/>
        </w:rPr>
        <w:t xml:space="preserve">base </w:t>
      </w:r>
      <w:r w:rsidRPr="00391086">
        <w:rPr>
          <w:rFonts w:cstheme="minorHAnsi"/>
          <w:b/>
          <w:bCs/>
          <w:color w:val="000000" w:themeColor="text1"/>
        </w:rPr>
        <w:t xml:space="preserve">(Figure </w:t>
      </w:r>
      <w:r w:rsidR="00D13B43">
        <w:rPr>
          <w:rFonts w:cstheme="minorHAnsi"/>
          <w:b/>
          <w:bCs/>
          <w:color w:val="000000" w:themeColor="text1"/>
        </w:rPr>
        <w:t>5A</w:t>
      </w:r>
      <w:r w:rsidRPr="00391086">
        <w:rPr>
          <w:rFonts w:cstheme="minorHAnsi"/>
          <w:b/>
          <w:bCs/>
          <w:color w:val="000000" w:themeColor="text1"/>
        </w:rPr>
        <w:t>.</w:t>
      </w:r>
      <w:r w:rsidR="00D13B43">
        <w:rPr>
          <w:rFonts w:cstheme="minorHAnsi"/>
          <w:b/>
          <w:bCs/>
          <w:color w:val="000000" w:themeColor="text1"/>
        </w:rPr>
        <w:t>1</w:t>
      </w:r>
      <w:r w:rsidRPr="00391086">
        <w:rPr>
          <w:rFonts w:cstheme="minorHAnsi"/>
          <w:b/>
          <w:bCs/>
          <w:color w:val="000000" w:themeColor="text1"/>
        </w:rPr>
        <w:t>)</w:t>
      </w:r>
      <w:r w:rsidRPr="00391086">
        <w:rPr>
          <w:rFonts w:cstheme="minorHAnsi"/>
          <w:color w:val="000000" w:themeColor="text1"/>
        </w:rPr>
        <w:t xml:space="preserve">. Dropping VAT revenue to GDP ratio and broader problems with domestic revenue mobilization led to </w:t>
      </w:r>
      <w:r w:rsidR="00D13B43">
        <w:rPr>
          <w:rFonts w:cstheme="minorHAnsi"/>
          <w:color w:val="000000" w:themeColor="text1"/>
        </w:rPr>
        <w:t xml:space="preserve">a </w:t>
      </w:r>
      <w:r w:rsidRPr="00391086">
        <w:rPr>
          <w:rFonts w:cstheme="minorHAnsi"/>
          <w:color w:val="000000" w:themeColor="text1"/>
        </w:rPr>
        <w:t xml:space="preserve">gradual increase of the VAT rate and simultaneous removal of numerous exemptions. The standard VAT rate was elevated from 13 percent in 1990, to its current 21 percent level by 1997. At the same time, the reforms eliminated </w:t>
      </w:r>
      <w:r w:rsidR="00D13B43">
        <w:rPr>
          <w:rFonts w:cstheme="minorHAnsi"/>
          <w:color w:val="000000" w:themeColor="text1"/>
        </w:rPr>
        <w:t>most</w:t>
      </w:r>
      <w:r w:rsidRPr="00391086">
        <w:rPr>
          <w:rFonts w:cstheme="minorHAnsi"/>
          <w:color w:val="000000" w:themeColor="text1"/>
        </w:rPr>
        <w:t xml:space="preserve"> exemption</w:t>
      </w:r>
      <w:r w:rsidR="00D13B43">
        <w:rPr>
          <w:rFonts w:cstheme="minorHAnsi"/>
          <w:color w:val="000000" w:themeColor="text1"/>
        </w:rPr>
        <w:t>s</w:t>
      </w:r>
      <w:r w:rsidRPr="00391086">
        <w:rPr>
          <w:rFonts w:cstheme="minorHAnsi"/>
          <w:color w:val="000000" w:themeColor="text1"/>
        </w:rPr>
        <w:t xml:space="preserve"> on goods and services</w:t>
      </w:r>
      <w:r w:rsidR="00D13B43">
        <w:rPr>
          <w:rFonts w:cstheme="minorHAnsi"/>
          <w:color w:val="000000" w:themeColor="text1"/>
        </w:rPr>
        <w:t>.</w:t>
      </w:r>
      <w:r w:rsidRPr="00391086">
        <w:rPr>
          <w:rFonts w:cstheme="minorHAnsi"/>
          <w:color w:val="000000" w:themeColor="text1"/>
          <w:vertAlign w:val="superscript"/>
        </w:rPr>
        <w:footnoteReference w:id="105"/>
      </w:r>
      <w:r w:rsidRPr="00391086">
        <w:rPr>
          <w:rFonts w:cstheme="minorHAnsi"/>
          <w:color w:val="000000" w:themeColor="text1"/>
        </w:rPr>
        <w:t xml:space="preserve"> The VAT base was also extended to financial and insurance services</w:t>
      </w:r>
      <w:r w:rsidR="00D13B43">
        <w:rPr>
          <w:rFonts w:cstheme="minorHAnsi"/>
          <w:color w:val="000000" w:themeColor="text1"/>
        </w:rPr>
        <w:t xml:space="preserve">, </w:t>
      </w:r>
      <w:r w:rsidRPr="00391086">
        <w:rPr>
          <w:rFonts w:cstheme="minorHAnsi"/>
          <w:color w:val="000000" w:themeColor="text1"/>
        </w:rPr>
        <w:t>cultural services</w:t>
      </w:r>
      <w:r w:rsidR="00D13B43">
        <w:rPr>
          <w:rFonts w:cstheme="minorHAnsi"/>
          <w:color w:val="000000" w:themeColor="text1"/>
        </w:rPr>
        <w:t>,</w:t>
      </w:r>
      <w:r w:rsidRPr="00391086">
        <w:rPr>
          <w:rFonts w:cstheme="minorHAnsi"/>
          <w:color w:val="000000" w:themeColor="text1"/>
        </w:rPr>
        <w:t xml:space="preserve"> and domestic transport. In consequence, </w:t>
      </w:r>
      <w:r w:rsidR="00D13B43">
        <w:rPr>
          <w:rFonts w:cstheme="minorHAnsi"/>
          <w:color w:val="000000" w:themeColor="text1"/>
        </w:rPr>
        <w:t xml:space="preserve">the </w:t>
      </w:r>
      <w:r w:rsidRPr="00391086">
        <w:rPr>
          <w:rFonts w:cstheme="minorHAnsi"/>
          <w:color w:val="000000" w:themeColor="text1"/>
        </w:rPr>
        <w:t xml:space="preserve">threefold increase in VAT revenue between 1990 and 1993 (from 2 percent to 6 percent of GDP) was much more pronounced than the increase in the statutory VAT rate.  </w:t>
      </w:r>
    </w:p>
    <w:p w14:paraId="180F27C7" w14:textId="261124B3" w:rsidR="005607CA" w:rsidRPr="00391086" w:rsidRDefault="005607CA" w:rsidP="005607CA">
      <w:pPr>
        <w:pStyle w:val="ListParagraph"/>
        <w:spacing w:before="120" w:after="0"/>
        <w:ind w:left="0" w:firstLine="0"/>
        <w:contextualSpacing w:val="0"/>
        <w:jc w:val="both"/>
        <w:rPr>
          <w:rFonts w:cstheme="minorHAnsi"/>
          <w:b/>
          <w:bCs/>
          <w:color w:val="000000" w:themeColor="text1"/>
        </w:rPr>
      </w:pPr>
      <w:r w:rsidRPr="00391086">
        <w:rPr>
          <w:rFonts w:cstheme="minorHAnsi"/>
          <w:b/>
          <w:bCs/>
          <w:color w:val="000000" w:themeColor="text1"/>
        </w:rPr>
        <w:t>Hungary gradually improved its VAT revenue collection by strengthening the tax administration, while simultaneously r</w:t>
      </w:r>
      <w:r w:rsidR="00D13B43">
        <w:rPr>
          <w:rFonts w:cstheme="minorHAnsi"/>
          <w:b/>
          <w:bCs/>
          <w:color w:val="000000" w:themeColor="text1"/>
        </w:rPr>
        <w:t>a</w:t>
      </w:r>
      <w:r w:rsidRPr="00391086">
        <w:rPr>
          <w:rFonts w:cstheme="minorHAnsi"/>
          <w:b/>
          <w:bCs/>
          <w:color w:val="000000" w:themeColor="text1"/>
        </w:rPr>
        <w:t xml:space="preserve">ising the statutory rate between 2009 and 2012 (Figure </w:t>
      </w:r>
      <w:r w:rsidR="00D13B43">
        <w:rPr>
          <w:rFonts w:cstheme="minorHAnsi"/>
          <w:b/>
          <w:bCs/>
          <w:color w:val="000000" w:themeColor="text1"/>
        </w:rPr>
        <w:t>5A.2</w:t>
      </w:r>
      <w:r w:rsidRPr="00391086">
        <w:rPr>
          <w:rFonts w:cstheme="minorHAnsi"/>
          <w:b/>
          <w:bCs/>
          <w:color w:val="000000" w:themeColor="text1"/>
        </w:rPr>
        <w:t xml:space="preserve">). </w:t>
      </w:r>
      <w:r w:rsidRPr="00391086">
        <w:rPr>
          <w:rFonts w:cstheme="minorHAnsi"/>
          <w:color w:val="000000" w:themeColor="text1"/>
        </w:rPr>
        <w:t xml:space="preserve">Falling tax revenue in the wake of financial crisis led Hungary to increase its statutory standard rate from 20 to 25 percent in mid-2009, and further to 27 percent in 2012, namely the highest VAT rate in </w:t>
      </w:r>
      <w:r w:rsidR="006C277F">
        <w:rPr>
          <w:rFonts w:cstheme="minorHAnsi"/>
          <w:color w:val="000000" w:themeColor="text1"/>
        </w:rPr>
        <w:t xml:space="preserve">the European </w:t>
      </w:r>
      <w:r w:rsidRPr="00391086">
        <w:rPr>
          <w:rFonts w:cstheme="minorHAnsi"/>
          <w:color w:val="000000" w:themeColor="text1"/>
        </w:rPr>
        <w:t>U</w:t>
      </w:r>
      <w:r w:rsidR="006C277F">
        <w:rPr>
          <w:rFonts w:cstheme="minorHAnsi"/>
          <w:color w:val="000000" w:themeColor="text1"/>
        </w:rPr>
        <w:t>nion</w:t>
      </w:r>
      <w:r w:rsidRPr="00391086">
        <w:rPr>
          <w:rFonts w:cstheme="minorHAnsi"/>
          <w:color w:val="000000" w:themeColor="text1"/>
        </w:rPr>
        <w:t xml:space="preserve">. Regardless of the increasing burden and stronger incentives not to pay VAT, C-efficiency has gradually increased </w:t>
      </w:r>
      <w:r w:rsidR="006C277F">
        <w:rPr>
          <w:rFonts w:cstheme="minorHAnsi"/>
          <w:color w:val="000000" w:themeColor="text1"/>
        </w:rPr>
        <w:t>due</w:t>
      </w:r>
      <w:r w:rsidRPr="00391086">
        <w:rPr>
          <w:rFonts w:cstheme="minorHAnsi"/>
          <w:color w:val="000000" w:themeColor="text1"/>
        </w:rPr>
        <w:t>, among other</w:t>
      </w:r>
      <w:r w:rsidR="006C277F">
        <w:rPr>
          <w:rFonts w:cstheme="minorHAnsi"/>
          <w:color w:val="000000" w:themeColor="text1"/>
        </w:rPr>
        <w:t xml:space="preserve"> factors</w:t>
      </w:r>
      <w:r w:rsidRPr="00391086">
        <w:rPr>
          <w:rFonts w:cstheme="minorHAnsi"/>
          <w:color w:val="000000" w:themeColor="text1"/>
        </w:rPr>
        <w:t>, to Hungary’s efforts strengthen revenue administration. For example, it involves mandatory online cash registration in certain sectors such as retail, accommodation, and food services. It aims to reduce the value of sales without invoices in the sectors with prevalent unrecorded transactions.</w:t>
      </w:r>
    </w:p>
    <w:p w14:paraId="1875CCF2" w14:textId="1D633B8B" w:rsidR="005607CA" w:rsidRPr="005607CA" w:rsidRDefault="005607CA" w:rsidP="005607CA">
      <w:pPr>
        <w:pStyle w:val="ListParagraph"/>
        <w:spacing w:before="120" w:after="0"/>
        <w:ind w:left="0" w:firstLine="0"/>
        <w:contextualSpacing w:val="0"/>
        <w:jc w:val="both"/>
        <w:rPr>
          <w:rFonts w:cstheme="minorHAnsi"/>
          <w:color w:val="000000" w:themeColor="text1"/>
        </w:rPr>
      </w:pPr>
      <w:r w:rsidRPr="00391086">
        <w:rPr>
          <w:rFonts w:cstheme="minorHAnsi"/>
          <w:b/>
          <w:bCs/>
          <w:color w:val="000000" w:themeColor="text1"/>
        </w:rPr>
        <w:t>High noncompliance could reduce revenue gains from VAT rates’ increase and could fuel evasion</w:t>
      </w:r>
      <w:r w:rsidR="006C277F">
        <w:rPr>
          <w:rFonts w:cstheme="minorHAnsi"/>
          <w:b/>
          <w:bCs/>
          <w:color w:val="000000" w:themeColor="text1"/>
        </w:rPr>
        <w:t>–</w:t>
      </w:r>
      <w:r w:rsidRPr="00391086">
        <w:rPr>
          <w:rFonts w:cstheme="minorHAnsi"/>
          <w:b/>
          <w:bCs/>
          <w:color w:val="000000" w:themeColor="text1"/>
        </w:rPr>
        <w:t xml:space="preserve"> as in the case of Romania. </w:t>
      </w:r>
      <w:r w:rsidRPr="00391086">
        <w:rPr>
          <w:rFonts w:cstheme="minorHAnsi"/>
          <w:color w:val="000000" w:themeColor="text1"/>
        </w:rPr>
        <w:t xml:space="preserve">In the aftermath of the 2009 financial crisis when Romania’s VAT revenues contracted by 30 percent, the administration has increased markedly its statutory VAT rate (from 19 to 24 percent in mid-2010). In terms of its VAT compliance, Romania ranked last in the </w:t>
      </w:r>
      <w:r w:rsidR="00332067">
        <w:rPr>
          <w:rFonts w:cstheme="minorHAnsi"/>
          <w:color w:val="000000" w:themeColor="text1"/>
        </w:rPr>
        <w:t xml:space="preserve">European </w:t>
      </w:r>
      <w:r w:rsidRPr="00391086">
        <w:rPr>
          <w:rFonts w:cstheme="minorHAnsi"/>
          <w:color w:val="000000" w:themeColor="text1"/>
        </w:rPr>
        <w:t>U</w:t>
      </w:r>
      <w:r w:rsidR="00332067">
        <w:rPr>
          <w:rFonts w:cstheme="minorHAnsi"/>
          <w:color w:val="000000" w:themeColor="text1"/>
        </w:rPr>
        <w:t>nion (European Union 2022)</w:t>
      </w:r>
      <w:r w:rsidRPr="00391086">
        <w:rPr>
          <w:rFonts w:cstheme="minorHAnsi"/>
          <w:color w:val="000000" w:themeColor="text1"/>
        </w:rPr>
        <w:t xml:space="preserve"> even </w:t>
      </w:r>
      <w:r w:rsidRPr="00A765BB">
        <w:rPr>
          <w:rFonts w:cstheme="minorHAnsi"/>
        </w:rPr>
        <w:t>before the crisis and the administration did not introduce compliance reforms. The problems with enforcing VAT compliance have</w:t>
      </w:r>
      <w:r w:rsidR="00332067">
        <w:rPr>
          <w:rFonts w:cstheme="minorHAnsi"/>
        </w:rPr>
        <w:t>, therefore,</w:t>
      </w:r>
      <w:r w:rsidRPr="00A765BB">
        <w:rPr>
          <w:rFonts w:cstheme="minorHAnsi"/>
        </w:rPr>
        <w:t xml:space="preserve"> largely offset the revenue gains, as C-efficiency dropped by over 5 percentage points compared to </w:t>
      </w:r>
      <w:r w:rsidRPr="005607CA">
        <w:rPr>
          <w:rFonts w:cstheme="minorHAnsi"/>
          <w:color w:val="000000" w:themeColor="text1"/>
        </w:rPr>
        <w:t xml:space="preserve">pre-crisis levels (Figure </w:t>
      </w:r>
      <w:r w:rsidR="00D13B43">
        <w:rPr>
          <w:rFonts w:cstheme="minorHAnsi"/>
          <w:color w:val="000000" w:themeColor="text1"/>
        </w:rPr>
        <w:t>5A.</w:t>
      </w:r>
      <w:r w:rsidR="00332067">
        <w:rPr>
          <w:rFonts w:cstheme="minorHAnsi"/>
          <w:color w:val="000000" w:themeColor="text1"/>
        </w:rPr>
        <w:t>3</w:t>
      </w:r>
      <w:r w:rsidRPr="005607CA">
        <w:rPr>
          <w:rFonts w:cstheme="minorHAnsi"/>
          <w:color w:val="000000" w:themeColor="text1"/>
        </w:rPr>
        <w:t xml:space="preserve">). In consequence, VAT revenue to GDP ratio remained at the level observed before the hike.    </w:t>
      </w:r>
    </w:p>
    <w:p w14:paraId="43657A7D" w14:textId="77777777" w:rsidR="005607CA" w:rsidRPr="00A765BB" w:rsidRDefault="005607CA" w:rsidP="005607CA">
      <w:pPr>
        <w:pStyle w:val="ListParagraph"/>
        <w:spacing w:before="120" w:after="0"/>
        <w:ind w:left="0" w:firstLine="0"/>
        <w:contextualSpacing w:val="0"/>
        <w:jc w:val="both"/>
        <w:rPr>
          <w:rFonts w:cstheme="minorHAnsi"/>
        </w:rPr>
      </w:pPr>
    </w:p>
    <w:tbl>
      <w:tblPr>
        <w:tblStyle w:val="TableGrid1"/>
        <w:tblW w:w="0" w:type="auto"/>
        <w:tblLook w:val="04A0" w:firstRow="1" w:lastRow="0" w:firstColumn="1" w:lastColumn="0" w:noHBand="0" w:noVBand="1"/>
      </w:tblPr>
      <w:tblGrid>
        <w:gridCol w:w="4791"/>
        <w:gridCol w:w="4490"/>
      </w:tblGrid>
      <w:tr w:rsidR="005607CA" w:rsidRPr="00B10EEC" w14:paraId="5F7FF618" w14:textId="77777777" w:rsidTr="00F975F3">
        <w:tc>
          <w:tcPr>
            <w:tcW w:w="4526" w:type="dxa"/>
          </w:tcPr>
          <w:p w14:paraId="7A44169C" w14:textId="1D36CFFC" w:rsidR="005607CA" w:rsidRPr="00B10EEC" w:rsidRDefault="005607CA" w:rsidP="00DA1A7B">
            <w:pPr>
              <w:keepNext/>
              <w:keepLines/>
              <w:rPr>
                <w:rFonts w:asciiTheme="minorHAnsi" w:eastAsia="Times New Roman" w:hAnsiTheme="minorHAnsi" w:cstheme="minorHAnsi"/>
                <w:color w:val="0C4DA2"/>
              </w:rPr>
            </w:pPr>
            <w:r w:rsidRPr="00B10EEC">
              <w:rPr>
                <w:rFonts w:asciiTheme="minorHAnsi" w:eastAsia="Times New Roman" w:hAnsiTheme="minorHAnsi" w:cstheme="minorHAnsi"/>
                <w:b/>
                <w:bCs/>
                <w:color w:val="0C4DA2"/>
                <w:sz w:val="18"/>
              </w:rPr>
              <w:lastRenderedPageBreak/>
              <w:t xml:space="preserve">Figure </w:t>
            </w:r>
            <w:r w:rsidR="00D13B43">
              <w:rPr>
                <w:rFonts w:asciiTheme="minorHAnsi" w:eastAsia="Times New Roman" w:hAnsiTheme="minorHAnsi" w:cstheme="minorHAnsi"/>
                <w:b/>
                <w:bCs/>
                <w:color w:val="0C4DA2"/>
                <w:sz w:val="18"/>
              </w:rPr>
              <w:t>5A.1</w:t>
            </w:r>
            <w:r w:rsidRPr="00B10EEC">
              <w:rPr>
                <w:rFonts w:asciiTheme="minorHAnsi" w:eastAsia="Times New Roman" w:hAnsiTheme="minorHAnsi" w:cstheme="minorHAnsi"/>
                <w:b/>
                <w:bCs/>
                <w:color w:val="0C4DA2"/>
                <w:sz w:val="18"/>
              </w:rPr>
              <w:t>: VAT revenue to GDP and VAT rate hikes in Argentina (1990-1997</w:t>
            </w:r>
            <w:r w:rsidRPr="00B10EEC">
              <w:rPr>
                <w:rFonts w:asciiTheme="minorHAnsi" w:eastAsia="Times New Roman" w:hAnsiTheme="minorHAnsi" w:cstheme="minorHAnsi"/>
                <w:color w:val="0C4DA2"/>
                <w:sz w:val="18"/>
              </w:rPr>
              <w:t>)</w:t>
            </w:r>
          </w:p>
          <w:p w14:paraId="21244F71" w14:textId="2F57884B" w:rsidR="005607CA" w:rsidRPr="00B10EEC" w:rsidRDefault="005607CA" w:rsidP="00DA1A7B">
            <w:pPr>
              <w:rPr>
                <w:rFonts w:asciiTheme="minorHAnsi" w:hAnsiTheme="minorHAnsi" w:cstheme="minorHAnsi"/>
              </w:rPr>
            </w:pPr>
            <w:r w:rsidRPr="00B10EEC">
              <w:rPr>
                <w:rFonts w:asciiTheme="minorHAnsi" w:hAnsiTheme="minorHAnsi" w:cstheme="minorHAnsi"/>
                <w:i/>
                <w:sz w:val="18"/>
                <w:szCs w:val="18"/>
              </w:rPr>
              <w:t>(percent</w:t>
            </w:r>
            <w:r w:rsidR="00D13B43">
              <w:rPr>
                <w:rFonts w:asciiTheme="minorHAnsi" w:hAnsiTheme="minorHAnsi" w:cstheme="minorHAnsi"/>
                <w:i/>
                <w:sz w:val="18"/>
                <w:szCs w:val="18"/>
              </w:rPr>
              <w:t>age</w:t>
            </w:r>
            <w:r w:rsidRPr="00B10EEC">
              <w:rPr>
                <w:rFonts w:asciiTheme="minorHAnsi" w:hAnsiTheme="minorHAnsi" w:cstheme="minorHAnsi"/>
                <w:i/>
                <w:sz w:val="18"/>
                <w:szCs w:val="18"/>
              </w:rPr>
              <w:t>)</w:t>
            </w:r>
          </w:p>
        </w:tc>
        <w:tc>
          <w:tcPr>
            <w:tcW w:w="4490" w:type="dxa"/>
          </w:tcPr>
          <w:p w14:paraId="090863C4" w14:textId="5AD5B8DB" w:rsidR="005607CA" w:rsidRPr="00B10EEC" w:rsidRDefault="005607CA" w:rsidP="00DA1A7B">
            <w:pPr>
              <w:keepNext/>
              <w:keepLines/>
              <w:rPr>
                <w:rFonts w:asciiTheme="minorHAnsi" w:eastAsia="Times New Roman" w:hAnsiTheme="minorHAnsi" w:cstheme="minorHAnsi"/>
                <w:b/>
                <w:bCs/>
                <w:color w:val="0C4DA2"/>
                <w:sz w:val="18"/>
              </w:rPr>
            </w:pPr>
            <w:r w:rsidRPr="00B10EEC">
              <w:rPr>
                <w:rFonts w:asciiTheme="minorHAnsi" w:eastAsia="Times New Roman" w:hAnsiTheme="minorHAnsi" w:cstheme="minorHAnsi"/>
                <w:b/>
                <w:bCs/>
                <w:color w:val="0C4DA2"/>
                <w:sz w:val="18"/>
              </w:rPr>
              <w:t xml:space="preserve">Figure </w:t>
            </w:r>
            <w:r w:rsidR="00D13B43">
              <w:rPr>
                <w:rFonts w:asciiTheme="minorHAnsi" w:eastAsia="Times New Roman" w:hAnsiTheme="minorHAnsi" w:cstheme="minorHAnsi"/>
                <w:b/>
                <w:bCs/>
                <w:color w:val="0C4DA2"/>
                <w:sz w:val="18"/>
              </w:rPr>
              <w:t>5A.2</w:t>
            </w:r>
            <w:r w:rsidRPr="00B10EEC">
              <w:rPr>
                <w:rFonts w:asciiTheme="minorHAnsi" w:eastAsia="Times New Roman" w:hAnsiTheme="minorHAnsi" w:cstheme="minorHAnsi"/>
                <w:b/>
                <w:bCs/>
                <w:color w:val="0C4DA2"/>
                <w:sz w:val="18"/>
              </w:rPr>
              <w:t>: VAT revenue to GDP, C-efficiency, and VAT rate hikes in Hungary (2006-2014)</w:t>
            </w:r>
          </w:p>
          <w:p w14:paraId="21E81525" w14:textId="0D84E9F7" w:rsidR="005607CA" w:rsidRPr="00B10EEC" w:rsidRDefault="005607CA" w:rsidP="00DA1A7B">
            <w:pPr>
              <w:rPr>
                <w:rFonts w:asciiTheme="minorHAnsi" w:hAnsiTheme="minorHAnsi" w:cstheme="minorHAnsi"/>
              </w:rPr>
            </w:pPr>
            <w:r w:rsidRPr="00B10EEC">
              <w:rPr>
                <w:rFonts w:asciiTheme="minorHAnsi" w:hAnsiTheme="minorHAnsi" w:cstheme="minorHAnsi"/>
                <w:i/>
                <w:sz w:val="18"/>
                <w:szCs w:val="18"/>
              </w:rPr>
              <w:t>(percent</w:t>
            </w:r>
            <w:r w:rsidR="00D13B43">
              <w:rPr>
                <w:rFonts w:asciiTheme="minorHAnsi" w:hAnsiTheme="minorHAnsi" w:cstheme="minorHAnsi"/>
                <w:i/>
                <w:sz w:val="18"/>
                <w:szCs w:val="18"/>
              </w:rPr>
              <w:t>age</w:t>
            </w:r>
            <w:r w:rsidRPr="00B10EEC">
              <w:rPr>
                <w:rFonts w:asciiTheme="minorHAnsi" w:hAnsiTheme="minorHAnsi" w:cstheme="minorHAnsi"/>
                <w:i/>
                <w:sz w:val="18"/>
                <w:szCs w:val="18"/>
              </w:rPr>
              <w:t>)</w:t>
            </w:r>
          </w:p>
        </w:tc>
      </w:tr>
      <w:tr w:rsidR="005607CA" w:rsidRPr="00B10EEC" w14:paraId="7D89EF35" w14:textId="77777777" w:rsidTr="00F975F3">
        <w:tc>
          <w:tcPr>
            <w:tcW w:w="4526" w:type="dxa"/>
          </w:tcPr>
          <w:p w14:paraId="4B10E5C3" w14:textId="77777777" w:rsidR="005607CA" w:rsidRPr="00B10EEC" w:rsidRDefault="005607CA" w:rsidP="00DA1A7B">
            <w:r w:rsidRPr="00B10EEC">
              <w:rPr>
                <w:noProof/>
              </w:rPr>
              <w:drawing>
                <wp:inline distT="0" distB="0" distL="0" distR="0" wp14:anchorId="14B8DEAB" wp14:editId="03E7971B">
                  <wp:extent cx="2905125" cy="2182483"/>
                  <wp:effectExtent l="0" t="0" r="0" b="8890"/>
                  <wp:docPr id="15" name="Chart 15">
                    <a:extLst xmlns:a="http://schemas.openxmlformats.org/drawingml/2006/main">
                      <a:ext uri="{FF2B5EF4-FFF2-40B4-BE49-F238E27FC236}">
                        <a16:creationId xmlns:a16="http://schemas.microsoft.com/office/drawing/2014/main" id="{79A5EA68-BEE6-53F3-C696-E2A713FB1E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c>
          <w:tcPr>
            <w:tcW w:w="4490" w:type="dxa"/>
          </w:tcPr>
          <w:p w14:paraId="624B4B05" w14:textId="55AD8C2D" w:rsidR="005607CA" w:rsidRPr="00B10EEC" w:rsidRDefault="00F975F3" w:rsidP="00DA1A7B">
            <w:r>
              <w:rPr>
                <w:noProof/>
              </w:rPr>
              <w:drawing>
                <wp:inline distT="0" distB="0" distL="0" distR="0" wp14:anchorId="3B30537D" wp14:editId="11D2DB19">
                  <wp:extent cx="2673350" cy="2108200"/>
                  <wp:effectExtent l="0" t="0" r="12700" b="6350"/>
                  <wp:docPr id="1190729727" name="Chart 1">
                    <a:extLst xmlns:a="http://schemas.openxmlformats.org/drawingml/2006/main">
                      <a:ext uri="{FF2B5EF4-FFF2-40B4-BE49-F238E27FC236}">
                        <a16:creationId xmlns:a16="http://schemas.microsoft.com/office/drawing/2014/main" id="{AFE9C00C-10BA-4F17-9C6D-2ACAD077FD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r>
      <w:tr w:rsidR="005607CA" w:rsidRPr="00B10EEC" w14:paraId="4E56E3C9" w14:textId="77777777" w:rsidTr="00F975F3">
        <w:tblPrEx>
          <w:tblCellMar>
            <w:left w:w="70" w:type="dxa"/>
            <w:right w:w="70" w:type="dxa"/>
          </w:tblCellMar>
        </w:tblPrEx>
        <w:tc>
          <w:tcPr>
            <w:tcW w:w="4526" w:type="dxa"/>
          </w:tcPr>
          <w:p w14:paraId="2FAAAFC7" w14:textId="777D948D" w:rsidR="005607CA" w:rsidRPr="00B10EEC" w:rsidRDefault="005607CA" w:rsidP="00DA1A7B">
            <w:pPr>
              <w:ind w:left="-15" w:firstLine="15"/>
              <w:rPr>
                <w:rFonts w:asciiTheme="minorHAnsi" w:hAnsiTheme="minorHAnsi" w:cstheme="minorHAnsi"/>
              </w:rPr>
            </w:pPr>
            <w:r w:rsidRPr="003643CE">
              <w:rPr>
                <w:rFonts w:cstheme="minorHAnsi"/>
                <w:i/>
                <w:iCs/>
                <w:sz w:val="18"/>
                <w:szCs w:val="18"/>
              </w:rPr>
              <w:t>Source</w:t>
            </w:r>
            <w:proofErr w:type="gramStart"/>
            <w:r w:rsidRPr="00B10EEC">
              <w:rPr>
                <w:rFonts w:asciiTheme="minorHAnsi" w:hAnsiTheme="minorHAnsi" w:cstheme="minorHAnsi"/>
                <w:sz w:val="18"/>
                <w:szCs w:val="18"/>
              </w:rPr>
              <w:t>:  W</w:t>
            </w:r>
            <w:r w:rsidR="00D13B43">
              <w:rPr>
                <w:rFonts w:asciiTheme="minorHAnsi" w:hAnsiTheme="minorHAnsi" w:cstheme="minorHAnsi"/>
                <w:sz w:val="18"/>
                <w:szCs w:val="18"/>
              </w:rPr>
              <w:t>orld</w:t>
            </w:r>
            <w:proofErr w:type="gramEnd"/>
            <w:r w:rsidR="00D13B43">
              <w:rPr>
                <w:rFonts w:asciiTheme="minorHAnsi" w:hAnsiTheme="minorHAnsi" w:cstheme="minorHAnsi"/>
                <w:sz w:val="18"/>
                <w:szCs w:val="18"/>
              </w:rPr>
              <w:t xml:space="preserve"> </w:t>
            </w:r>
            <w:r w:rsidRPr="00B10EEC">
              <w:rPr>
                <w:rFonts w:asciiTheme="minorHAnsi" w:hAnsiTheme="minorHAnsi" w:cstheme="minorHAnsi"/>
                <w:sz w:val="18"/>
                <w:szCs w:val="18"/>
              </w:rPr>
              <w:t>B</w:t>
            </w:r>
            <w:r w:rsidR="00D13B43">
              <w:rPr>
                <w:rFonts w:asciiTheme="minorHAnsi" w:hAnsiTheme="minorHAnsi" w:cstheme="minorHAnsi"/>
                <w:sz w:val="18"/>
                <w:szCs w:val="18"/>
              </w:rPr>
              <w:t>ank</w:t>
            </w:r>
            <w:r w:rsidRPr="00B10EEC">
              <w:rPr>
                <w:rFonts w:asciiTheme="minorHAnsi" w:hAnsiTheme="minorHAnsi" w:cstheme="minorHAnsi"/>
                <w:sz w:val="18"/>
                <w:szCs w:val="18"/>
              </w:rPr>
              <w:t xml:space="preserve"> staff calculation based on INDEC and OECD</w:t>
            </w:r>
            <w:r w:rsidR="00D13B43">
              <w:rPr>
                <w:rFonts w:asciiTheme="minorHAnsi" w:hAnsiTheme="minorHAnsi" w:cstheme="minorHAnsi"/>
                <w:sz w:val="18"/>
                <w:szCs w:val="18"/>
              </w:rPr>
              <w:t>.</w:t>
            </w:r>
          </w:p>
        </w:tc>
        <w:tc>
          <w:tcPr>
            <w:tcW w:w="4490" w:type="dxa"/>
          </w:tcPr>
          <w:p w14:paraId="422631F2" w14:textId="1CC94291" w:rsidR="005607CA" w:rsidRPr="00B10EEC" w:rsidRDefault="005607CA" w:rsidP="00DA1A7B">
            <w:pPr>
              <w:ind w:firstLine="1"/>
              <w:rPr>
                <w:rFonts w:asciiTheme="minorHAnsi" w:hAnsiTheme="minorHAnsi" w:cstheme="minorHAnsi"/>
                <w:sz w:val="18"/>
                <w:szCs w:val="18"/>
              </w:rPr>
            </w:pPr>
            <w:r w:rsidRPr="003643CE">
              <w:rPr>
                <w:rFonts w:cstheme="minorHAnsi"/>
                <w:i/>
                <w:iCs/>
                <w:sz w:val="18"/>
                <w:szCs w:val="18"/>
              </w:rPr>
              <w:t>Source</w:t>
            </w:r>
            <w:proofErr w:type="gramStart"/>
            <w:r w:rsidRPr="00B10EEC">
              <w:rPr>
                <w:rFonts w:asciiTheme="minorHAnsi" w:hAnsiTheme="minorHAnsi" w:cstheme="minorHAnsi"/>
                <w:sz w:val="18"/>
                <w:szCs w:val="18"/>
              </w:rPr>
              <w:t>:  W</w:t>
            </w:r>
            <w:r w:rsidR="00D13B43">
              <w:rPr>
                <w:rFonts w:asciiTheme="minorHAnsi" w:hAnsiTheme="minorHAnsi" w:cstheme="minorHAnsi"/>
                <w:sz w:val="18"/>
                <w:szCs w:val="18"/>
              </w:rPr>
              <w:t>orld</w:t>
            </w:r>
            <w:proofErr w:type="gramEnd"/>
            <w:r w:rsidR="00D13B43">
              <w:rPr>
                <w:rFonts w:asciiTheme="minorHAnsi" w:hAnsiTheme="minorHAnsi" w:cstheme="minorHAnsi"/>
                <w:sz w:val="18"/>
                <w:szCs w:val="18"/>
              </w:rPr>
              <w:t xml:space="preserve"> </w:t>
            </w:r>
            <w:r w:rsidRPr="00B10EEC">
              <w:rPr>
                <w:rFonts w:asciiTheme="minorHAnsi" w:hAnsiTheme="minorHAnsi" w:cstheme="minorHAnsi"/>
                <w:sz w:val="18"/>
                <w:szCs w:val="18"/>
              </w:rPr>
              <w:t>B</w:t>
            </w:r>
            <w:r w:rsidR="00D13B43">
              <w:rPr>
                <w:rFonts w:asciiTheme="minorHAnsi" w:hAnsiTheme="minorHAnsi" w:cstheme="minorHAnsi"/>
                <w:sz w:val="18"/>
                <w:szCs w:val="18"/>
              </w:rPr>
              <w:t>ank</w:t>
            </w:r>
            <w:r w:rsidRPr="00B10EEC">
              <w:rPr>
                <w:rFonts w:asciiTheme="minorHAnsi" w:hAnsiTheme="minorHAnsi" w:cstheme="minorHAnsi"/>
                <w:sz w:val="18"/>
                <w:szCs w:val="18"/>
              </w:rPr>
              <w:t xml:space="preserve"> staff calculation based on Eurostat. </w:t>
            </w:r>
            <w:r w:rsidR="00D13B43" w:rsidRPr="003643CE">
              <w:rPr>
                <w:rFonts w:cstheme="minorHAnsi"/>
                <w:i/>
                <w:iCs/>
                <w:sz w:val="18"/>
                <w:szCs w:val="18"/>
              </w:rPr>
              <w:t>Note</w:t>
            </w:r>
            <w:r w:rsidR="00D13B43">
              <w:rPr>
                <w:rFonts w:asciiTheme="minorHAnsi" w:hAnsiTheme="minorHAnsi" w:cstheme="minorHAnsi"/>
                <w:sz w:val="18"/>
                <w:szCs w:val="18"/>
              </w:rPr>
              <w:t xml:space="preserve">: </w:t>
            </w:r>
            <w:r w:rsidRPr="00B10EEC">
              <w:rPr>
                <w:rFonts w:asciiTheme="minorHAnsi" w:hAnsiTheme="minorHAnsi" w:cstheme="minorHAnsi"/>
                <w:sz w:val="18"/>
                <w:szCs w:val="18"/>
              </w:rPr>
              <w:t xml:space="preserve">VAT rate stands for the year-average rate. </w:t>
            </w:r>
          </w:p>
        </w:tc>
      </w:tr>
      <w:tr w:rsidR="005607CA" w:rsidRPr="00B10EEC" w14:paraId="75EF5FF2" w14:textId="77777777" w:rsidTr="00F975F3">
        <w:tblPrEx>
          <w:tblCellMar>
            <w:left w:w="70" w:type="dxa"/>
            <w:right w:w="70" w:type="dxa"/>
          </w:tblCellMar>
        </w:tblPrEx>
        <w:tc>
          <w:tcPr>
            <w:tcW w:w="9016" w:type="dxa"/>
            <w:gridSpan w:val="2"/>
          </w:tcPr>
          <w:p w14:paraId="766D6BCF" w14:textId="7814FB6C" w:rsidR="005607CA" w:rsidRPr="00B10EEC" w:rsidRDefault="005607CA" w:rsidP="00DA1A7B">
            <w:pPr>
              <w:keepNext/>
              <w:keepLines/>
              <w:rPr>
                <w:rFonts w:asciiTheme="minorHAnsi" w:eastAsia="Times New Roman" w:hAnsiTheme="minorHAnsi" w:cstheme="minorHAnsi"/>
                <w:b/>
                <w:bCs/>
                <w:color w:val="0C4DA2"/>
                <w:sz w:val="18"/>
              </w:rPr>
            </w:pPr>
            <w:r w:rsidRPr="00B10EEC">
              <w:rPr>
                <w:rFonts w:eastAsia="Times New Roman" w:cstheme="minorHAnsi"/>
                <w:b/>
                <w:noProof/>
                <w:color w:val="0C4DA2"/>
                <w:sz w:val="18"/>
              </w:rPr>
              <mc:AlternateContent>
                <mc:Choice Requires="wps">
                  <w:drawing>
                    <wp:anchor distT="0" distB="0" distL="114300" distR="114300" simplePos="0" relativeHeight="251658245" behindDoc="0" locked="0" layoutInCell="1" allowOverlap="1" wp14:anchorId="078D7CBC" wp14:editId="59F6F55D">
                      <wp:simplePos x="0" y="0"/>
                      <wp:positionH relativeFrom="column">
                        <wp:posOffset>1837690</wp:posOffset>
                      </wp:positionH>
                      <wp:positionV relativeFrom="paragraph">
                        <wp:posOffset>-19365264</wp:posOffset>
                      </wp:positionV>
                      <wp:extent cx="584200" cy="247650"/>
                      <wp:effectExtent l="0" t="0" r="0" b="0"/>
                      <wp:wrapNone/>
                      <wp:docPr id="8" name="Text Box 8"/>
                      <wp:cNvGraphicFramePr/>
                      <a:graphic xmlns:a="http://schemas.openxmlformats.org/drawingml/2006/main">
                        <a:graphicData uri="http://schemas.microsoft.com/office/word/2010/wordprocessingShape">
                          <wps:wsp>
                            <wps:cNvSpPr txBox="1"/>
                            <wps:spPr>
                              <a:xfrm>
                                <a:off x="0" y="0"/>
                                <a:ext cx="584200" cy="247650"/>
                              </a:xfrm>
                              <a:prstGeom prst="rect">
                                <a:avLst/>
                              </a:prstGeom>
                              <a:noFill/>
                              <a:ln w="6350">
                                <a:noFill/>
                              </a:ln>
                            </wps:spPr>
                            <wps:txbx>
                              <w:txbxContent>
                                <w:p w14:paraId="1446AEC9" w14:textId="77777777" w:rsidR="005607CA" w:rsidRPr="009333B6" w:rsidRDefault="005607CA" w:rsidP="005607CA">
                                  <w:pPr>
                                    <w:rPr>
                                      <w:rFonts w:ascii="Arial" w:hAnsi="Arial" w:cs="Arial"/>
                                      <w:sz w:val="16"/>
                                      <w:szCs w:val="16"/>
                                    </w:rPr>
                                  </w:pPr>
                                  <w:r>
                                    <w:rPr>
                                      <w:rFonts w:ascii="Arial" w:hAnsi="Arial" w:cs="Arial"/>
                                      <w:sz w:val="16"/>
                                      <w:szCs w:val="16"/>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8D7CBC" id="Text Box 8" o:spid="_x0000_s1031" type="#_x0000_t202" style="position:absolute;margin-left:144.7pt;margin-top:-1524.8pt;width:46pt;height:1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" filled="f" stroked="f" strokeweight=".5pt">
                      <v:textbox>
                        <w:txbxContent>
                          <w:p w14:paraId="1446AEC9" w14:textId="77777777" w:rsidR="005607CA" w:rsidRPr="009333B6" w:rsidRDefault="005607CA" w:rsidP="005607CA">
                            <w:pPr>
                              <w:rPr>
                                <w:rFonts w:ascii="Arial" w:hAnsi="Arial" w:cs="Arial"/>
                                <w:sz w:val="16"/>
                                <w:szCs w:val="16"/>
                              </w:rPr>
                            </w:pPr>
                            <w:r>
                              <w:rPr>
                                <w:rFonts w:ascii="Arial" w:hAnsi="Arial" w:cs="Arial"/>
                                <w:sz w:val="16"/>
                                <w:szCs w:val="16"/>
                              </w:rPr>
                              <w:t>Baseline</w:t>
                            </w:r>
                          </w:p>
                        </w:txbxContent>
                      </v:textbox>
                    </v:shape>
                  </w:pict>
                </mc:Fallback>
              </mc:AlternateContent>
            </w:r>
            <w:r w:rsidRPr="00B10EEC">
              <w:rPr>
                <w:rFonts w:asciiTheme="minorHAnsi" w:eastAsia="Times New Roman" w:hAnsiTheme="minorHAnsi" w:cstheme="minorHAnsi"/>
                <w:b/>
                <w:bCs/>
                <w:color w:val="0C4DA2"/>
                <w:sz w:val="18"/>
              </w:rPr>
              <w:t>Figure</w:t>
            </w:r>
            <w:r>
              <w:rPr>
                <w:rFonts w:asciiTheme="minorHAnsi" w:eastAsia="Times New Roman" w:hAnsiTheme="minorHAnsi" w:cstheme="minorHAnsi"/>
                <w:b/>
                <w:bCs/>
                <w:color w:val="0C4DA2"/>
                <w:sz w:val="18"/>
              </w:rPr>
              <w:t xml:space="preserve"> </w:t>
            </w:r>
            <w:r w:rsidR="00D13B43">
              <w:rPr>
                <w:rFonts w:asciiTheme="minorHAnsi" w:eastAsia="Times New Roman" w:hAnsiTheme="minorHAnsi" w:cstheme="minorHAnsi"/>
                <w:b/>
                <w:bCs/>
                <w:color w:val="0C4DA2"/>
                <w:sz w:val="18"/>
              </w:rPr>
              <w:t>5A.3</w:t>
            </w:r>
            <w:r w:rsidRPr="00B10EEC">
              <w:rPr>
                <w:rFonts w:asciiTheme="minorHAnsi" w:eastAsia="Times New Roman" w:hAnsiTheme="minorHAnsi" w:cstheme="minorHAnsi"/>
                <w:b/>
                <w:bCs/>
                <w:color w:val="0C4DA2"/>
                <w:sz w:val="18"/>
              </w:rPr>
              <w:t xml:space="preserve">: VAT revenue to GDP, C-efficiency, and VAT rate </w:t>
            </w:r>
          </w:p>
          <w:p w14:paraId="5ECDE393" w14:textId="77777777" w:rsidR="005607CA" w:rsidRPr="00B10EEC" w:rsidRDefault="005607CA" w:rsidP="00DA1A7B">
            <w:pPr>
              <w:keepNext/>
              <w:keepLines/>
              <w:rPr>
                <w:rFonts w:asciiTheme="minorHAnsi" w:eastAsia="Times New Roman" w:hAnsiTheme="minorHAnsi" w:cstheme="minorHAnsi"/>
                <w:b/>
                <w:bCs/>
                <w:color w:val="0C4DA2"/>
                <w:sz w:val="18"/>
              </w:rPr>
            </w:pPr>
            <w:r w:rsidRPr="00B10EEC">
              <w:rPr>
                <w:rFonts w:asciiTheme="minorHAnsi" w:eastAsia="Times New Roman" w:hAnsiTheme="minorHAnsi" w:cstheme="minorHAnsi"/>
                <w:b/>
                <w:bCs/>
                <w:color w:val="0C4DA2"/>
                <w:sz w:val="18"/>
              </w:rPr>
              <w:t>hikes in Romania (2006-2015)</w:t>
            </w:r>
          </w:p>
          <w:p w14:paraId="1BA07684" w14:textId="4CED1E49" w:rsidR="005607CA" w:rsidRPr="00B10EEC" w:rsidRDefault="005607CA" w:rsidP="00DA1A7B">
            <w:pPr>
              <w:keepNext/>
              <w:ind w:right="144"/>
              <w:rPr>
                <w:rFonts w:asciiTheme="minorHAnsi" w:hAnsiTheme="minorHAnsi" w:cstheme="minorHAnsi"/>
              </w:rPr>
            </w:pPr>
            <w:r w:rsidRPr="00B10EEC">
              <w:rPr>
                <w:rFonts w:asciiTheme="minorHAnsi" w:hAnsiTheme="minorHAnsi" w:cstheme="minorHAnsi"/>
                <w:i/>
                <w:sz w:val="18"/>
                <w:szCs w:val="18"/>
              </w:rPr>
              <w:t>(percent</w:t>
            </w:r>
            <w:r w:rsidR="00D13B43">
              <w:rPr>
                <w:rFonts w:asciiTheme="minorHAnsi" w:hAnsiTheme="minorHAnsi" w:cstheme="minorHAnsi"/>
                <w:i/>
                <w:sz w:val="18"/>
                <w:szCs w:val="18"/>
              </w:rPr>
              <w:t>age</w:t>
            </w:r>
            <w:r w:rsidRPr="00B10EEC">
              <w:rPr>
                <w:rFonts w:asciiTheme="minorHAnsi" w:hAnsiTheme="minorHAnsi" w:cstheme="minorHAnsi"/>
                <w:i/>
                <w:sz w:val="18"/>
                <w:szCs w:val="18"/>
              </w:rPr>
              <w:t>)</w:t>
            </w:r>
          </w:p>
        </w:tc>
      </w:tr>
      <w:tr w:rsidR="005607CA" w:rsidRPr="00B10EEC" w14:paraId="7CC7F6CD" w14:textId="77777777" w:rsidTr="00F975F3">
        <w:tblPrEx>
          <w:tblCellMar>
            <w:left w:w="70" w:type="dxa"/>
            <w:right w:w="70" w:type="dxa"/>
          </w:tblCellMar>
        </w:tblPrEx>
        <w:tc>
          <w:tcPr>
            <w:tcW w:w="9016" w:type="dxa"/>
            <w:gridSpan w:val="2"/>
          </w:tcPr>
          <w:p w14:paraId="7B40B761" w14:textId="77777777" w:rsidR="005607CA" w:rsidRPr="00B10EEC" w:rsidRDefault="005607CA" w:rsidP="00DA1A7B">
            <w:pPr>
              <w:keepNext/>
              <w:ind w:right="144"/>
              <w:rPr>
                <w:rFonts w:cstheme="minorHAnsi"/>
              </w:rPr>
            </w:pPr>
            <w:r w:rsidRPr="00B10EEC">
              <w:rPr>
                <w:noProof/>
              </w:rPr>
              <w:drawing>
                <wp:inline distT="0" distB="0" distL="0" distR="0" wp14:anchorId="722FCC0C" wp14:editId="50ADD144">
                  <wp:extent cx="2971800" cy="1992702"/>
                  <wp:effectExtent l="0" t="0" r="0" b="7620"/>
                  <wp:docPr id="11" name="Chart 1">
                    <a:extLst xmlns:a="http://schemas.openxmlformats.org/drawingml/2006/main">
                      <a:ext uri="{FF2B5EF4-FFF2-40B4-BE49-F238E27FC236}">
                        <a16:creationId xmlns:a16="http://schemas.microsoft.com/office/drawing/2014/main" id="{F960F98C-E31D-A92D-6133-241C1C5EBA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r>
      <w:tr w:rsidR="005607CA" w:rsidRPr="00B10EEC" w14:paraId="196A0E72" w14:textId="77777777" w:rsidTr="00F975F3">
        <w:tblPrEx>
          <w:tblCellMar>
            <w:left w:w="70" w:type="dxa"/>
            <w:right w:w="70" w:type="dxa"/>
          </w:tblCellMar>
        </w:tblPrEx>
        <w:trPr>
          <w:trHeight w:val="350"/>
        </w:trPr>
        <w:tc>
          <w:tcPr>
            <w:tcW w:w="9016" w:type="dxa"/>
            <w:gridSpan w:val="2"/>
          </w:tcPr>
          <w:p w14:paraId="1E540C56" w14:textId="5BA52B8D" w:rsidR="005607CA" w:rsidRPr="00B10EEC" w:rsidRDefault="005607CA" w:rsidP="00DA1A7B">
            <w:pPr>
              <w:keepNext/>
              <w:ind w:right="144"/>
              <w:rPr>
                <w:rFonts w:asciiTheme="minorHAnsi" w:hAnsiTheme="minorHAnsi" w:cstheme="minorHAnsi"/>
              </w:rPr>
            </w:pPr>
            <w:r w:rsidRPr="003643CE">
              <w:rPr>
                <w:rFonts w:cstheme="minorHAnsi"/>
                <w:i/>
                <w:iCs/>
                <w:sz w:val="18"/>
                <w:szCs w:val="18"/>
              </w:rPr>
              <w:t>Source</w:t>
            </w:r>
            <w:proofErr w:type="gramStart"/>
            <w:r w:rsidRPr="00B10EEC">
              <w:rPr>
                <w:rFonts w:asciiTheme="minorHAnsi" w:hAnsiTheme="minorHAnsi" w:cstheme="minorHAnsi"/>
                <w:sz w:val="18"/>
                <w:szCs w:val="18"/>
              </w:rPr>
              <w:t>:  W</w:t>
            </w:r>
            <w:r w:rsidR="00D13B43">
              <w:rPr>
                <w:rFonts w:asciiTheme="minorHAnsi" w:hAnsiTheme="minorHAnsi" w:cstheme="minorHAnsi"/>
                <w:sz w:val="18"/>
                <w:szCs w:val="18"/>
              </w:rPr>
              <w:t>orld</w:t>
            </w:r>
            <w:proofErr w:type="gramEnd"/>
            <w:r w:rsidR="00D13B43">
              <w:rPr>
                <w:rFonts w:asciiTheme="minorHAnsi" w:hAnsiTheme="minorHAnsi" w:cstheme="minorHAnsi"/>
                <w:sz w:val="18"/>
                <w:szCs w:val="18"/>
              </w:rPr>
              <w:t xml:space="preserve"> </w:t>
            </w:r>
            <w:r w:rsidRPr="00B10EEC">
              <w:rPr>
                <w:rFonts w:asciiTheme="minorHAnsi" w:hAnsiTheme="minorHAnsi" w:cstheme="minorHAnsi"/>
                <w:sz w:val="18"/>
                <w:szCs w:val="18"/>
              </w:rPr>
              <w:t>B</w:t>
            </w:r>
            <w:r w:rsidR="00D13B43">
              <w:rPr>
                <w:rFonts w:asciiTheme="minorHAnsi" w:hAnsiTheme="minorHAnsi" w:cstheme="minorHAnsi"/>
                <w:sz w:val="18"/>
                <w:szCs w:val="18"/>
              </w:rPr>
              <w:t>ank</w:t>
            </w:r>
            <w:r w:rsidRPr="00B10EEC">
              <w:rPr>
                <w:rFonts w:asciiTheme="minorHAnsi" w:hAnsiTheme="minorHAnsi" w:cstheme="minorHAnsi"/>
                <w:sz w:val="18"/>
                <w:szCs w:val="18"/>
              </w:rPr>
              <w:t xml:space="preserve"> staff calculation based on Eurostat</w:t>
            </w:r>
            <w:r w:rsidR="00D13B43">
              <w:rPr>
                <w:rFonts w:asciiTheme="minorHAnsi" w:hAnsiTheme="minorHAnsi" w:cstheme="minorHAnsi"/>
                <w:sz w:val="18"/>
                <w:szCs w:val="18"/>
              </w:rPr>
              <w:t>.</w:t>
            </w:r>
          </w:p>
        </w:tc>
      </w:tr>
    </w:tbl>
    <w:p w14:paraId="2CCB8B99" w14:textId="77777777" w:rsidR="00DB072E" w:rsidRPr="00510344" w:rsidRDefault="00DB072E" w:rsidP="00524CDB">
      <w:pPr>
        <w:pStyle w:val="ListParagraph"/>
        <w:spacing w:before="120"/>
        <w:ind w:left="0" w:firstLine="0"/>
        <w:contextualSpacing w:val="0"/>
        <w:jc w:val="both"/>
        <w:rPr>
          <w:b/>
          <w:bCs/>
        </w:rPr>
      </w:pPr>
    </w:p>
    <w:p w14:paraId="31685C85" w14:textId="77777777" w:rsidR="00097DE9" w:rsidRDefault="00097DE9">
      <w:pPr>
        <w:rPr>
          <w:rFonts w:eastAsiaTheme="majorEastAsia" w:cstheme="minorHAnsi"/>
          <w:color w:val="2F5496" w:themeColor="accent1" w:themeShade="BF"/>
          <w:sz w:val="24"/>
          <w:szCs w:val="24"/>
        </w:rPr>
      </w:pPr>
      <w:r>
        <w:rPr>
          <w:rFonts w:cstheme="minorHAnsi"/>
          <w:sz w:val="24"/>
          <w:szCs w:val="24"/>
        </w:rPr>
        <w:br w:type="page"/>
      </w:r>
    </w:p>
    <w:p w14:paraId="5E870461" w14:textId="4687CE59" w:rsidR="00C53BD6" w:rsidRPr="00BE74E2" w:rsidRDefault="00C53BD6" w:rsidP="003643CE">
      <w:pPr>
        <w:pStyle w:val="Heading1"/>
        <w:spacing w:before="120"/>
        <w:ind w:left="0" w:firstLine="0"/>
        <w:jc w:val="both"/>
        <w:rPr>
          <w:rFonts w:cstheme="majorHAnsi"/>
        </w:rPr>
      </w:pPr>
      <w:bookmarkStart w:id="68" w:name="_Toc177819061"/>
      <w:r w:rsidRPr="00BE74E2">
        <w:rPr>
          <w:rFonts w:cstheme="majorHAnsi"/>
        </w:rPr>
        <w:lastRenderedPageBreak/>
        <w:t>A</w:t>
      </w:r>
      <w:r w:rsidR="00525612">
        <w:rPr>
          <w:rFonts w:cstheme="majorHAnsi"/>
        </w:rPr>
        <w:t>ppendi</w:t>
      </w:r>
      <w:r w:rsidRPr="00BE74E2">
        <w:rPr>
          <w:rFonts w:cstheme="majorHAnsi"/>
        </w:rPr>
        <w:t xml:space="preserve">x 6: Consumption </w:t>
      </w:r>
      <w:r w:rsidR="00332067">
        <w:rPr>
          <w:rFonts w:cstheme="majorHAnsi"/>
        </w:rPr>
        <w:t>T</w:t>
      </w:r>
      <w:r w:rsidRPr="00BE74E2">
        <w:rPr>
          <w:rFonts w:cstheme="majorHAnsi"/>
        </w:rPr>
        <w:t xml:space="preserve">ax in the </w:t>
      </w:r>
      <w:r w:rsidR="00332067">
        <w:rPr>
          <w:rFonts w:cstheme="majorHAnsi"/>
        </w:rPr>
        <w:t>C</w:t>
      </w:r>
      <w:r w:rsidRPr="00BE74E2">
        <w:rPr>
          <w:rFonts w:cstheme="majorHAnsi"/>
        </w:rPr>
        <w:t xml:space="preserve">ontext of Indonesia’s </w:t>
      </w:r>
      <w:r w:rsidR="00332067">
        <w:rPr>
          <w:rFonts w:cstheme="majorHAnsi"/>
        </w:rPr>
        <w:t>I</w:t>
      </w:r>
      <w:r w:rsidRPr="00BE74E2">
        <w:rPr>
          <w:rFonts w:cstheme="majorHAnsi"/>
        </w:rPr>
        <w:t xml:space="preserve">ntergovernmental </w:t>
      </w:r>
      <w:r w:rsidR="00332067">
        <w:rPr>
          <w:rFonts w:cstheme="majorHAnsi"/>
        </w:rPr>
        <w:t>F</w:t>
      </w:r>
      <w:r w:rsidRPr="00BE74E2">
        <w:rPr>
          <w:rFonts w:cstheme="majorHAnsi"/>
        </w:rPr>
        <w:t xml:space="preserve">iscal </w:t>
      </w:r>
      <w:r w:rsidR="00332067">
        <w:rPr>
          <w:rFonts w:cstheme="majorHAnsi"/>
        </w:rPr>
        <w:t>F</w:t>
      </w:r>
      <w:r w:rsidRPr="00BE74E2">
        <w:rPr>
          <w:rFonts w:cstheme="majorHAnsi"/>
        </w:rPr>
        <w:t>ramework</w:t>
      </w:r>
      <w:bookmarkEnd w:id="68"/>
    </w:p>
    <w:p w14:paraId="22C842AB" w14:textId="01A9C08B" w:rsidR="00645F1F" w:rsidRDefault="00332067" w:rsidP="00762C03">
      <w:pPr>
        <w:pStyle w:val="ListParagraph"/>
        <w:spacing w:before="120"/>
        <w:ind w:left="0" w:firstLine="0"/>
        <w:contextualSpacing w:val="0"/>
        <w:jc w:val="both"/>
        <w:rPr>
          <w:color w:val="000000" w:themeColor="text1"/>
        </w:rPr>
      </w:pPr>
      <w:r>
        <w:rPr>
          <w:b/>
          <w:bCs/>
          <w:color w:val="000000" w:themeColor="text1"/>
        </w:rPr>
        <w:t>Under</w:t>
      </w:r>
      <w:r w:rsidR="00645F1F" w:rsidRPr="00272616">
        <w:rPr>
          <w:b/>
          <w:bCs/>
          <w:color w:val="000000" w:themeColor="text1"/>
        </w:rPr>
        <w:t xml:space="preserve"> Law </w:t>
      </w:r>
      <w:r>
        <w:rPr>
          <w:b/>
          <w:bCs/>
          <w:color w:val="000000" w:themeColor="text1"/>
        </w:rPr>
        <w:t xml:space="preserve">No. </w:t>
      </w:r>
      <w:r w:rsidR="00645F1F" w:rsidRPr="00272616">
        <w:rPr>
          <w:b/>
          <w:bCs/>
          <w:color w:val="000000" w:themeColor="text1"/>
        </w:rPr>
        <w:t xml:space="preserve">28/2009, district governments were given </w:t>
      </w:r>
      <w:proofErr w:type="gramStart"/>
      <w:r w:rsidR="00645F1F" w:rsidRPr="00272616">
        <w:rPr>
          <w:b/>
          <w:bCs/>
          <w:color w:val="000000" w:themeColor="text1"/>
        </w:rPr>
        <w:t>the autonomy</w:t>
      </w:r>
      <w:proofErr w:type="gramEnd"/>
      <w:r w:rsidR="00645F1F" w:rsidRPr="00272616">
        <w:rPr>
          <w:b/>
          <w:bCs/>
          <w:color w:val="000000" w:themeColor="text1"/>
        </w:rPr>
        <w:t xml:space="preserve"> to collect several types of consumption tax</w:t>
      </w:r>
      <w:r w:rsidR="00645F1F" w:rsidRPr="00272616">
        <w:rPr>
          <w:color w:val="000000" w:themeColor="text1"/>
        </w:rPr>
        <w:t xml:space="preserve">: </w:t>
      </w:r>
      <w:r w:rsidR="00645F1F" w:rsidRPr="003643CE">
        <w:rPr>
          <w:b/>
          <w:bCs/>
          <w:color w:val="000000" w:themeColor="text1"/>
        </w:rPr>
        <w:t>(</w:t>
      </w:r>
      <w:r>
        <w:rPr>
          <w:b/>
          <w:bCs/>
          <w:color w:val="000000" w:themeColor="text1"/>
        </w:rPr>
        <w:t>i</w:t>
      </w:r>
      <w:r w:rsidR="00645F1F" w:rsidRPr="003643CE">
        <w:rPr>
          <w:b/>
          <w:bCs/>
          <w:color w:val="000000" w:themeColor="text1"/>
        </w:rPr>
        <w:t>) hotel sales</w:t>
      </w:r>
      <w:r>
        <w:rPr>
          <w:b/>
          <w:bCs/>
          <w:color w:val="000000" w:themeColor="text1"/>
        </w:rPr>
        <w:t>;</w:t>
      </w:r>
      <w:r w:rsidR="00645F1F" w:rsidRPr="003643CE">
        <w:rPr>
          <w:b/>
          <w:bCs/>
          <w:color w:val="000000" w:themeColor="text1"/>
        </w:rPr>
        <w:t xml:space="preserve"> (</w:t>
      </w:r>
      <w:r>
        <w:rPr>
          <w:b/>
          <w:bCs/>
          <w:color w:val="000000" w:themeColor="text1"/>
        </w:rPr>
        <w:t>ii</w:t>
      </w:r>
      <w:r w:rsidR="00645F1F" w:rsidRPr="003643CE">
        <w:rPr>
          <w:b/>
          <w:bCs/>
          <w:color w:val="000000" w:themeColor="text1"/>
        </w:rPr>
        <w:t>) restaurant sales</w:t>
      </w:r>
      <w:r>
        <w:rPr>
          <w:b/>
          <w:bCs/>
          <w:color w:val="000000" w:themeColor="text1"/>
        </w:rPr>
        <w:t>;</w:t>
      </w:r>
      <w:r w:rsidR="00645F1F" w:rsidRPr="003643CE">
        <w:rPr>
          <w:b/>
          <w:bCs/>
          <w:color w:val="000000" w:themeColor="text1"/>
        </w:rPr>
        <w:t xml:space="preserve"> (</w:t>
      </w:r>
      <w:r>
        <w:rPr>
          <w:b/>
          <w:bCs/>
          <w:color w:val="000000" w:themeColor="text1"/>
        </w:rPr>
        <w:t>iii</w:t>
      </w:r>
      <w:r w:rsidR="00645F1F" w:rsidRPr="003643CE">
        <w:rPr>
          <w:b/>
          <w:bCs/>
          <w:color w:val="000000" w:themeColor="text1"/>
        </w:rPr>
        <w:t>) entertainment venue sales</w:t>
      </w:r>
      <w:r>
        <w:rPr>
          <w:b/>
          <w:bCs/>
          <w:color w:val="000000" w:themeColor="text1"/>
        </w:rPr>
        <w:t>;</w:t>
      </w:r>
      <w:r w:rsidR="00645F1F" w:rsidRPr="003643CE">
        <w:rPr>
          <w:b/>
          <w:bCs/>
          <w:color w:val="000000" w:themeColor="text1"/>
        </w:rPr>
        <w:t xml:space="preserve"> (</w:t>
      </w:r>
      <w:r>
        <w:rPr>
          <w:b/>
          <w:bCs/>
          <w:color w:val="000000" w:themeColor="text1"/>
        </w:rPr>
        <w:t>iv</w:t>
      </w:r>
      <w:r w:rsidR="00645F1F" w:rsidRPr="003643CE">
        <w:rPr>
          <w:b/>
          <w:bCs/>
          <w:color w:val="000000" w:themeColor="text1"/>
        </w:rPr>
        <w:t>) electricity use for street lighting</w:t>
      </w:r>
      <w:r>
        <w:rPr>
          <w:b/>
          <w:bCs/>
          <w:color w:val="000000" w:themeColor="text1"/>
        </w:rPr>
        <w:t>;</w:t>
      </w:r>
      <w:r w:rsidR="00645F1F" w:rsidRPr="003643CE">
        <w:rPr>
          <w:b/>
          <w:bCs/>
          <w:color w:val="000000" w:themeColor="text1"/>
        </w:rPr>
        <w:t xml:space="preserve"> and (</w:t>
      </w:r>
      <w:r>
        <w:rPr>
          <w:b/>
          <w:bCs/>
          <w:color w:val="000000" w:themeColor="text1"/>
        </w:rPr>
        <w:t>v</w:t>
      </w:r>
      <w:r w:rsidR="00645F1F" w:rsidRPr="003643CE">
        <w:rPr>
          <w:b/>
          <w:bCs/>
          <w:color w:val="000000" w:themeColor="text1"/>
        </w:rPr>
        <w:t>) parking tax.</w:t>
      </w:r>
      <w:r w:rsidR="00645F1F" w:rsidRPr="00272616">
        <w:rPr>
          <w:color w:val="000000" w:themeColor="text1"/>
        </w:rPr>
        <w:t xml:space="preserve"> Consequently, these </w:t>
      </w:r>
      <w:r w:rsidR="00684170">
        <w:rPr>
          <w:color w:val="000000" w:themeColor="text1"/>
        </w:rPr>
        <w:t xml:space="preserve">forms of </w:t>
      </w:r>
      <w:r w:rsidR="00645F1F" w:rsidRPr="00272616">
        <w:rPr>
          <w:color w:val="000000" w:themeColor="text1"/>
        </w:rPr>
        <w:t xml:space="preserve">consumption have been exempted from the VAT base administered by the central government. More recently, Law </w:t>
      </w:r>
      <w:r w:rsidR="00684170">
        <w:rPr>
          <w:color w:val="000000" w:themeColor="text1"/>
        </w:rPr>
        <w:t xml:space="preserve">No. </w:t>
      </w:r>
      <w:r w:rsidR="00645F1F" w:rsidRPr="00272616">
        <w:rPr>
          <w:color w:val="000000" w:themeColor="text1"/>
        </w:rPr>
        <w:t>1/2022 aggregate</w:t>
      </w:r>
      <w:r w:rsidR="00684170">
        <w:rPr>
          <w:color w:val="000000" w:themeColor="text1"/>
        </w:rPr>
        <w:t>d</w:t>
      </w:r>
      <w:r w:rsidR="00645F1F" w:rsidRPr="00272616">
        <w:rPr>
          <w:color w:val="000000" w:themeColor="text1"/>
        </w:rPr>
        <w:t xml:space="preserve"> these five types of district tax into a “final consumption tax” with a single standardized tax rate </w:t>
      </w:r>
      <w:r w:rsidR="00684170">
        <w:rPr>
          <w:color w:val="000000" w:themeColor="text1"/>
        </w:rPr>
        <w:t xml:space="preserve">of 10 percent </w:t>
      </w:r>
      <w:r w:rsidR="00645F1F" w:rsidRPr="00272616">
        <w:rPr>
          <w:color w:val="000000" w:themeColor="text1"/>
        </w:rPr>
        <w:t xml:space="preserve">applied across districts (Table </w:t>
      </w:r>
      <w:r w:rsidR="00835CEC">
        <w:rPr>
          <w:color w:val="000000" w:themeColor="text1"/>
        </w:rPr>
        <w:t>6A.1</w:t>
      </w:r>
      <w:r w:rsidR="00645F1F" w:rsidRPr="00272616">
        <w:rPr>
          <w:color w:val="000000" w:themeColor="text1"/>
        </w:rPr>
        <w:t>). In 2019, total revenue collected from these five consumptions was R</w:t>
      </w:r>
      <w:r w:rsidR="0004266E">
        <w:rPr>
          <w:color w:val="000000" w:themeColor="text1"/>
        </w:rPr>
        <w:t>p</w:t>
      </w:r>
      <w:r w:rsidR="00645F1F" w:rsidRPr="00272616">
        <w:rPr>
          <w:color w:val="000000" w:themeColor="text1"/>
        </w:rPr>
        <w:t xml:space="preserve"> 3.9 trillion (0.2 percent of GDP).</w:t>
      </w:r>
      <w:r w:rsidR="00645F1F" w:rsidRPr="00272616">
        <w:rPr>
          <w:rStyle w:val="FootnoteReference"/>
          <w:color w:val="000000" w:themeColor="text1"/>
        </w:rPr>
        <w:footnoteReference w:id="106"/>
      </w:r>
    </w:p>
    <w:p w14:paraId="55CB5A6A" w14:textId="168B6094" w:rsidR="003E706D" w:rsidRDefault="00835CEC" w:rsidP="003643CE">
      <w:pPr>
        <w:keepNext/>
        <w:keepLines/>
        <w:jc w:val="both"/>
        <w:rPr>
          <w:color w:val="000000" w:themeColor="text1"/>
        </w:rPr>
      </w:pPr>
      <w:r w:rsidRPr="00074F9D">
        <w:rPr>
          <w:rFonts w:eastAsia="Times New Roman" w:cstheme="minorHAnsi"/>
          <w:b/>
          <w:color w:val="0C4DA2"/>
        </w:rPr>
        <w:t xml:space="preserve">Table </w:t>
      </w:r>
      <w:r>
        <w:rPr>
          <w:rFonts w:eastAsia="Times New Roman" w:cstheme="minorHAnsi"/>
          <w:b/>
          <w:color w:val="0C4DA2"/>
        </w:rPr>
        <w:t>6A.1</w:t>
      </w:r>
      <w:r w:rsidRPr="00074F9D">
        <w:rPr>
          <w:rFonts w:eastAsia="Times New Roman" w:cstheme="minorHAnsi"/>
          <w:b/>
          <w:color w:val="0C4DA2"/>
        </w:rPr>
        <w:t xml:space="preserve">: </w:t>
      </w:r>
      <w:r>
        <w:rPr>
          <w:rFonts w:eastAsia="Times New Roman" w:cstheme="minorHAnsi"/>
          <w:b/>
          <w:color w:val="0C4DA2"/>
        </w:rPr>
        <w:t>D</w:t>
      </w:r>
      <w:r w:rsidRPr="00074F9D">
        <w:rPr>
          <w:rFonts w:eastAsia="Times New Roman" w:cstheme="minorHAnsi"/>
          <w:b/>
          <w:color w:val="0C4DA2"/>
        </w:rPr>
        <w:t>istricts’ final consumption taxes</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970"/>
        <w:gridCol w:w="1001"/>
        <w:gridCol w:w="1194"/>
      </w:tblGrid>
      <w:tr w:rsidR="00835CEC" w:rsidRPr="00074F9D" w14:paraId="2B363468" w14:textId="77777777" w:rsidTr="003643CE">
        <w:trPr>
          <w:trHeight w:val="281"/>
        </w:trPr>
        <w:tc>
          <w:tcPr>
            <w:tcW w:w="1537" w:type="dxa"/>
            <w:vMerge w:val="restart"/>
            <w:shd w:val="clear" w:color="auto" w:fill="auto"/>
            <w:noWrap/>
            <w:hideMark/>
          </w:tcPr>
          <w:p w14:paraId="1C7DDB27" w14:textId="77777777" w:rsidR="00835CEC" w:rsidRPr="00074F9D" w:rsidRDefault="00835CEC" w:rsidP="003643CE">
            <w:pPr>
              <w:spacing w:after="0"/>
              <w:ind w:left="0" w:firstLine="0"/>
              <w:jc w:val="center"/>
              <w:rPr>
                <w:rFonts w:ascii="Calibri" w:eastAsia="Times New Roman" w:hAnsi="Calibri" w:cs="Calibri"/>
                <w:b/>
                <w:color w:val="000000"/>
                <w:sz w:val="18"/>
                <w:szCs w:val="18"/>
              </w:rPr>
            </w:pPr>
            <w:r w:rsidRPr="00074F9D">
              <w:rPr>
                <w:rFonts w:ascii="Calibri" w:eastAsia="Times New Roman" w:hAnsi="Calibri" w:cs="Calibri"/>
                <w:b/>
                <w:color w:val="000000"/>
                <w:sz w:val="18"/>
                <w:szCs w:val="18"/>
              </w:rPr>
              <w:t>District taxes</w:t>
            </w:r>
          </w:p>
        </w:tc>
        <w:tc>
          <w:tcPr>
            <w:tcW w:w="1971" w:type="dxa"/>
            <w:gridSpan w:val="2"/>
            <w:shd w:val="clear" w:color="auto" w:fill="auto"/>
            <w:noWrap/>
            <w:hideMark/>
          </w:tcPr>
          <w:p w14:paraId="234D3146" w14:textId="77777777" w:rsidR="00835CEC" w:rsidRPr="00074F9D" w:rsidRDefault="00835CEC" w:rsidP="00835CEC">
            <w:pPr>
              <w:spacing w:after="0"/>
              <w:ind w:left="0" w:firstLine="0"/>
              <w:jc w:val="center"/>
              <w:rPr>
                <w:rFonts w:ascii="Calibri" w:eastAsia="Times New Roman" w:hAnsi="Calibri" w:cs="Calibri"/>
                <w:b/>
                <w:color w:val="000000"/>
                <w:sz w:val="18"/>
                <w:szCs w:val="18"/>
              </w:rPr>
            </w:pPr>
            <w:r w:rsidRPr="00074F9D">
              <w:rPr>
                <w:rFonts w:ascii="Calibri" w:eastAsia="Times New Roman" w:hAnsi="Calibri" w:cs="Calibri"/>
                <w:b/>
                <w:color w:val="000000"/>
                <w:sz w:val="18"/>
                <w:szCs w:val="18"/>
              </w:rPr>
              <w:t>Tax rates</w:t>
            </w:r>
          </w:p>
        </w:tc>
        <w:tc>
          <w:tcPr>
            <w:tcW w:w="1194" w:type="dxa"/>
            <w:vMerge w:val="restart"/>
            <w:shd w:val="clear" w:color="auto" w:fill="auto"/>
            <w:hideMark/>
          </w:tcPr>
          <w:p w14:paraId="6368168E" w14:textId="77777777" w:rsidR="00835CEC" w:rsidRPr="00074F9D" w:rsidRDefault="00835CEC" w:rsidP="00835CEC">
            <w:pPr>
              <w:spacing w:after="0"/>
              <w:ind w:left="0" w:firstLine="0"/>
              <w:jc w:val="center"/>
              <w:rPr>
                <w:rFonts w:ascii="Calibri" w:eastAsia="Times New Roman" w:hAnsi="Calibri" w:cs="Calibri"/>
                <w:b/>
                <w:color w:val="000000"/>
                <w:sz w:val="18"/>
                <w:szCs w:val="18"/>
              </w:rPr>
            </w:pPr>
            <w:r w:rsidRPr="00074F9D">
              <w:rPr>
                <w:rFonts w:ascii="Calibri" w:eastAsia="Times New Roman" w:hAnsi="Calibri" w:cs="Calibri"/>
                <w:b/>
                <w:color w:val="000000"/>
                <w:sz w:val="18"/>
                <w:szCs w:val="18"/>
              </w:rPr>
              <w:t>Tax base</w:t>
            </w:r>
          </w:p>
        </w:tc>
      </w:tr>
      <w:tr w:rsidR="00835CEC" w:rsidRPr="00074F9D" w14:paraId="567A46B8" w14:textId="77777777" w:rsidTr="003643CE">
        <w:trPr>
          <w:trHeight w:val="281"/>
        </w:trPr>
        <w:tc>
          <w:tcPr>
            <w:tcW w:w="1537" w:type="dxa"/>
            <w:vMerge/>
            <w:vAlign w:val="center"/>
            <w:hideMark/>
          </w:tcPr>
          <w:p w14:paraId="5985460F" w14:textId="77777777" w:rsidR="00835CEC" w:rsidRPr="00074F9D" w:rsidRDefault="00835CEC" w:rsidP="009E7732">
            <w:pPr>
              <w:spacing w:after="0"/>
              <w:ind w:left="0" w:firstLine="0"/>
              <w:rPr>
                <w:rFonts w:ascii="Calibri" w:eastAsia="Times New Roman" w:hAnsi="Calibri" w:cs="Calibri"/>
                <w:b/>
                <w:color w:val="000000"/>
                <w:sz w:val="18"/>
                <w:szCs w:val="18"/>
              </w:rPr>
            </w:pPr>
          </w:p>
        </w:tc>
        <w:tc>
          <w:tcPr>
            <w:tcW w:w="970" w:type="dxa"/>
            <w:shd w:val="clear" w:color="auto" w:fill="auto"/>
            <w:noWrap/>
            <w:vAlign w:val="center"/>
            <w:hideMark/>
          </w:tcPr>
          <w:p w14:paraId="68DD83D7" w14:textId="77777777" w:rsidR="00835CEC" w:rsidRPr="00074F9D" w:rsidRDefault="00835CEC" w:rsidP="009E7732">
            <w:pPr>
              <w:spacing w:after="0"/>
              <w:ind w:left="0" w:firstLine="0"/>
              <w:jc w:val="center"/>
              <w:rPr>
                <w:rFonts w:ascii="Calibri" w:eastAsia="Times New Roman" w:hAnsi="Calibri" w:cs="Calibri"/>
                <w:b/>
                <w:color w:val="000000"/>
                <w:sz w:val="18"/>
                <w:szCs w:val="18"/>
              </w:rPr>
            </w:pPr>
            <w:r w:rsidRPr="00074F9D">
              <w:rPr>
                <w:rFonts w:ascii="Calibri" w:eastAsia="Times New Roman" w:hAnsi="Calibri" w:cs="Calibri"/>
                <w:b/>
                <w:color w:val="000000"/>
                <w:sz w:val="18"/>
                <w:szCs w:val="18"/>
              </w:rPr>
              <w:t xml:space="preserve">Law </w:t>
            </w:r>
            <w:r>
              <w:rPr>
                <w:rFonts w:ascii="Calibri" w:eastAsia="Times New Roman" w:hAnsi="Calibri" w:cs="Calibri"/>
                <w:b/>
                <w:color w:val="000000"/>
                <w:sz w:val="18"/>
                <w:szCs w:val="18"/>
              </w:rPr>
              <w:t xml:space="preserve">No. </w:t>
            </w:r>
            <w:r w:rsidRPr="00074F9D">
              <w:rPr>
                <w:rFonts w:ascii="Calibri" w:eastAsia="Times New Roman" w:hAnsi="Calibri" w:cs="Calibri"/>
                <w:b/>
                <w:color w:val="000000"/>
                <w:sz w:val="18"/>
                <w:szCs w:val="18"/>
              </w:rPr>
              <w:t>28/2009</w:t>
            </w:r>
          </w:p>
        </w:tc>
        <w:tc>
          <w:tcPr>
            <w:tcW w:w="1001" w:type="dxa"/>
            <w:shd w:val="clear" w:color="auto" w:fill="auto"/>
            <w:noWrap/>
            <w:vAlign w:val="center"/>
            <w:hideMark/>
          </w:tcPr>
          <w:p w14:paraId="1517B982" w14:textId="77777777" w:rsidR="00835CEC" w:rsidRPr="00074F9D" w:rsidRDefault="00835CEC" w:rsidP="009E7732">
            <w:pPr>
              <w:spacing w:after="0"/>
              <w:ind w:left="0" w:firstLine="0"/>
              <w:jc w:val="center"/>
              <w:rPr>
                <w:rFonts w:ascii="Calibri" w:eastAsia="Times New Roman" w:hAnsi="Calibri" w:cs="Calibri"/>
                <w:b/>
                <w:color w:val="000000"/>
                <w:sz w:val="18"/>
                <w:szCs w:val="18"/>
              </w:rPr>
            </w:pPr>
            <w:r w:rsidRPr="00074F9D">
              <w:rPr>
                <w:rFonts w:ascii="Calibri" w:eastAsia="Times New Roman" w:hAnsi="Calibri" w:cs="Calibri"/>
                <w:b/>
                <w:color w:val="000000"/>
                <w:sz w:val="18"/>
                <w:szCs w:val="18"/>
              </w:rPr>
              <w:t>Law</w:t>
            </w:r>
            <w:r>
              <w:rPr>
                <w:rFonts w:ascii="Calibri" w:eastAsia="Times New Roman" w:hAnsi="Calibri" w:cs="Calibri"/>
                <w:b/>
                <w:color w:val="000000"/>
                <w:sz w:val="18"/>
                <w:szCs w:val="18"/>
              </w:rPr>
              <w:t xml:space="preserve"> No.</w:t>
            </w:r>
            <w:r w:rsidRPr="00074F9D">
              <w:rPr>
                <w:rFonts w:ascii="Calibri" w:eastAsia="Times New Roman" w:hAnsi="Calibri" w:cs="Calibri"/>
                <w:b/>
                <w:color w:val="000000"/>
                <w:sz w:val="18"/>
                <w:szCs w:val="18"/>
              </w:rPr>
              <w:t xml:space="preserve"> 1/2022</w:t>
            </w:r>
          </w:p>
        </w:tc>
        <w:tc>
          <w:tcPr>
            <w:tcW w:w="1194" w:type="dxa"/>
            <w:vMerge/>
            <w:vAlign w:val="center"/>
            <w:hideMark/>
          </w:tcPr>
          <w:p w14:paraId="4A346101" w14:textId="77777777" w:rsidR="00835CEC" w:rsidRPr="00074F9D" w:rsidRDefault="00835CEC" w:rsidP="009E7732">
            <w:pPr>
              <w:spacing w:after="0"/>
              <w:ind w:left="0" w:firstLine="0"/>
              <w:rPr>
                <w:rFonts w:ascii="Calibri" w:eastAsia="Times New Roman" w:hAnsi="Calibri" w:cs="Calibri"/>
                <w:b/>
                <w:color w:val="000000"/>
                <w:sz w:val="18"/>
                <w:szCs w:val="18"/>
              </w:rPr>
            </w:pPr>
          </w:p>
        </w:tc>
      </w:tr>
      <w:tr w:rsidR="00835CEC" w:rsidRPr="00074F9D" w14:paraId="698BFF43" w14:textId="77777777" w:rsidTr="003643CE">
        <w:trPr>
          <w:trHeight w:val="543"/>
        </w:trPr>
        <w:tc>
          <w:tcPr>
            <w:tcW w:w="1537" w:type="dxa"/>
            <w:shd w:val="clear" w:color="auto" w:fill="auto"/>
            <w:vAlign w:val="center"/>
            <w:hideMark/>
          </w:tcPr>
          <w:p w14:paraId="2BF7D524" w14:textId="77777777" w:rsidR="00835CEC" w:rsidRPr="00074F9D" w:rsidRDefault="00835CEC" w:rsidP="009E7732">
            <w:pPr>
              <w:spacing w:after="0"/>
              <w:ind w:left="0" w:firstLine="0"/>
              <w:rPr>
                <w:rFonts w:ascii="Calibri" w:eastAsia="Times New Roman" w:hAnsi="Calibri" w:cs="Calibri"/>
                <w:color w:val="000000"/>
                <w:sz w:val="18"/>
                <w:szCs w:val="18"/>
              </w:rPr>
            </w:pPr>
            <w:r w:rsidRPr="00074F9D">
              <w:rPr>
                <w:rFonts w:ascii="Calibri" w:eastAsia="Times New Roman" w:hAnsi="Calibri" w:cs="Calibri"/>
                <w:color w:val="000000"/>
                <w:sz w:val="18"/>
                <w:szCs w:val="18"/>
              </w:rPr>
              <w:t>Final consumption tax</w:t>
            </w:r>
          </w:p>
        </w:tc>
        <w:tc>
          <w:tcPr>
            <w:tcW w:w="970" w:type="dxa"/>
            <w:shd w:val="clear" w:color="auto" w:fill="auto"/>
            <w:noWrap/>
            <w:vAlign w:val="center"/>
            <w:hideMark/>
          </w:tcPr>
          <w:p w14:paraId="5DB886D1" w14:textId="77777777" w:rsidR="00835CEC" w:rsidRPr="00074F9D" w:rsidRDefault="00835CEC" w:rsidP="009E7732">
            <w:pPr>
              <w:spacing w:after="0"/>
              <w:ind w:left="0" w:firstLine="0"/>
              <w:jc w:val="center"/>
              <w:rPr>
                <w:rFonts w:ascii="Calibri" w:eastAsia="Times New Roman" w:hAnsi="Calibri" w:cs="Calibri"/>
                <w:color w:val="000000"/>
                <w:sz w:val="18"/>
                <w:szCs w:val="18"/>
              </w:rPr>
            </w:pPr>
            <w:proofErr w:type="spellStart"/>
            <w:r w:rsidRPr="00074F9D">
              <w:rPr>
                <w:rFonts w:ascii="Calibri" w:eastAsia="Times New Roman" w:hAnsi="Calibri" w:cs="Calibri"/>
                <w:color w:val="000000"/>
                <w:sz w:val="18"/>
                <w:szCs w:val="18"/>
              </w:rPr>
              <w:t>n.a.</w:t>
            </w:r>
            <w:proofErr w:type="spellEnd"/>
          </w:p>
        </w:tc>
        <w:tc>
          <w:tcPr>
            <w:tcW w:w="1001" w:type="dxa"/>
            <w:shd w:val="clear" w:color="auto" w:fill="auto"/>
            <w:vAlign w:val="center"/>
            <w:hideMark/>
          </w:tcPr>
          <w:p w14:paraId="0B18D75F"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10%</w:t>
            </w:r>
          </w:p>
        </w:tc>
        <w:tc>
          <w:tcPr>
            <w:tcW w:w="1194" w:type="dxa"/>
            <w:shd w:val="clear" w:color="auto" w:fill="auto"/>
            <w:vAlign w:val="center"/>
            <w:hideMark/>
          </w:tcPr>
          <w:p w14:paraId="530B0A03" w14:textId="77777777" w:rsidR="00835CEC" w:rsidRPr="00074F9D" w:rsidRDefault="00835CEC" w:rsidP="009E7732">
            <w:pPr>
              <w:spacing w:after="0"/>
              <w:ind w:left="0" w:firstLine="0"/>
              <w:rPr>
                <w:rFonts w:ascii="Calibri" w:eastAsia="Times New Roman" w:hAnsi="Calibri" w:cs="Calibri"/>
                <w:color w:val="000000"/>
                <w:sz w:val="18"/>
                <w:szCs w:val="18"/>
              </w:rPr>
            </w:pPr>
            <w:r w:rsidRPr="00074F9D">
              <w:rPr>
                <w:rFonts w:ascii="Calibri" w:eastAsia="Times New Roman" w:hAnsi="Calibri" w:cs="Calibri"/>
                <w:color w:val="000000"/>
                <w:sz w:val="18"/>
                <w:szCs w:val="18"/>
              </w:rPr>
              <w:t> </w:t>
            </w:r>
          </w:p>
        </w:tc>
      </w:tr>
      <w:tr w:rsidR="00835CEC" w:rsidRPr="00074F9D" w14:paraId="5237E8F2" w14:textId="77777777" w:rsidTr="003643CE">
        <w:trPr>
          <w:trHeight w:val="281"/>
        </w:trPr>
        <w:tc>
          <w:tcPr>
            <w:tcW w:w="1537" w:type="dxa"/>
            <w:shd w:val="clear" w:color="auto" w:fill="auto"/>
            <w:vAlign w:val="center"/>
            <w:hideMark/>
          </w:tcPr>
          <w:p w14:paraId="3ACC95F1" w14:textId="77777777" w:rsidR="00835CEC" w:rsidRPr="00074F9D" w:rsidRDefault="00835CEC" w:rsidP="009E7732">
            <w:pPr>
              <w:spacing w:after="0"/>
              <w:ind w:left="0" w:firstLineChars="100" w:firstLine="180"/>
              <w:rPr>
                <w:rFonts w:ascii="Calibri" w:eastAsia="Times New Roman" w:hAnsi="Calibri" w:cs="Calibri"/>
                <w:color w:val="000000"/>
                <w:sz w:val="18"/>
                <w:szCs w:val="18"/>
              </w:rPr>
            </w:pPr>
            <w:r w:rsidRPr="00074F9D">
              <w:rPr>
                <w:rFonts w:ascii="Calibri" w:eastAsia="Times New Roman" w:hAnsi="Calibri" w:cs="Calibri"/>
                <w:color w:val="000000"/>
                <w:sz w:val="18"/>
                <w:szCs w:val="18"/>
              </w:rPr>
              <w:t>Hotel tax</w:t>
            </w:r>
          </w:p>
        </w:tc>
        <w:tc>
          <w:tcPr>
            <w:tcW w:w="970" w:type="dxa"/>
            <w:shd w:val="clear" w:color="auto" w:fill="auto"/>
            <w:noWrap/>
            <w:vAlign w:val="center"/>
            <w:hideMark/>
          </w:tcPr>
          <w:p w14:paraId="55A107E8"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10%</w:t>
            </w:r>
          </w:p>
        </w:tc>
        <w:tc>
          <w:tcPr>
            <w:tcW w:w="1001" w:type="dxa"/>
            <w:shd w:val="clear" w:color="auto" w:fill="auto"/>
            <w:vAlign w:val="center"/>
            <w:hideMark/>
          </w:tcPr>
          <w:p w14:paraId="1DB92274"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w:t>
            </w:r>
          </w:p>
        </w:tc>
        <w:tc>
          <w:tcPr>
            <w:tcW w:w="1194" w:type="dxa"/>
            <w:shd w:val="clear" w:color="auto" w:fill="auto"/>
            <w:vAlign w:val="center"/>
            <w:hideMark/>
          </w:tcPr>
          <w:p w14:paraId="626B8771" w14:textId="77777777" w:rsidR="00835CEC" w:rsidRPr="00074F9D" w:rsidRDefault="00835CEC" w:rsidP="009E7732">
            <w:pPr>
              <w:spacing w:after="0"/>
              <w:ind w:left="0" w:firstLine="0"/>
              <w:rPr>
                <w:rFonts w:ascii="Calibri" w:eastAsia="Times New Roman" w:hAnsi="Calibri" w:cs="Calibri"/>
                <w:color w:val="000000"/>
                <w:sz w:val="18"/>
                <w:szCs w:val="18"/>
              </w:rPr>
            </w:pPr>
            <w:r w:rsidRPr="00074F9D">
              <w:rPr>
                <w:rFonts w:ascii="Calibri" w:eastAsia="Times New Roman" w:hAnsi="Calibri" w:cs="Calibri"/>
                <w:color w:val="000000"/>
                <w:sz w:val="18"/>
                <w:szCs w:val="18"/>
              </w:rPr>
              <w:t>Turnover</w:t>
            </w:r>
          </w:p>
        </w:tc>
      </w:tr>
      <w:tr w:rsidR="00835CEC" w:rsidRPr="00074F9D" w14:paraId="5BDDFFCB" w14:textId="77777777" w:rsidTr="003643CE">
        <w:trPr>
          <w:trHeight w:val="281"/>
        </w:trPr>
        <w:tc>
          <w:tcPr>
            <w:tcW w:w="1537" w:type="dxa"/>
            <w:shd w:val="clear" w:color="auto" w:fill="auto"/>
            <w:vAlign w:val="center"/>
            <w:hideMark/>
          </w:tcPr>
          <w:p w14:paraId="45F05F29" w14:textId="77777777" w:rsidR="00835CEC" w:rsidRPr="00074F9D" w:rsidRDefault="00835CEC" w:rsidP="009E7732">
            <w:pPr>
              <w:spacing w:after="0"/>
              <w:ind w:left="168" w:firstLine="0"/>
              <w:rPr>
                <w:rFonts w:ascii="Calibri" w:eastAsia="Times New Roman" w:hAnsi="Calibri" w:cs="Calibri"/>
                <w:color w:val="000000"/>
                <w:sz w:val="18"/>
                <w:szCs w:val="18"/>
              </w:rPr>
            </w:pPr>
            <w:r w:rsidRPr="00074F9D">
              <w:rPr>
                <w:rFonts w:ascii="Calibri" w:eastAsia="Times New Roman" w:hAnsi="Calibri" w:cs="Calibri"/>
                <w:color w:val="000000"/>
                <w:sz w:val="18"/>
                <w:szCs w:val="18"/>
              </w:rPr>
              <w:t>Restaurant tax</w:t>
            </w:r>
          </w:p>
        </w:tc>
        <w:tc>
          <w:tcPr>
            <w:tcW w:w="970" w:type="dxa"/>
            <w:shd w:val="clear" w:color="auto" w:fill="auto"/>
            <w:noWrap/>
            <w:vAlign w:val="center"/>
            <w:hideMark/>
          </w:tcPr>
          <w:p w14:paraId="317F7A2B"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10%</w:t>
            </w:r>
          </w:p>
        </w:tc>
        <w:tc>
          <w:tcPr>
            <w:tcW w:w="1001" w:type="dxa"/>
            <w:shd w:val="clear" w:color="auto" w:fill="auto"/>
            <w:vAlign w:val="center"/>
            <w:hideMark/>
          </w:tcPr>
          <w:p w14:paraId="027E8809"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w:t>
            </w:r>
          </w:p>
        </w:tc>
        <w:tc>
          <w:tcPr>
            <w:tcW w:w="1194" w:type="dxa"/>
            <w:shd w:val="clear" w:color="auto" w:fill="auto"/>
            <w:vAlign w:val="center"/>
            <w:hideMark/>
          </w:tcPr>
          <w:p w14:paraId="4B356E87" w14:textId="77777777" w:rsidR="00835CEC" w:rsidRPr="00074F9D" w:rsidRDefault="00835CEC" w:rsidP="009E7732">
            <w:pPr>
              <w:spacing w:after="0"/>
              <w:ind w:left="0" w:firstLine="0"/>
              <w:rPr>
                <w:rFonts w:ascii="Calibri" w:eastAsia="Times New Roman" w:hAnsi="Calibri" w:cs="Calibri"/>
                <w:color w:val="000000"/>
                <w:sz w:val="18"/>
                <w:szCs w:val="18"/>
              </w:rPr>
            </w:pPr>
            <w:r w:rsidRPr="00074F9D">
              <w:rPr>
                <w:rFonts w:ascii="Calibri" w:eastAsia="Times New Roman" w:hAnsi="Calibri" w:cs="Calibri"/>
                <w:color w:val="000000"/>
                <w:sz w:val="18"/>
                <w:szCs w:val="18"/>
              </w:rPr>
              <w:t>Turnover</w:t>
            </w:r>
          </w:p>
        </w:tc>
      </w:tr>
      <w:tr w:rsidR="00835CEC" w:rsidRPr="00074F9D" w14:paraId="5949985C" w14:textId="77777777" w:rsidTr="003643CE">
        <w:trPr>
          <w:trHeight w:val="465"/>
        </w:trPr>
        <w:tc>
          <w:tcPr>
            <w:tcW w:w="1537" w:type="dxa"/>
            <w:shd w:val="clear" w:color="auto" w:fill="auto"/>
            <w:vAlign w:val="center"/>
            <w:hideMark/>
          </w:tcPr>
          <w:p w14:paraId="6EAAFBEA" w14:textId="77777777" w:rsidR="00835CEC" w:rsidRPr="00074F9D" w:rsidRDefault="00835CEC" w:rsidP="009E7732">
            <w:pPr>
              <w:spacing w:after="0"/>
              <w:ind w:left="195" w:firstLineChars="5" w:firstLine="9"/>
              <w:rPr>
                <w:rFonts w:ascii="Calibri" w:eastAsia="Times New Roman" w:hAnsi="Calibri" w:cs="Calibri"/>
                <w:color w:val="000000"/>
                <w:sz w:val="18"/>
                <w:szCs w:val="18"/>
              </w:rPr>
            </w:pPr>
            <w:r w:rsidRPr="00074F9D">
              <w:rPr>
                <w:rFonts w:ascii="Calibri" w:eastAsia="Times New Roman" w:hAnsi="Calibri" w:cs="Calibri"/>
                <w:color w:val="000000"/>
                <w:sz w:val="18"/>
                <w:szCs w:val="18"/>
              </w:rPr>
              <w:t>Entertainment</w:t>
            </w:r>
          </w:p>
        </w:tc>
        <w:tc>
          <w:tcPr>
            <w:tcW w:w="970" w:type="dxa"/>
            <w:shd w:val="clear" w:color="auto" w:fill="auto"/>
            <w:noWrap/>
            <w:vAlign w:val="center"/>
            <w:hideMark/>
          </w:tcPr>
          <w:p w14:paraId="308F32CD"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35%</w:t>
            </w:r>
          </w:p>
        </w:tc>
        <w:tc>
          <w:tcPr>
            <w:tcW w:w="1001" w:type="dxa"/>
            <w:shd w:val="clear" w:color="auto" w:fill="auto"/>
            <w:vAlign w:val="center"/>
            <w:hideMark/>
          </w:tcPr>
          <w:p w14:paraId="009CA071"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w:t>
            </w:r>
          </w:p>
        </w:tc>
        <w:tc>
          <w:tcPr>
            <w:tcW w:w="1194" w:type="dxa"/>
            <w:shd w:val="clear" w:color="auto" w:fill="auto"/>
            <w:vAlign w:val="center"/>
            <w:hideMark/>
          </w:tcPr>
          <w:p w14:paraId="13C3CAD9" w14:textId="77777777" w:rsidR="00835CEC" w:rsidRPr="00074F9D" w:rsidRDefault="00835CEC" w:rsidP="009E7732">
            <w:pPr>
              <w:spacing w:after="0"/>
              <w:ind w:left="0" w:firstLine="0"/>
              <w:rPr>
                <w:rFonts w:ascii="Calibri" w:eastAsia="Times New Roman" w:hAnsi="Calibri" w:cs="Calibri"/>
                <w:color w:val="000000"/>
                <w:sz w:val="18"/>
                <w:szCs w:val="18"/>
              </w:rPr>
            </w:pPr>
            <w:r w:rsidRPr="00074F9D">
              <w:rPr>
                <w:rFonts w:ascii="Calibri" w:eastAsia="Times New Roman" w:hAnsi="Calibri" w:cs="Calibri"/>
                <w:color w:val="000000"/>
                <w:sz w:val="18"/>
                <w:szCs w:val="18"/>
              </w:rPr>
              <w:t>Admission price</w:t>
            </w:r>
          </w:p>
        </w:tc>
      </w:tr>
      <w:tr w:rsidR="00835CEC" w:rsidRPr="00074F9D" w14:paraId="3E78D765" w14:textId="77777777" w:rsidTr="003643CE">
        <w:trPr>
          <w:trHeight w:val="465"/>
        </w:trPr>
        <w:tc>
          <w:tcPr>
            <w:tcW w:w="1537" w:type="dxa"/>
            <w:shd w:val="clear" w:color="auto" w:fill="auto"/>
            <w:vAlign w:val="center"/>
            <w:hideMark/>
          </w:tcPr>
          <w:p w14:paraId="7766E93B" w14:textId="77777777" w:rsidR="00835CEC" w:rsidRPr="00074F9D" w:rsidRDefault="00835CEC" w:rsidP="009E7732">
            <w:pPr>
              <w:spacing w:after="0"/>
              <w:ind w:left="195" w:firstLine="0"/>
              <w:rPr>
                <w:rFonts w:ascii="Calibri" w:eastAsia="Times New Roman" w:hAnsi="Calibri" w:cs="Calibri"/>
                <w:color w:val="000000"/>
                <w:sz w:val="18"/>
                <w:szCs w:val="18"/>
              </w:rPr>
            </w:pPr>
            <w:r w:rsidRPr="00074F9D">
              <w:rPr>
                <w:rFonts w:ascii="Calibri" w:eastAsia="Times New Roman" w:hAnsi="Calibri" w:cs="Calibri"/>
                <w:color w:val="000000"/>
                <w:sz w:val="18"/>
                <w:szCs w:val="18"/>
              </w:rPr>
              <w:t>Street lighting tax</w:t>
            </w:r>
          </w:p>
        </w:tc>
        <w:tc>
          <w:tcPr>
            <w:tcW w:w="970" w:type="dxa"/>
            <w:shd w:val="clear" w:color="auto" w:fill="auto"/>
            <w:noWrap/>
            <w:vAlign w:val="center"/>
            <w:hideMark/>
          </w:tcPr>
          <w:p w14:paraId="420E82DB"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10%</w:t>
            </w:r>
          </w:p>
        </w:tc>
        <w:tc>
          <w:tcPr>
            <w:tcW w:w="1001" w:type="dxa"/>
            <w:shd w:val="clear" w:color="auto" w:fill="auto"/>
            <w:vAlign w:val="center"/>
            <w:hideMark/>
          </w:tcPr>
          <w:p w14:paraId="41BEE04D"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w:t>
            </w:r>
          </w:p>
        </w:tc>
        <w:tc>
          <w:tcPr>
            <w:tcW w:w="1194" w:type="dxa"/>
            <w:shd w:val="clear" w:color="auto" w:fill="auto"/>
            <w:vAlign w:val="center"/>
            <w:hideMark/>
          </w:tcPr>
          <w:p w14:paraId="52AFD485" w14:textId="77777777" w:rsidR="00835CEC" w:rsidRPr="00074F9D" w:rsidRDefault="00835CEC" w:rsidP="009E7732">
            <w:pPr>
              <w:spacing w:after="0"/>
              <w:ind w:left="0" w:firstLine="0"/>
              <w:rPr>
                <w:rFonts w:ascii="Calibri" w:eastAsia="Times New Roman" w:hAnsi="Calibri" w:cs="Calibri"/>
                <w:color w:val="000000"/>
                <w:sz w:val="18"/>
                <w:szCs w:val="18"/>
              </w:rPr>
            </w:pPr>
            <w:r w:rsidRPr="00074F9D">
              <w:rPr>
                <w:rFonts w:ascii="Calibri" w:eastAsia="Times New Roman" w:hAnsi="Calibri" w:cs="Calibri"/>
                <w:color w:val="000000"/>
                <w:sz w:val="18"/>
                <w:szCs w:val="18"/>
              </w:rPr>
              <w:t>Electricity use</w:t>
            </w:r>
          </w:p>
        </w:tc>
      </w:tr>
      <w:tr w:rsidR="00835CEC" w:rsidRPr="00074F9D" w14:paraId="40398A01" w14:textId="77777777" w:rsidTr="003643CE">
        <w:trPr>
          <w:trHeight w:val="281"/>
        </w:trPr>
        <w:tc>
          <w:tcPr>
            <w:tcW w:w="1537" w:type="dxa"/>
            <w:shd w:val="clear" w:color="auto" w:fill="auto"/>
            <w:vAlign w:val="center"/>
            <w:hideMark/>
          </w:tcPr>
          <w:p w14:paraId="3CEC18CE" w14:textId="77777777" w:rsidR="00835CEC" w:rsidRPr="00074F9D" w:rsidRDefault="00835CEC" w:rsidP="009E7732">
            <w:pPr>
              <w:spacing w:after="0"/>
              <w:ind w:left="0" w:firstLineChars="100" w:firstLine="180"/>
              <w:rPr>
                <w:rFonts w:ascii="Calibri" w:eastAsia="Times New Roman" w:hAnsi="Calibri" w:cs="Calibri"/>
                <w:color w:val="000000"/>
                <w:sz w:val="18"/>
                <w:szCs w:val="18"/>
              </w:rPr>
            </w:pPr>
            <w:r w:rsidRPr="00074F9D">
              <w:rPr>
                <w:rFonts w:ascii="Calibri" w:eastAsia="Times New Roman" w:hAnsi="Calibri" w:cs="Calibri"/>
                <w:color w:val="000000"/>
                <w:sz w:val="18"/>
                <w:szCs w:val="18"/>
              </w:rPr>
              <w:t>Parking tax</w:t>
            </w:r>
          </w:p>
        </w:tc>
        <w:tc>
          <w:tcPr>
            <w:tcW w:w="970" w:type="dxa"/>
            <w:shd w:val="clear" w:color="auto" w:fill="auto"/>
            <w:noWrap/>
            <w:vAlign w:val="center"/>
            <w:hideMark/>
          </w:tcPr>
          <w:p w14:paraId="48806BE1"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30%</w:t>
            </w:r>
          </w:p>
        </w:tc>
        <w:tc>
          <w:tcPr>
            <w:tcW w:w="1001" w:type="dxa"/>
            <w:shd w:val="clear" w:color="auto" w:fill="auto"/>
            <w:vAlign w:val="center"/>
            <w:hideMark/>
          </w:tcPr>
          <w:p w14:paraId="01B776CD" w14:textId="77777777" w:rsidR="00835CEC" w:rsidRPr="00074F9D" w:rsidRDefault="00835CEC" w:rsidP="009E7732">
            <w:pPr>
              <w:spacing w:after="0"/>
              <w:ind w:left="0" w:firstLine="0"/>
              <w:jc w:val="center"/>
              <w:rPr>
                <w:rFonts w:ascii="Calibri" w:eastAsia="Times New Roman" w:hAnsi="Calibri" w:cs="Calibri"/>
                <w:color w:val="000000"/>
                <w:sz w:val="18"/>
                <w:szCs w:val="18"/>
              </w:rPr>
            </w:pPr>
            <w:r w:rsidRPr="00074F9D">
              <w:rPr>
                <w:rFonts w:ascii="Calibri" w:eastAsia="Times New Roman" w:hAnsi="Calibri" w:cs="Calibri"/>
                <w:color w:val="000000"/>
                <w:sz w:val="18"/>
                <w:szCs w:val="18"/>
              </w:rPr>
              <w:t>-</w:t>
            </w:r>
          </w:p>
        </w:tc>
        <w:tc>
          <w:tcPr>
            <w:tcW w:w="1194" w:type="dxa"/>
            <w:shd w:val="clear" w:color="auto" w:fill="auto"/>
            <w:vAlign w:val="center"/>
            <w:hideMark/>
          </w:tcPr>
          <w:p w14:paraId="765544B3" w14:textId="77777777" w:rsidR="00835CEC" w:rsidRPr="00074F9D" w:rsidRDefault="00835CEC" w:rsidP="009E7732">
            <w:pPr>
              <w:spacing w:after="0"/>
              <w:ind w:left="0" w:firstLine="0"/>
              <w:rPr>
                <w:rFonts w:ascii="Calibri" w:eastAsia="Times New Roman" w:hAnsi="Calibri" w:cs="Calibri"/>
                <w:color w:val="000000"/>
                <w:sz w:val="18"/>
                <w:szCs w:val="18"/>
              </w:rPr>
            </w:pPr>
            <w:r w:rsidRPr="00074F9D">
              <w:rPr>
                <w:rFonts w:ascii="Calibri" w:eastAsia="Times New Roman" w:hAnsi="Calibri" w:cs="Calibri"/>
                <w:color w:val="000000"/>
                <w:sz w:val="18"/>
                <w:szCs w:val="18"/>
              </w:rPr>
              <w:t>Parking fees</w:t>
            </w:r>
          </w:p>
        </w:tc>
      </w:tr>
    </w:tbl>
    <w:p w14:paraId="71F84134" w14:textId="77777777" w:rsidR="00835CEC" w:rsidRDefault="00835CEC">
      <w:pPr>
        <w:rPr>
          <w:rFonts w:cstheme="minorHAnsi"/>
          <w:sz w:val="18"/>
          <w:szCs w:val="18"/>
        </w:rPr>
      </w:pPr>
      <w:r w:rsidRPr="003643CE">
        <w:rPr>
          <w:rFonts w:cstheme="minorHAnsi"/>
          <w:i/>
          <w:iCs/>
          <w:sz w:val="18"/>
          <w:szCs w:val="18"/>
        </w:rPr>
        <w:t>Source</w:t>
      </w:r>
      <w:r w:rsidRPr="003643CE">
        <w:rPr>
          <w:rFonts w:cstheme="minorHAnsi"/>
          <w:sz w:val="18"/>
          <w:szCs w:val="18"/>
        </w:rPr>
        <w:t>: World Bank staff analysis.</w:t>
      </w:r>
    </w:p>
    <w:p w14:paraId="1309F876" w14:textId="77777777" w:rsidR="00835CEC" w:rsidRPr="003643CE" w:rsidRDefault="00835CEC" w:rsidP="003643CE">
      <w:pPr>
        <w:ind w:left="0" w:firstLine="0"/>
        <w:jc w:val="both"/>
        <w:rPr>
          <w:rFonts w:cstheme="minorHAnsi"/>
        </w:rPr>
      </w:pPr>
      <w:r w:rsidRPr="003643CE">
        <w:rPr>
          <w:rFonts w:cstheme="minorHAnsi"/>
          <w:b/>
          <w:bCs/>
        </w:rPr>
        <w:t xml:space="preserve">While this intergovernmental revenue assignment supports fiscal decentralization, it also adds complexity to the system. </w:t>
      </w:r>
      <w:r w:rsidRPr="003643CE">
        <w:rPr>
          <w:rFonts w:cstheme="minorHAnsi"/>
        </w:rPr>
        <w:t>Differentiated treatment and parallel regimes increase compliance and hassle costs borne by businesses. Moreover, widespread inability to deduct input VAT creates a cascading effect of taxes applied on different stages of the value-added chains. Most pronounced is the difference between the treatment of certain agricultural products (subject to final VAT); foodstuffs (taxed at standard rate); and restaurant services (excluded from the VAT base, taxed only at final stage by districts). As a result, depending on whether meals are offered on-trade or off-trade, tax treatment largely differs.</w:t>
      </w:r>
    </w:p>
    <w:p w14:paraId="57CCFE9F" w14:textId="2E7C4F3A" w:rsidR="00097DE9" w:rsidRPr="003643CE" w:rsidRDefault="00097DE9" w:rsidP="003643CE">
      <w:pPr>
        <w:ind w:left="0" w:firstLine="0"/>
        <w:rPr>
          <w:rFonts w:eastAsiaTheme="majorEastAsia" w:cstheme="minorHAnsi"/>
          <w:color w:val="2F5496" w:themeColor="accent1" w:themeShade="BF"/>
          <w:sz w:val="18"/>
          <w:szCs w:val="18"/>
        </w:rPr>
      </w:pPr>
      <w:r w:rsidRPr="003643CE">
        <w:rPr>
          <w:rFonts w:cstheme="minorHAnsi"/>
          <w:sz w:val="18"/>
          <w:szCs w:val="18"/>
        </w:rPr>
        <w:br w:type="page"/>
      </w:r>
    </w:p>
    <w:p w14:paraId="0054B89A" w14:textId="2CF84A4D" w:rsidR="003E706D" w:rsidRPr="00BE74E2" w:rsidRDefault="003E706D" w:rsidP="003E706D">
      <w:pPr>
        <w:pStyle w:val="Heading1"/>
        <w:spacing w:before="120"/>
        <w:ind w:left="0" w:firstLine="0"/>
        <w:jc w:val="both"/>
        <w:rPr>
          <w:rFonts w:cstheme="majorHAnsi"/>
        </w:rPr>
      </w:pPr>
      <w:bookmarkStart w:id="69" w:name="_Toc177819062"/>
      <w:r w:rsidRPr="00BE74E2">
        <w:rPr>
          <w:rFonts w:cstheme="majorHAnsi"/>
        </w:rPr>
        <w:lastRenderedPageBreak/>
        <w:t>A</w:t>
      </w:r>
      <w:r w:rsidR="00525612">
        <w:rPr>
          <w:rFonts w:cstheme="majorHAnsi"/>
        </w:rPr>
        <w:t>ppendi</w:t>
      </w:r>
      <w:r w:rsidRPr="00BE74E2">
        <w:rPr>
          <w:rFonts w:cstheme="majorHAnsi"/>
        </w:rPr>
        <w:t xml:space="preserve">x 7: </w:t>
      </w:r>
      <w:r w:rsidR="008B6A1E" w:rsidRPr="00BE74E2">
        <w:rPr>
          <w:rFonts w:cstheme="majorHAnsi"/>
        </w:rPr>
        <w:t xml:space="preserve">VAT on </w:t>
      </w:r>
      <w:r w:rsidR="00684170">
        <w:rPr>
          <w:rFonts w:cstheme="majorHAnsi"/>
        </w:rPr>
        <w:t>D</w:t>
      </w:r>
      <w:r w:rsidR="008B6A1E" w:rsidRPr="00BE74E2">
        <w:rPr>
          <w:rFonts w:cstheme="majorHAnsi"/>
        </w:rPr>
        <w:t xml:space="preserve">igital </w:t>
      </w:r>
      <w:r w:rsidR="00684170">
        <w:rPr>
          <w:rFonts w:cstheme="majorHAnsi"/>
        </w:rPr>
        <w:t>C</w:t>
      </w:r>
      <w:r w:rsidR="008B6A1E" w:rsidRPr="00BE74E2">
        <w:rPr>
          <w:rFonts w:cstheme="majorHAnsi"/>
        </w:rPr>
        <w:t>onsumption</w:t>
      </w:r>
      <w:bookmarkEnd w:id="69"/>
    </w:p>
    <w:p w14:paraId="69D63767" w14:textId="3F651F77" w:rsidR="00722B00" w:rsidRPr="003643CE" w:rsidRDefault="00722B00" w:rsidP="00722B00">
      <w:pPr>
        <w:pStyle w:val="ListParagraph"/>
        <w:spacing w:before="120"/>
        <w:ind w:left="-14" w:right="173" w:firstLine="0"/>
        <w:contextualSpacing w:val="0"/>
        <w:jc w:val="both"/>
        <w:rPr>
          <w:rFonts w:cstheme="minorHAnsi"/>
          <w:color w:val="000000" w:themeColor="text1"/>
        </w:rPr>
      </w:pPr>
      <w:r w:rsidRPr="003643CE">
        <w:rPr>
          <w:rFonts w:cstheme="minorHAnsi"/>
          <w:b/>
          <w:bCs/>
          <w:color w:val="000000" w:themeColor="text1"/>
        </w:rPr>
        <w:t xml:space="preserve">One of the main challenges of </w:t>
      </w:r>
      <w:proofErr w:type="gramStart"/>
      <w:r w:rsidRPr="003643CE">
        <w:rPr>
          <w:rFonts w:cstheme="minorHAnsi"/>
          <w:b/>
          <w:bCs/>
          <w:color w:val="000000" w:themeColor="text1"/>
        </w:rPr>
        <w:t>collection of</w:t>
      </w:r>
      <w:proofErr w:type="gramEnd"/>
      <w:r w:rsidRPr="003643CE">
        <w:rPr>
          <w:rFonts w:cstheme="minorHAnsi"/>
          <w:b/>
          <w:bCs/>
          <w:color w:val="000000" w:themeColor="text1"/>
        </w:rPr>
        <w:t xml:space="preserve"> VAT in the digital economy is cross-border B2C (business-to-consumer) consumption provided by foreign firms.</w:t>
      </w:r>
      <w:r w:rsidRPr="00CB262B">
        <w:rPr>
          <w:rStyle w:val="FootnoteReference"/>
          <w:rFonts w:cstheme="minorHAnsi"/>
          <w:b/>
          <w:bCs/>
          <w:color w:val="000000" w:themeColor="text1"/>
        </w:rPr>
        <w:footnoteReference w:id="107"/>
      </w:r>
      <w:r w:rsidRPr="003643CE">
        <w:rPr>
          <w:rFonts w:cstheme="minorHAnsi"/>
          <w:color w:val="000000" w:themeColor="text1"/>
        </w:rPr>
        <w:t xml:space="preserve"> Most digital services provided to the end user over the public internet are known as over-the-top (OTT). OTT can be in the form of streaming services, broadcasting commercial content, cloud services</w:t>
      </w:r>
      <w:r w:rsidR="00684170">
        <w:rPr>
          <w:rFonts w:cstheme="minorHAnsi"/>
          <w:color w:val="000000" w:themeColor="text1"/>
        </w:rPr>
        <w:t>,</w:t>
      </w:r>
      <w:r w:rsidRPr="003643CE">
        <w:rPr>
          <w:rFonts w:cstheme="minorHAnsi"/>
          <w:color w:val="000000" w:themeColor="text1"/>
        </w:rPr>
        <w:t xml:space="preserve"> or social media applications. If the OTT provider is resident in the same jurisdiction as its customers, it would be required to collect the VAT. </w:t>
      </w:r>
      <w:r w:rsidR="0033622E">
        <w:rPr>
          <w:rFonts w:cstheme="minorHAnsi"/>
          <w:color w:val="000000" w:themeColor="text1"/>
        </w:rPr>
        <w:t>I</w:t>
      </w:r>
      <w:r w:rsidRPr="003643CE">
        <w:rPr>
          <w:rFonts w:cstheme="minorHAnsi"/>
          <w:color w:val="000000" w:themeColor="text1"/>
        </w:rPr>
        <w:t xml:space="preserve">f the provider is a nonresident, </w:t>
      </w:r>
      <w:r w:rsidR="0033622E">
        <w:rPr>
          <w:rFonts w:cstheme="minorHAnsi"/>
          <w:color w:val="000000" w:themeColor="text1"/>
        </w:rPr>
        <w:t xml:space="preserve">however, </w:t>
      </w:r>
      <w:r w:rsidRPr="003643CE">
        <w:rPr>
          <w:rFonts w:cstheme="minorHAnsi"/>
          <w:color w:val="000000" w:themeColor="text1"/>
        </w:rPr>
        <w:t>issues may arise. Under Indonesia’s current tax policy, these nonresident foreign firms are subject to CIT on their income, and VAT on their OTT services.</w:t>
      </w:r>
    </w:p>
    <w:p w14:paraId="5A184CF3" w14:textId="2574FDAF" w:rsidR="00722B00" w:rsidRPr="003643CE" w:rsidRDefault="00722B00" w:rsidP="00722B00">
      <w:pPr>
        <w:pStyle w:val="ListParagraph"/>
        <w:spacing w:before="120"/>
        <w:ind w:left="-14" w:right="173" w:firstLine="0"/>
        <w:contextualSpacing w:val="0"/>
        <w:jc w:val="both"/>
        <w:rPr>
          <w:rFonts w:cstheme="minorHAnsi"/>
          <w:color w:val="000000" w:themeColor="text1"/>
        </w:rPr>
      </w:pPr>
      <w:r w:rsidRPr="003643CE">
        <w:rPr>
          <w:b/>
          <w:color w:val="000000" w:themeColor="text1"/>
        </w:rPr>
        <w:t>While the imposition of CIT still needs to wait until two jurisdictions reach an agreement,</w:t>
      </w:r>
      <w:r w:rsidRPr="00CB262B">
        <w:rPr>
          <w:rStyle w:val="FootnoteReference"/>
          <w:b/>
          <w:color w:val="000000" w:themeColor="text1"/>
        </w:rPr>
        <w:footnoteReference w:id="108"/>
      </w:r>
      <w:r w:rsidRPr="003643CE">
        <w:rPr>
          <w:b/>
          <w:color w:val="000000" w:themeColor="text1"/>
        </w:rPr>
        <w:t xml:space="preserve"> </w:t>
      </w:r>
      <w:proofErr w:type="spellStart"/>
      <w:r w:rsidRPr="003643CE">
        <w:rPr>
          <w:b/>
          <w:color w:val="000000" w:themeColor="text1"/>
        </w:rPr>
        <w:t>GoI</w:t>
      </w:r>
      <w:proofErr w:type="spellEnd"/>
      <w:r w:rsidRPr="003643CE">
        <w:rPr>
          <w:b/>
          <w:color w:val="000000" w:themeColor="text1"/>
        </w:rPr>
        <w:t xml:space="preserve"> has moved forward with collecting VAT on OTT sales since 2020. </w:t>
      </w:r>
      <w:r w:rsidRPr="003643CE">
        <w:rPr>
          <w:color w:val="000000" w:themeColor="text1"/>
        </w:rPr>
        <w:t>The administration has started imposing VAT on sales by big technology firms like Google, Facebook, or Amazon since 2020. The applicable VAT rate follows the standard rate of 11 percent. VAT is applicable for a range of digital products such as software, multi-media, and electronic data (apps, games, music, film, e-books, and e-magazines); as well as digital services providing these goods</w:t>
      </w:r>
      <w:r w:rsidR="0057101E">
        <w:rPr>
          <w:rFonts w:cstheme="minorHAnsi"/>
          <w:color w:val="000000" w:themeColor="text1"/>
        </w:rPr>
        <w:t>–</w:t>
      </w:r>
      <w:r w:rsidRPr="003643CE">
        <w:rPr>
          <w:color w:val="000000" w:themeColor="text1"/>
        </w:rPr>
        <w:t>such as web hosting, video conferencing, and other services.</w:t>
      </w:r>
    </w:p>
    <w:p w14:paraId="714CDAA5" w14:textId="3F57547C" w:rsidR="00722B00" w:rsidRPr="003643CE" w:rsidRDefault="00722B00" w:rsidP="00722B00">
      <w:pPr>
        <w:pStyle w:val="ListParagraph"/>
        <w:spacing w:before="120"/>
        <w:ind w:left="-14" w:right="173" w:firstLine="0"/>
        <w:contextualSpacing w:val="0"/>
        <w:jc w:val="both"/>
        <w:rPr>
          <w:rFonts w:cstheme="minorHAnsi"/>
          <w:color w:val="000000" w:themeColor="text1"/>
        </w:rPr>
      </w:pPr>
      <w:r w:rsidRPr="003643CE">
        <w:rPr>
          <w:b/>
          <w:color w:val="000000" w:themeColor="text1"/>
        </w:rPr>
        <w:t>VAT on digital consumption shall be collected, deposited, and reported by the OTT provider</w:t>
      </w:r>
      <w:r w:rsidR="00AB635F">
        <w:rPr>
          <w:rFonts w:cstheme="minorHAnsi"/>
          <w:b/>
          <w:color w:val="000000" w:themeColor="text1"/>
        </w:rPr>
        <w:t>–</w:t>
      </w:r>
      <w:r w:rsidRPr="003643CE">
        <w:rPr>
          <w:b/>
          <w:color w:val="000000" w:themeColor="text1"/>
        </w:rPr>
        <w:t xml:space="preserve">known as the PMSE VAT mechanism. </w:t>
      </w:r>
      <w:r w:rsidRPr="003643CE">
        <w:rPr>
          <w:rFonts w:cstheme="minorHAnsi"/>
          <w:color w:val="000000" w:themeColor="text1"/>
        </w:rPr>
        <w:t>PMSE (</w:t>
      </w:r>
      <w:proofErr w:type="spellStart"/>
      <w:r w:rsidRPr="003643CE">
        <w:rPr>
          <w:rFonts w:cstheme="minorHAnsi"/>
          <w:i/>
          <w:iCs/>
          <w:color w:val="000000" w:themeColor="text1"/>
        </w:rPr>
        <w:t>Perdagangan</w:t>
      </w:r>
      <w:proofErr w:type="spellEnd"/>
      <w:r w:rsidRPr="003643CE">
        <w:rPr>
          <w:rFonts w:cstheme="minorHAnsi"/>
          <w:i/>
          <w:iCs/>
          <w:color w:val="000000" w:themeColor="text1"/>
        </w:rPr>
        <w:t xml:space="preserve"> </w:t>
      </w:r>
      <w:proofErr w:type="spellStart"/>
      <w:r w:rsidRPr="003643CE">
        <w:rPr>
          <w:rFonts w:cstheme="minorHAnsi"/>
          <w:i/>
          <w:iCs/>
          <w:color w:val="000000" w:themeColor="text1"/>
        </w:rPr>
        <w:t>Melalui</w:t>
      </w:r>
      <w:proofErr w:type="spellEnd"/>
      <w:r w:rsidRPr="003643CE">
        <w:rPr>
          <w:rFonts w:cstheme="minorHAnsi"/>
          <w:i/>
          <w:iCs/>
          <w:color w:val="000000" w:themeColor="text1"/>
        </w:rPr>
        <w:t xml:space="preserve"> </w:t>
      </w:r>
      <w:proofErr w:type="spellStart"/>
      <w:r w:rsidRPr="003643CE">
        <w:rPr>
          <w:rFonts w:cstheme="minorHAnsi"/>
          <w:i/>
          <w:iCs/>
          <w:color w:val="000000" w:themeColor="text1"/>
        </w:rPr>
        <w:t>Sistem</w:t>
      </w:r>
      <w:proofErr w:type="spellEnd"/>
      <w:r w:rsidRPr="003643CE">
        <w:rPr>
          <w:rFonts w:cstheme="minorHAnsi"/>
          <w:i/>
          <w:iCs/>
          <w:color w:val="000000" w:themeColor="text1"/>
        </w:rPr>
        <w:t xml:space="preserve"> Elektronik</w:t>
      </w:r>
      <w:r w:rsidRPr="003643CE">
        <w:rPr>
          <w:rFonts w:cstheme="minorHAnsi"/>
          <w:color w:val="000000" w:themeColor="text1"/>
        </w:rPr>
        <w:t>) VAT collectors are appointed by MoF. Businesses will be appointed as VAT collectors if their annual sales reach at least R</w:t>
      </w:r>
      <w:r w:rsidR="0004266E">
        <w:rPr>
          <w:rFonts w:cstheme="minorHAnsi"/>
          <w:color w:val="000000" w:themeColor="text1"/>
        </w:rPr>
        <w:t>p</w:t>
      </w:r>
      <w:r w:rsidRPr="003643CE">
        <w:rPr>
          <w:rFonts w:cstheme="minorHAnsi"/>
          <w:color w:val="000000" w:themeColor="text1"/>
        </w:rPr>
        <w:t xml:space="preserve"> 600 million (US</w:t>
      </w:r>
      <w:r w:rsidR="00CB262B" w:rsidRPr="003643CE">
        <w:rPr>
          <w:rFonts w:cstheme="minorHAnsi"/>
          <w:color w:val="000000" w:themeColor="text1"/>
        </w:rPr>
        <w:t>$</w:t>
      </w:r>
      <w:r w:rsidRPr="003643CE">
        <w:rPr>
          <w:rFonts w:cstheme="minorHAnsi"/>
          <w:color w:val="000000" w:themeColor="text1"/>
        </w:rPr>
        <w:t>42,000), or online traffic volumes involv</w:t>
      </w:r>
      <w:r w:rsidR="0057101E">
        <w:rPr>
          <w:rFonts w:cstheme="minorHAnsi"/>
          <w:color w:val="000000" w:themeColor="text1"/>
        </w:rPr>
        <w:t>e</w:t>
      </w:r>
      <w:r w:rsidRPr="003643CE">
        <w:rPr>
          <w:rFonts w:cstheme="minorHAnsi"/>
          <w:color w:val="000000" w:themeColor="text1"/>
        </w:rPr>
        <w:t xml:space="preserve"> at least 12,000 page visits by Indonesian users annually.</w:t>
      </w:r>
      <w:r w:rsidRPr="00CB262B">
        <w:rPr>
          <w:rStyle w:val="FootnoteReference"/>
          <w:rFonts w:cstheme="minorHAnsi"/>
          <w:color w:val="000000" w:themeColor="text1"/>
        </w:rPr>
        <w:footnoteReference w:id="109"/>
      </w:r>
      <w:r w:rsidRPr="003643CE">
        <w:rPr>
          <w:rFonts w:cstheme="minorHAnsi"/>
          <w:color w:val="000000" w:themeColor="text1"/>
        </w:rPr>
        <w:t xml:space="preserve"> Domestic marketplaces (</w:t>
      </w:r>
      <w:r w:rsidR="0057101E">
        <w:rPr>
          <w:rFonts w:cstheme="minorHAnsi"/>
          <w:color w:val="000000" w:themeColor="text1"/>
        </w:rPr>
        <w:t>such as</w:t>
      </w:r>
      <w:r w:rsidRPr="003643CE">
        <w:rPr>
          <w:rFonts w:cstheme="minorHAnsi"/>
          <w:color w:val="000000" w:themeColor="text1"/>
        </w:rPr>
        <w:t xml:space="preserve"> Tokopedia) can also be appointed as PMSE VAT </w:t>
      </w:r>
      <w:proofErr w:type="gramStart"/>
      <w:r w:rsidRPr="003643CE">
        <w:rPr>
          <w:rFonts w:cstheme="minorHAnsi"/>
          <w:color w:val="000000" w:themeColor="text1"/>
        </w:rPr>
        <w:t>collectors</w:t>
      </w:r>
      <w:proofErr w:type="gramEnd"/>
      <w:r w:rsidRPr="003643CE">
        <w:rPr>
          <w:rFonts w:cstheme="minorHAnsi"/>
          <w:color w:val="000000" w:themeColor="text1"/>
        </w:rPr>
        <w:t xml:space="preserve"> but the VAT collected is only from digital services or products supplied by nonresident providers who are listed in the marketplace.</w:t>
      </w:r>
    </w:p>
    <w:p w14:paraId="2C6CDA03" w14:textId="1278AC02" w:rsidR="00722B00" w:rsidRPr="003643CE" w:rsidRDefault="00722B00" w:rsidP="00722B00">
      <w:pPr>
        <w:pStyle w:val="ListParagraph"/>
        <w:spacing w:before="120"/>
        <w:ind w:left="-14" w:right="173" w:firstLine="0"/>
        <w:contextualSpacing w:val="0"/>
        <w:jc w:val="both"/>
      </w:pPr>
      <w:r w:rsidRPr="003643CE">
        <w:rPr>
          <w:b/>
          <w:bCs/>
        </w:rPr>
        <w:t xml:space="preserve">Since its implementation, </w:t>
      </w:r>
      <w:r w:rsidR="0073174E">
        <w:rPr>
          <w:b/>
          <w:bCs/>
        </w:rPr>
        <w:t>163</w:t>
      </w:r>
      <w:r w:rsidR="0073174E" w:rsidRPr="003643CE">
        <w:rPr>
          <w:b/>
          <w:bCs/>
        </w:rPr>
        <w:t xml:space="preserve"> </w:t>
      </w:r>
      <w:r w:rsidRPr="003643CE">
        <w:rPr>
          <w:b/>
          <w:bCs/>
        </w:rPr>
        <w:t>PMSE VAT collectors have been appointed with cumulative revenue collection in 2020-2023 amounting to 0.0</w:t>
      </w:r>
      <w:r w:rsidR="00E30D70">
        <w:rPr>
          <w:b/>
          <w:bCs/>
        </w:rPr>
        <w:t>8</w:t>
      </w:r>
      <w:r w:rsidRPr="003643CE">
        <w:rPr>
          <w:b/>
          <w:bCs/>
        </w:rPr>
        <w:t xml:space="preserve"> percent of GDP </w:t>
      </w:r>
      <w:r w:rsidRPr="003643CE">
        <w:rPr>
          <w:b/>
          <w:bCs/>
          <w:color w:val="4472C4" w:themeColor="accent1"/>
        </w:rPr>
        <w:t xml:space="preserve">(Table </w:t>
      </w:r>
      <w:r w:rsidR="00684170">
        <w:rPr>
          <w:b/>
          <w:bCs/>
          <w:color w:val="4472C4" w:themeColor="accent1"/>
        </w:rPr>
        <w:t>7A.1</w:t>
      </w:r>
      <w:r w:rsidRPr="003643CE">
        <w:rPr>
          <w:b/>
          <w:bCs/>
          <w:color w:val="4472C4" w:themeColor="accent1"/>
        </w:rPr>
        <w:t>)</w:t>
      </w:r>
      <w:r w:rsidRPr="003643CE">
        <w:t xml:space="preserve">. This includes collections from local marketplaces, such as Tokopedia, </w:t>
      </w:r>
      <w:proofErr w:type="spellStart"/>
      <w:r w:rsidRPr="003643CE">
        <w:t>Bukalapak</w:t>
      </w:r>
      <w:proofErr w:type="spellEnd"/>
      <w:r w:rsidRPr="003643CE">
        <w:t>, Blibli, and Shopee; and a majority of large, foreign-based VAT collectors</w:t>
      </w:r>
      <w:r w:rsidR="0057101E">
        <w:rPr>
          <w:rFonts w:cstheme="minorHAnsi"/>
        </w:rPr>
        <w:t>–</w:t>
      </w:r>
      <w:r w:rsidRPr="003643CE">
        <w:t xml:space="preserve">such as Microsoft, Alibaba Cloud, IBM, Amazon, Google, Netflix, Spotify, Skype, </w:t>
      </w:r>
      <w:proofErr w:type="spellStart"/>
      <w:r w:rsidRPr="003643CE">
        <w:t>Linkedin</w:t>
      </w:r>
      <w:proofErr w:type="spellEnd"/>
      <w:r w:rsidRPr="003643CE">
        <w:t xml:space="preserve">, and Twitter. </w:t>
      </w:r>
    </w:p>
    <w:p w14:paraId="66F4787C" w14:textId="77777777" w:rsidR="00722B00" w:rsidRDefault="00722B00" w:rsidP="00722B00">
      <w:pPr>
        <w:pStyle w:val="xmsonormal"/>
        <w:jc w:val="both"/>
      </w:pPr>
    </w:p>
    <w:p w14:paraId="4BBF0D41" w14:textId="5E890F37" w:rsidR="00722B00" w:rsidRPr="00D1118E" w:rsidRDefault="00722B00" w:rsidP="00722B00">
      <w:pPr>
        <w:keepLines/>
        <w:ind w:hanging="15"/>
        <w:rPr>
          <w:rFonts w:eastAsia="Times New Roman" w:cstheme="minorHAnsi"/>
          <w:b/>
          <w:color w:val="0C4DA2"/>
          <w:sz w:val="20"/>
          <w:szCs w:val="20"/>
        </w:rPr>
      </w:pPr>
      <w:r w:rsidRPr="00C8003E">
        <w:rPr>
          <w:rFonts w:eastAsia="Times New Roman" w:cstheme="minorHAnsi"/>
          <w:b/>
          <w:color w:val="0C4DA2"/>
          <w:sz w:val="20"/>
          <w:szCs w:val="20"/>
        </w:rPr>
        <w:t xml:space="preserve">Table </w:t>
      </w:r>
      <w:r w:rsidR="00684170">
        <w:rPr>
          <w:rFonts w:eastAsia="Times New Roman" w:cstheme="minorHAnsi"/>
          <w:b/>
          <w:color w:val="0C4DA2"/>
          <w:sz w:val="20"/>
          <w:szCs w:val="20"/>
        </w:rPr>
        <w:t>7A.1</w:t>
      </w:r>
      <w:r>
        <w:rPr>
          <w:rFonts w:eastAsia="Times New Roman" w:cstheme="minorHAnsi"/>
          <w:b/>
          <w:color w:val="0C4DA2"/>
          <w:sz w:val="20"/>
          <w:szCs w:val="20"/>
        </w:rPr>
        <w:t>:</w:t>
      </w:r>
      <w:r w:rsidRPr="00C8003E">
        <w:rPr>
          <w:rFonts w:eastAsia="Times New Roman" w:cstheme="minorHAnsi"/>
          <w:b/>
          <w:color w:val="0C4DA2"/>
          <w:sz w:val="20"/>
          <w:szCs w:val="20"/>
        </w:rPr>
        <w:t xml:space="preserve"> </w:t>
      </w:r>
      <w:r w:rsidRPr="00D1118E">
        <w:rPr>
          <w:rFonts w:eastAsia="Times New Roman" w:cstheme="minorHAnsi"/>
          <w:b/>
          <w:color w:val="0C4DA2"/>
          <w:sz w:val="20"/>
          <w:szCs w:val="20"/>
        </w:rPr>
        <w:t>VAT collection from digital transactions</w:t>
      </w:r>
    </w:p>
    <w:tbl>
      <w:tblPr>
        <w:tblW w:w="7174" w:type="dxa"/>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960"/>
        <w:gridCol w:w="960"/>
        <w:gridCol w:w="928"/>
        <w:gridCol w:w="606"/>
      </w:tblGrid>
      <w:tr w:rsidR="00722B00" w:rsidRPr="00D1118E" w14:paraId="238451B1" w14:textId="77777777" w:rsidTr="003643CE">
        <w:trPr>
          <w:trHeight w:val="300"/>
        </w:trPr>
        <w:tc>
          <w:tcPr>
            <w:tcW w:w="3720" w:type="dxa"/>
            <w:noWrap/>
            <w:hideMark/>
          </w:tcPr>
          <w:p w14:paraId="7B6C5924" w14:textId="50398AE8" w:rsidR="00722B00" w:rsidRPr="00D1118E" w:rsidRDefault="00684170" w:rsidP="00DA1A7B">
            <w:pPr>
              <w:spacing w:after="0"/>
              <w:ind w:left="-21" w:right="166" w:firstLine="0"/>
              <w:jc w:val="both"/>
              <w:rPr>
                <w:rFonts w:cstheme="minorHAnsi"/>
                <w:b/>
                <w:bCs/>
                <w:color w:val="000000" w:themeColor="text1"/>
                <w:sz w:val="18"/>
                <w:szCs w:val="18"/>
              </w:rPr>
            </w:pPr>
            <w:r>
              <w:rPr>
                <w:rFonts w:cstheme="minorHAnsi"/>
                <w:b/>
                <w:bCs/>
                <w:color w:val="000000" w:themeColor="text1"/>
                <w:sz w:val="18"/>
                <w:szCs w:val="18"/>
              </w:rPr>
              <w:t>Factor</w:t>
            </w:r>
          </w:p>
        </w:tc>
        <w:tc>
          <w:tcPr>
            <w:tcW w:w="960" w:type="dxa"/>
            <w:noWrap/>
            <w:hideMark/>
          </w:tcPr>
          <w:p w14:paraId="06A4B4D1" w14:textId="77777777" w:rsidR="00722B00" w:rsidRPr="00D1118E" w:rsidRDefault="00722B00" w:rsidP="00DA1A7B">
            <w:pPr>
              <w:spacing w:after="0"/>
              <w:ind w:left="-21" w:right="166" w:firstLine="0"/>
              <w:jc w:val="right"/>
              <w:rPr>
                <w:rFonts w:cstheme="minorHAnsi"/>
                <w:b/>
                <w:bCs/>
                <w:color w:val="000000" w:themeColor="text1"/>
                <w:sz w:val="18"/>
                <w:szCs w:val="18"/>
              </w:rPr>
            </w:pPr>
            <w:r w:rsidRPr="00D1118E">
              <w:rPr>
                <w:rFonts w:cstheme="minorHAnsi"/>
                <w:b/>
                <w:bCs/>
                <w:color w:val="000000" w:themeColor="text1"/>
                <w:sz w:val="18"/>
                <w:szCs w:val="18"/>
              </w:rPr>
              <w:t>2020</w:t>
            </w:r>
          </w:p>
        </w:tc>
        <w:tc>
          <w:tcPr>
            <w:tcW w:w="960" w:type="dxa"/>
            <w:noWrap/>
            <w:hideMark/>
          </w:tcPr>
          <w:p w14:paraId="77B9576A" w14:textId="77777777" w:rsidR="00722B00" w:rsidRPr="00D1118E" w:rsidRDefault="00722B00" w:rsidP="00DA1A7B">
            <w:pPr>
              <w:spacing w:after="0"/>
              <w:ind w:left="-21" w:right="166" w:firstLine="0"/>
              <w:jc w:val="right"/>
              <w:rPr>
                <w:rFonts w:cstheme="minorHAnsi"/>
                <w:b/>
                <w:bCs/>
                <w:color w:val="000000" w:themeColor="text1"/>
                <w:sz w:val="18"/>
                <w:szCs w:val="18"/>
              </w:rPr>
            </w:pPr>
            <w:r w:rsidRPr="00D1118E">
              <w:rPr>
                <w:rFonts w:cstheme="minorHAnsi"/>
                <w:b/>
                <w:bCs/>
                <w:color w:val="000000" w:themeColor="text1"/>
                <w:sz w:val="18"/>
                <w:szCs w:val="18"/>
              </w:rPr>
              <w:t>2021</w:t>
            </w:r>
          </w:p>
        </w:tc>
        <w:tc>
          <w:tcPr>
            <w:tcW w:w="928" w:type="dxa"/>
            <w:noWrap/>
            <w:hideMark/>
          </w:tcPr>
          <w:p w14:paraId="1C5B8521" w14:textId="77777777" w:rsidR="00722B00" w:rsidRPr="00D1118E" w:rsidRDefault="00722B00" w:rsidP="00DA1A7B">
            <w:pPr>
              <w:spacing w:after="0"/>
              <w:ind w:left="-21" w:right="166" w:firstLine="0"/>
              <w:jc w:val="right"/>
              <w:rPr>
                <w:rFonts w:cstheme="minorHAnsi"/>
                <w:b/>
                <w:bCs/>
                <w:color w:val="000000" w:themeColor="text1"/>
                <w:sz w:val="18"/>
                <w:szCs w:val="18"/>
              </w:rPr>
            </w:pPr>
            <w:r w:rsidRPr="00D1118E">
              <w:rPr>
                <w:rFonts w:cstheme="minorHAnsi"/>
                <w:b/>
                <w:bCs/>
                <w:color w:val="000000" w:themeColor="text1"/>
                <w:sz w:val="18"/>
                <w:szCs w:val="18"/>
              </w:rPr>
              <w:t>2022</w:t>
            </w:r>
          </w:p>
        </w:tc>
        <w:tc>
          <w:tcPr>
            <w:tcW w:w="606" w:type="dxa"/>
            <w:noWrap/>
            <w:hideMark/>
          </w:tcPr>
          <w:p w14:paraId="7E0F1422" w14:textId="77777777" w:rsidR="00722B00" w:rsidRPr="00D1118E" w:rsidRDefault="00722B00" w:rsidP="00DA1A7B">
            <w:pPr>
              <w:spacing w:after="0"/>
              <w:ind w:left="-21" w:right="-51" w:firstLine="0"/>
              <w:jc w:val="right"/>
              <w:rPr>
                <w:rFonts w:cstheme="minorHAnsi"/>
                <w:b/>
                <w:bCs/>
                <w:color w:val="000000" w:themeColor="text1"/>
                <w:sz w:val="18"/>
                <w:szCs w:val="18"/>
              </w:rPr>
            </w:pPr>
            <w:r w:rsidRPr="00D1118E">
              <w:rPr>
                <w:rFonts w:cstheme="minorHAnsi"/>
                <w:b/>
                <w:bCs/>
                <w:color w:val="000000" w:themeColor="text1"/>
                <w:sz w:val="18"/>
                <w:szCs w:val="18"/>
              </w:rPr>
              <w:t>2023</w:t>
            </w:r>
          </w:p>
        </w:tc>
      </w:tr>
      <w:tr w:rsidR="00722B00" w:rsidRPr="00D1118E" w14:paraId="46C52187" w14:textId="77777777" w:rsidTr="003643CE">
        <w:trPr>
          <w:trHeight w:val="300"/>
        </w:trPr>
        <w:tc>
          <w:tcPr>
            <w:tcW w:w="3720" w:type="dxa"/>
            <w:noWrap/>
            <w:hideMark/>
          </w:tcPr>
          <w:p w14:paraId="263EB829" w14:textId="4B198FFD" w:rsidR="00722B00" w:rsidRPr="00D1118E" w:rsidRDefault="00722B00" w:rsidP="00DA1A7B">
            <w:pPr>
              <w:spacing w:after="0"/>
              <w:ind w:left="-21" w:right="166" w:firstLine="0"/>
              <w:jc w:val="both"/>
              <w:rPr>
                <w:rFonts w:cstheme="minorHAnsi"/>
                <w:color w:val="000000" w:themeColor="text1"/>
                <w:sz w:val="18"/>
                <w:szCs w:val="18"/>
              </w:rPr>
            </w:pPr>
            <w:r w:rsidRPr="00D1118E">
              <w:rPr>
                <w:rFonts w:cstheme="minorHAnsi"/>
                <w:color w:val="000000" w:themeColor="text1"/>
                <w:sz w:val="18"/>
                <w:szCs w:val="18"/>
              </w:rPr>
              <w:t>R</w:t>
            </w:r>
            <w:r w:rsidR="0004266E">
              <w:rPr>
                <w:rFonts w:cstheme="minorHAnsi"/>
                <w:color w:val="000000" w:themeColor="text1"/>
                <w:sz w:val="18"/>
                <w:szCs w:val="18"/>
              </w:rPr>
              <w:t>p</w:t>
            </w:r>
            <w:r w:rsidRPr="00D1118E">
              <w:rPr>
                <w:rFonts w:cstheme="minorHAnsi"/>
                <w:color w:val="000000" w:themeColor="text1"/>
                <w:sz w:val="18"/>
                <w:szCs w:val="18"/>
              </w:rPr>
              <w:t xml:space="preserve"> </w:t>
            </w:r>
            <w:r w:rsidR="00684170">
              <w:rPr>
                <w:rFonts w:cstheme="minorHAnsi"/>
                <w:color w:val="000000" w:themeColor="text1"/>
                <w:sz w:val="18"/>
                <w:szCs w:val="18"/>
              </w:rPr>
              <w:t>(</w:t>
            </w:r>
            <w:r w:rsidRPr="00D1118E">
              <w:rPr>
                <w:rFonts w:cstheme="minorHAnsi"/>
                <w:color w:val="000000" w:themeColor="text1"/>
                <w:sz w:val="18"/>
                <w:szCs w:val="18"/>
              </w:rPr>
              <w:t>trillion</w:t>
            </w:r>
            <w:r w:rsidR="00684170">
              <w:rPr>
                <w:rFonts w:cstheme="minorHAnsi"/>
                <w:color w:val="000000" w:themeColor="text1"/>
                <w:sz w:val="18"/>
                <w:szCs w:val="18"/>
              </w:rPr>
              <w:t>s)</w:t>
            </w:r>
          </w:p>
        </w:tc>
        <w:tc>
          <w:tcPr>
            <w:tcW w:w="960" w:type="dxa"/>
            <w:noWrap/>
            <w:hideMark/>
          </w:tcPr>
          <w:p w14:paraId="4F2BD3F6" w14:textId="77777777" w:rsidR="00722B00" w:rsidRPr="00D1118E" w:rsidRDefault="00722B00" w:rsidP="00DA1A7B">
            <w:pPr>
              <w:spacing w:after="0"/>
              <w:ind w:left="-21" w:right="166" w:firstLine="0"/>
              <w:jc w:val="right"/>
              <w:rPr>
                <w:rFonts w:cstheme="minorHAnsi"/>
                <w:color w:val="000000" w:themeColor="text1"/>
                <w:sz w:val="18"/>
                <w:szCs w:val="18"/>
              </w:rPr>
            </w:pPr>
            <w:r w:rsidRPr="00D1118E">
              <w:rPr>
                <w:rFonts w:cstheme="minorHAnsi"/>
                <w:color w:val="000000" w:themeColor="text1"/>
                <w:sz w:val="18"/>
                <w:szCs w:val="18"/>
              </w:rPr>
              <w:t>0.7</w:t>
            </w:r>
          </w:p>
        </w:tc>
        <w:tc>
          <w:tcPr>
            <w:tcW w:w="960" w:type="dxa"/>
            <w:noWrap/>
            <w:hideMark/>
          </w:tcPr>
          <w:p w14:paraId="5F6F60C1" w14:textId="77777777" w:rsidR="00722B00" w:rsidRPr="00D1118E" w:rsidRDefault="00722B00" w:rsidP="00DA1A7B">
            <w:pPr>
              <w:spacing w:after="0"/>
              <w:ind w:left="-21" w:right="166" w:firstLine="0"/>
              <w:jc w:val="right"/>
              <w:rPr>
                <w:rFonts w:cstheme="minorHAnsi"/>
                <w:color w:val="000000" w:themeColor="text1"/>
                <w:sz w:val="18"/>
                <w:szCs w:val="18"/>
              </w:rPr>
            </w:pPr>
            <w:r w:rsidRPr="00D1118E">
              <w:rPr>
                <w:rFonts w:cstheme="minorHAnsi"/>
                <w:color w:val="000000" w:themeColor="text1"/>
                <w:sz w:val="18"/>
                <w:szCs w:val="18"/>
              </w:rPr>
              <w:t>3.9</w:t>
            </w:r>
          </w:p>
        </w:tc>
        <w:tc>
          <w:tcPr>
            <w:tcW w:w="928" w:type="dxa"/>
            <w:noWrap/>
            <w:hideMark/>
          </w:tcPr>
          <w:p w14:paraId="4EDFA487" w14:textId="77777777" w:rsidR="00722B00" w:rsidRPr="00D1118E" w:rsidRDefault="00722B00" w:rsidP="00DA1A7B">
            <w:pPr>
              <w:spacing w:after="0"/>
              <w:ind w:left="-21" w:right="166" w:firstLine="0"/>
              <w:jc w:val="right"/>
              <w:rPr>
                <w:rFonts w:cstheme="minorHAnsi"/>
                <w:color w:val="000000" w:themeColor="text1"/>
                <w:sz w:val="18"/>
                <w:szCs w:val="18"/>
              </w:rPr>
            </w:pPr>
            <w:r w:rsidRPr="00D1118E">
              <w:rPr>
                <w:rFonts w:cstheme="minorHAnsi"/>
                <w:color w:val="000000" w:themeColor="text1"/>
                <w:sz w:val="18"/>
                <w:szCs w:val="18"/>
              </w:rPr>
              <w:t>5.5</w:t>
            </w:r>
          </w:p>
        </w:tc>
        <w:tc>
          <w:tcPr>
            <w:tcW w:w="606" w:type="dxa"/>
            <w:noWrap/>
            <w:hideMark/>
          </w:tcPr>
          <w:p w14:paraId="74B7B5C4" w14:textId="77777777" w:rsidR="00722B00" w:rsidRPr="00D1118E" w:rsidRDefault="00722B00" w:rsidP="00DA1A7B">
            <w:pPr>
              <w:spacing w:after="0"/>
              <w:ind w:left="-21" w:right="-51" w:firstLine="0"/>
              <w:jc w:val="right"/>
              <w:rPr>
                <w:rFonts w:cstheme="minorHAnsi"/>
                <w:color w:val="000000" w:themeColor="text1"/>
                <w:sz w:val="18"/>
                <w:szCs w:val="18"/>
              </w:rPr>
            </w:pPr>
            <w:r>
              <w:rPr>
                <w:rFonts w:cstheme="minorHAnsi"/>
                <w:color w:val="000000" w:themeColor="text1"/>
                <w:sz w:val="18"/>
                <w:szCs w:val="18"/>
              </w:rPr>
              <w:t>6.8</w:t>
            </w:r>
          </w:p>
        </w:tc>
      </w:tr>
      <w:tr w:rsidR="00722B00" w:rsidRPr="00D1118E" w14:paraId="3C737A88" w14:textId="77777777" w:rsidTr="003643CE">
        <w:trPr>
          <w:trHeight w:val="300"/>
        </w:trPr>
        <w:tc>
          <w:tcPr>
            <w:tcW w:w="3720" w:type="dxa"/>
            <w:noWrap/>
          </w:tcPr>
          <w:p w14:paraId="13A425AB" w14:textId="6D734167" w:rsidR="00722B00" w:rsidRPr="00D1118E" w:rsidRDefault="00722B00" w:rsidP="00DA1A7B">
            <w:pPr>
              <w:spacing w:after="0"/>
              <w:ind w:left="-21" w:right="166" w:firstLine="0"/>
              <w:jc w:val="both"/>
              <w:rPr>
                <w:rFonts w:cstheme="minorHAnsi"/>
                <w:color w:val="000000" w:themeColor="text1"/>
                <w:sz w:val="18"/>
                <w:szCs w:val="18"/>
              </w:rPr>
            </w:pPr>
            <w:r w:rsidRPr="00D1118E">
              <w:rPr>
                <w:rFonts w:cstheme="minorHAnsi"/>
                <w:color w:val="000000" w:themeColor="text1"/>
                <w:sz w:val="18"/>
                <w:szCs w:val="18"/>
              </w:rPr>
              <w:t>Percent</w:t>
            </w:r>
            <w:r w:rsidR="00684170">
              <w:rPr>
                <w:rFonts w:cstheme="minorHAnsi"/>
                <w:color w:val="000000" w:themeColor="text1"/>
                <w:sz w:val="18"/>
                <w:szCs w:val="18"/>
              </w:rPr>
              <w:t>age</w:t>
            </w:r>
            <w:r w:rsidRPr="00D1118E">
              <w:rPr>
                <w:rFonts w:cstheme="minorHAnsi"/>
                <w:color w:val="000000" w:themeColor="text1"/>
                <w:sz w:val="18"/>
                <w:szCs w:val="18"/>
              </w:rPr>
              <w:t xml:space="preserve"> of GDP</w:t>
            </w:r>
          </w:p>
        </w:tc>
        <w:tc>
          <w:tcPr>
            <w:tcW w:w="960" w:type="dxa"/>
            <w:noWrap/>
          </w:tcPr>
          <w:p w14:paraId="1B45BAA2" w14:textId="77777777" w:rsidR="00722B00" w:rsidRPr="00D1118E" w:rsidRDefault="00722B00" w:rsidP="00DA1A7B">
            <w:pPr>
              <w:spacing w:after="0"/>
              <w:ind w:left="-21" w:right="166" w:firstLine="0"/>
              <w:jc w:val="right"/>
              <w:rPr>
                <w:rFonts w:cstheme="minorHAnsi"/>
                <w:color w:val="000000" w:themeColor="text1"/>
                <w:sz w:val="18"/>
                <w:szCs w:val="18"/>
              </w:rPr>
            </w:pPr>
            <w:r w:rsidRPr="00D1118E">
              <w:rPr>
                <w:rFonts w:cstheme="minorHAnsi"/>
                <w:color w:val="000000" w:themeColor="text1"/>
                <w:sz w:val="18"/>
                <w:szCs w:val="18"/>
              </w:rPr>
              <w:t>0.005</w:t>
            </w:r>
          </w:p>
        </w:tc>
        <w:tc>
          <w:tcPr>
            <w:tcW w:w="960" w:type="dxa"/>
            <w:noWrap/>
          </w:tcPr>
          <w:p w14:paraId="5D15A474" w14:textId="77777777" w:rsidR="00722B00" w:rsidRPr="00D1118E" w:rsidRDefault="00722B00" w:rsidP="00DA1A7B">
            <w:pPr>
              <w:spacing w:after="0"/>
              <w:ind w:left="-21" w:right="166" w:firstLine="0"/>
              <w:jc w:val="right"/>
              <w:rPr>
                <w:rFonts w:cstheme="minorHAnsi"/>
                <w:color w:val="000000" w:themeColor="text1"/>
                <w:sz w:val="18"/>
                <w:szCs w:val="18"/>
              </w:rPr>
            </w:pPr>
            <w:r w:rsidRPr="00D1118E">
              <w:rPr>
                <w:rFonts w:cstheme="minorHAnsi"/>
                <w:color w:val="000000" w:themeColor="text1"/>
                <w:sz w:val="18"/>
                <w:szCs w:val="18"/>
              </w:rPr>
              <w:t>0.023</w:t>
            </w:r>
          </w:p>
        </w:tc>
        <w:tc>
          <w:tcPr>
            <w:tcW w:w="928" w:type="dxa"/>
            <w:noWrap/>
          </w:tcPr>
          <w:p w14:paraId="2252DA8C" w14:textId="77777777" w:rsidR="00722B00" w:rsidRPr="00D1118E" w:rsidRDefault="00722B00" w:rsidP="00DA1A7B">
            <w:pPr>
              <w:spacing w:after="0"/>
              <w:ind w:left="-21" w:right="166" w:firstLine="0"/>
              <w:jc w:val="right"/>
              <w:rPr>
                <w:rFonts w:cstheme="minorHAnsi"/>
                <w:color w:val="000000" w:themeColor="text1"/>
                <w:sz w:val="18"/>
                <w:szCs w:val="18"/>
              </w:rPr>
            </w:pPr>
            <w:r w:rsidRPr="00D1118E">
              <w:rPr>
                <w:rFonts w:cstheme="minorHAnsi"/>
                <w:color w:val="000000" w:themeColor="text1"/>
                <w:sz w:val="18"/>
                <w:szCs w:val="18"/>
              </w:rPr>
              <w:t>0.023</w:t>
            </w:r>
          </w:p>
        </w:tc>
        <w:tc>
          <w:tcPr>
            <w:tcW w:w="606" w:type="dxa"/>
            <w:noWrap/>
          </w:tcPr>
          <w:p w14:paraId="5F96EF9E" w14:textId="77777777" w:rsidR="00722B00" w:rsidRPr="00D1118E" w:rsidRDefault="00722B00" w:rsidP="00DA1A7B">
            <w:pPr>
              <w:spacing w:after="0"/>
              <w:ind w:left="-21" w:right="-51" w:firstLine="0"/>
              <w:jc w:val="right"/>
              <w:rPr>
                <w:rFonts w:cstheme="minorHAnsi"/>
                <w:color w:val="000000" w:themeColor="text1"/>
                <w:sz w:val="18"/>
                <w:szCs w:val="18"/>
              </w:rPr>
            </w:pPr>
            <w:r w:rsidRPr="004E0254">
              <w:rPr>
                <w:rFonts w:cstheme="minorHAnsi"/>
                <w:color w:val="000000" w:themeColor="text1"/>
                <w:sz w:val="18"/>
                <w:szCs w:val="18"/>
              </w:rPr>
              <w:t>0.032</w:t>
            </w:r>
          </w:p>
        </w:tc>
      </w:tr>
      <w:tr w:rsidR="00722B00" w:rsidRPr="00D1118E" w14:paraId="020EAA85" w14:textId="77777777" w:rsidTr="003643CE">
        <w:trPr>
          <w:trHeight w:val="300"/>
        </w:trPr>
        <w:tc>
          <w:tcPr>
            <w:tcW w:w="3720" w:type="dxa"/>
            <w:noWrap/>
            <w:hideMark/>
          </w:tcPr>
          <w:p w14:paraId="35309018" w14:textId="77777777" w:rsidR="00722B00" w:rsidRPr="00D1118E" w:rsidRDefault="00722B00" w:rsidP="00DA1A7B">
            <w:pPr>
              <w:spacing w:after="0"/>
              <w:ind w:left="-21" w:right="166" w:firstLine="0"/>
              <w:jc w:val="both"/>
              <w:rPr>
                <w:rFonts w:cstheme="minorHAnsi"/>
                <w:color w:val="000000" w:themeColor="text1"/>
                <w:sz w:val="18"/>
                <w:szCs w:val="18"/>
              </w:rPr>
            </w:pPr>
            <w:r w:rsidRPr="00D1118E">
              <w:rPr>
                <w:rFonts w:cstheme="minorHAnsi"/>
                <w:color w:val="000000" w:themeColor="text1"/>
                <w:sz w:val="18"/>
                <w:szCs w:val="18"/>
              </w:rPr>
              <w:t># VAT collectors appointed</w:t>
            </w:r>
          </w:p>
        </w:tc>
        <w:tc>
          <w:tcPr>
            <w:tcW w:w="960" w:type="dxa"/>
            <w:noWrap/>
            <w:hideMark/>
          </w:tcPr>
          <w:p w14:paraId="2314B6A5" w14:textId="77777777" w:rsidR="00722B00" w:rsidRPr="00D1118E" w:rsidRDefault="00722B00" w:rsidP="00DA1A7B">
            <w:pPr>
              <w:spacing w:after="0"/>
              <w:ind w:left="-21" w:right="166" w:firstLine="0"/>
              <w:jc w:val="right"/>
              <w:rPr>
                <w:rFonts w:cstheme="minorHAnsi"/>
                <w:color w:val="000000" w:themeColor="text1"/>
                <w:sz w:val="18"/>
                <w:szCs w:val="18"/>
              </w:rPr>
            </w:pPr>
            <w:r w:rsidRPr="00D1118E">
              <w:rPr>
                <w:rFonts w:cstheme="minorHAnsi"/>
                <w:color w:val="000000" w:themeColor="text1"/>
                <w:sz w:val="18"/>
                <w:szCs w:val="18"/>
              </w:rPr>
              <w:t> </w:t>
            </w:r>
          </w:p>
        </w:tc>
        <w:tc>
          <w:tcPr>
            <w:tcW w:w="960" w:type="dxa"/>
            <w:noWrap/>
            <w:hideMark/>
          </w:tcPr>
          <w:p w14:paraId="6CAFAE2E" w14:textId="77777777" w:rsidR="00722B00" w:rsidRPr="00D1118E" w:rsidRDefault="00722B00" w:rsidP="00DA1A7B">
            <w:pPr>
              <w:spacing w:after="0"/>
              <w:ind w:left="-21" w:right="166" w:firstLine="0"/>
              <w:jc w:val="right"/>
              <w:rPr>
                <w:rFonts w:cstheme="minorHAnsi"/>
                <w:color w:val="000000" w:themeColor="text1"/>
                <w:sz w:val="18"/>
                <w:szCs w:val="18"/>
              </w:rPr>
            </w:pPr>
            <w:r w:rsidRPr="00D1118E">
              <w:rPr>
                <w:rFonts w:cstheme="minorHAnsi"/>
                <w:color w:val="000000" w:themeColor="text1"/>
                <w:sz w:val="18"/>
                <w:szCs w:val="18"/>
              </w:rPr>
              <w:t> </w:t>
            </w:r>
          </w:p>
        </w:tc>
        <w:tc>
          <w:tcPr>
            <w:tcW w:w="928" w:type="dxa"/>
            <w:noWrap/>
            <w:hideMark/>
          </w:tcPr>
          <w:p w14:paraId="2ABA1D8A" w14:textId="77777777" w:rsidR="00722B00" w:rsidRPr="00D1118E" w:rsidRDefault="00722B00" w:rsidP="00DA1A7B">
            <w:pPr>
              <w:spacing w:after="0"/>
              <w:ind w:left="-21" w:right="166" w:firstLine="0"/>
              <w:jc w:val="right"/>
              <w:rPr>
                <w:rFonts w:cstheme="minorHAnsi"/>
                <w:color w:val="000000" w:themeColor="text1"/>
                <w:sz w:val="18"/>
                <w:szCs w:val="18"/>
              </w:rPr>
            </w:pPr>
            <w:r w:rsidRPr="00D1118E">
              <w:rPr>
                <w:rFonts w:cstheme="minorHAnsi"/>
                <w:color w:val="000000" w:themeColor="text1"/>
                <w:sz w:val="18"/>
                <w:szCs w:val="18"/>
              </w:rPr>
              <w:t> </w:t>
            </w:r>
          </w:p>
        </w:tc>
        <w:tc>
          <w:tcPr>
            <w:tcW w:w="606" w:type="dxa"/>
            <w:noWrap/>
            <w:hideMark/>
          </w:tcPr>
          <w:p w14:paraId="410BF04E" w14:textId="77777777" w:rsidR="00722B00" w:rsidRPr="00D1118E" w:rsidRDefault="00722B00" w:rsidP="00DA1A7B">
            <w:pPr>
              <w:spacing w:after="0"/>
              <w:ind w:left="-21" w:right="-51" w:firstLine="0"/>
              <w:jc w:val="right"/>
              <w:rPr>
                <w:rFonts w:cstheme="minorHAnsi"/>
                <w:color w:val="000000" w:themeColor="text1"/>
                <w:sz w:val="18"/>
                <w:szCs w:val="18"/>
              </w:rPr>
            </w:pPr>
            <w:r>
              <w:rPr>
                <w:rFonts w:cstheme="minorHAnsi"/>
                <w:color w:val="000000" w:themeColor="text1"/>
                <w:sz w:val="18"/>
                <w:szCs w:val="18"/>
              </w:rPr>
              <w:t>163</w:t>
            </w:r>
          </w:p>
        </w:tc>
      </w:tr>
    </w:tbl>
    <w:p w14:paraId="07B05D0D" w14:textId="14BB946B" w:rsidR="00722B00" w:rsidRPr="00D1118E" w:rsidRDefault="00722B00" w:rsidP="00722B00">
      <w:pPr>
        <w:ind w:left="345" w:right="166" w:firstLine="0"/>
        <w:jc w:val="both"/>
        <w:rPr>
          <w:rFonts w:cstheme="minorHAnsi"/>
          <w:color w:val="000000" w:themeColor="text1"/>
          <w:sz w:val="18"/>
          <w:szCs w:val="18"/>
        </w:rPr>
      </w:pPr>
      <w:r w:rsidRPr="003643CE">
        <w:rPr>
          <w:rFonts w:cstheme="minorHAnsi"/>
          <w:i/>
          <w:iCs/>
          <w:color w:val="000000" w:themeColor="text1"/>
          <w:sz w:val="18"/>
          <w:szCs w:val="18"/>
        </w:rPr>
        <w:t>Source</w:t>
      </w:r>
      <w:r w:rsidRPr="00D1118E">
        <w:rPr>
          <w:rFonts w:cstheme="minorHAnsi"/>
          <w:color w:val="000000" w:themeColor="text1"/>
          <w:sz w:val="18"/>
          <w:szCs w:val="18"/>
        </w:rPr>
        <w:t>: Ministry of Finance</w:t>
      </w:r>
      <w:r w:rsidR="00684170">
        <w:rPr>
          <w:rFonts w:cstheme="minorHAnsi"/>
          <w:color w:val="000000" w:themeColor="text1"/>
          <w:sz w:val="18"/>
          <w:szCs w:val="18"/>
        </w:rPr>
        <w:t>.</w:t>
      </w:r>
    </w:p>
    <w:p w14:paraId="53D72860" w14:textId="77777777" w:rsidR="00480715" w:rsidRDefault="00480715">
      <w:pPr>
        <w:rPr>
          <w:rFonts w:eastAsiaTheme="majorEastAsia" w:cstheme="minorHAnsi"/>
          <w:color w:val="2F5496" w:themeColor="accent1" w:themeShade="BF"/>
          <w:sz w:val="24"/>
          <w:szCs w:val="24"/>
        </w:rPr>
      </w:pPr>
      <w:bookmarkStart w:id="70" w:name="_Hlk176423658"/>
      <w:r>
        <w:rPr>
          <w:rFonts w:cstheme="minorHAnsi"/>
          <w:sz w:val="24"/>
          <w:szCs w:val="24"/>
        </w:rPr>
        <w:br w:type="page"/>
      </w:r>
    </w:p>
    <w:p w14:paraId="71697B37" w14:textId="668E9C6F" w:rsidR="00627797" w:rsidRPr="00BE74E2" w:rsidRDefault="00627797" w:rsidP="00627797">
      <w:pPr>
        <w:pStyle w:val="Heading1"/>
        <w:spacing w:before="120"/>
        <w:ind w:left="0" w:firstLine="0"/>
        <w:jc w:val="both"/>
        <w:rPr>
          <w:rFonts w:cstheme="majorHAnsi"/>
        </w:rPr>
      </w:pPr>
      <w:bookmarkStart w:id="71" w:name="_Toc177819063"/>
      <w:r w:rsidRPr="00BE74E2">
        <w:rPr>
          <w:rFonts w:cstheme="majorHAnsi"/>
        </w:rPr>
        <w:lastRenderedPageBreak/>
        <w:t>A</w:t>
      </w:r>
      <w:r w:rsidR="00525612">
        <w:rPr>
          <w:rFonts w:cstheme="majorHAnsi"/>
        </w:rPr>
        <w:t>ppendi</w:t>
      </w:r>
      <w:r w:rsidRPr="00BE74E2">
        <w:rPr>
          <w:rFonts w:cstheme="majorHAnsi"/>
        </w:rPr>
        <w:t>x 8</w:t>
      </w:r>
      <w:bookmarkEnd w:id="70"/>
      <w:r w:rsidRPr="00BE74E2">
        <w:rPr>
          <w:rFonts w:cstheme="majorHAnsi"/>
        </w:rPr>
        <w:t xml:space="preserve">: </w:t>
      </w:r>
      <w:r w:rsidR="00337E2B" w:rsidRPr="00BE74E2">
        <w:rPr>
          <w:rFonts w:cstheme="majorHAnsi"/>
        </w:rPr>
        <w:t xml:space="preserve">Peer </w:t>
      </w:r>
      <w:r w:rsidR="00684170">
        <w:rPr>
          <w:rFonts w:cstheme="majorHAnsi"/>
        </w:rPr>
        <w:t>C</w:t>
      </w:r>
      <w:r w:rsidR="00337E2B" w:rsidRPr="00BE74E2">
        <w:rPr>
          <w:rFonts w:cstheme="majorHAnsi"/>
        </w:rPr>
        <w:t xml:space="preserve">ountries’ </w:t>
      </w:r>
      <w:r w:rsidR="00684170">
        <w:rPr>
          <w:rFonts w:cstheme="majorHAnsi"/>
        </w:rPr>
        <w:t>C</w:t>
      </w:r>
      <w:r w:rsidR="00337E2B" w:rsidRPr="00BE74E2">
        <w:rPr>
          <w:rFonts w:cstheme="majorHAnsi"/>
        </w:rPr>
        <w:t xml:space="preserve">ase </w:t>
      </w:r>
      <w:r w:rsidR="00684170">
        <w:rPr>
          <w:rFonts w:cstheme="majorHAnsi"/>
        </w:rPr>
        <w:t>S</w:t>
      </w:r>
      <w:r w:rsidR="00337E2B" w:rsidRPr="00BE74E2">
        <w:rPr>
          <w:rFonts w:cstheme="majorHAnsi"/>
        </w:rPr>
        <w:t xml:space="preserve">tudies: Increasing VAT </w:t>
      </w:r>
      <w:r w:rsidR="00684170">
        <w:rPr>
          <w:rFonts w:cstheme="majorHAnsi"/>
        </w:rPr>
        <w:t>R</w:t>
      </w:r>
      <w:r w:rsidR="00337E2B" w:rsidRPr="00BE74E2">
        <w:rPr>
          <w:rFonts w:cstheme="majorHAnsi"/>
        </w:rPr>
        <w:t xml:space="preserve">evenue </w:t>
      </w:r>
      <w:r w:rsidR="00684170">
        <w:rPr>
          <w:rFonts w:cstheme="majorHAnsi"/>
        </w:rPr>
        <w:t>T</w:t>
      </w:r>
      <w:r w:rsidR="00337E2B" w:rsidRPr="00BE74E2">
        <w:rPr>
          <w:rFonts w:cstheme="majorHAnsi"/>
        </w:rPr>
        <w:t xml:space="preserve">hrough </w:t>
      </w:r>
      <w:r w:rsidR="00684170">
        <w:rPr>
          <w:rFonts w:cstheme="majorHAnsi"/>
        </w:rPr>
        <w:t>C</w:t>
      </w:r>
      <w:r w:rsidR="00337E2B" w:rsidRPr="00BE74E2">
        <w:rPr>
          <w:rFonts w:cstheme="majorHAnsi"/>
        </w:rPr>
        <w:t xml:space="preserve">ompliance </w:t>
      </w:r>
      <w:r w:rsidR="00684170">
        <w:rPr>
          <w:rFonts w:cstheme="majorHAnsi"/>
        </w:rPr>
        <w:t>M</w:t>
      </w:r>
      <w:r w:rsidR="00337E2B" w:rsidRPr="00BE74E2">
        <w:rPr>
          <w:rFonts w:cstheme="majorHAnsi"/>
        </w:rPr>
        <w:t>easures</w:t>
      </w:r>
      <w:bookmarkEnd w:id="71"/>
    </w:p>
    <w:p w14:paraId="3598E691" w14:textId="7F16EC4E" w:rsidR="004E0885" w:rsidRPr="003643CE" w:rsidRDefault="004E0885" w:rsidP="004E0885">
      <w:pPr>
        <w:pStyle w:val="ListParagraph"/>
        <w:spacing w:before="120" w:after="200"/>
        <w:ind w:left="0" w:firstLine="0"/>
        <w:contextualSpacing w:val="0"/>
        <w:jc w:val="both"/>
      </w:pPr>
      <w:r w:rsidRPr="003643CE">
        <w:rPr>
          <w:b/>
          <w:bCs/>
        </w:rPr>
        <w:t xml:space="preserve">Next to the statutory rate and breadth of tax base, noncompliance is one of the main factors </w:t>
      </w:r>
      <w:r w:rsidR="00DF0B22">
        <w:rPr>
          <w:b/>
          <w:bCs/>
        </w:rPr>
        <w:t>affecting</w:t>
      </w:r>
      <w:r w:rsidRPr="003643CE">
        <w:rPr>
          <w:b/>
          <w:bCs/>
        </w:rPr>
        <w:t xml:space="preserve"> VAT collection.</w:t>
      </w:r>
      <w:r w:rsidRPr="003643CE">
        <w:t xml:space="preserve"> VAT noncompliance covers numerous aspects—from the legal exploitation of loopholes, through sales’ under-reporting to organized large-scale tax fraud. Noncompliance could also be nonintentional and result, among other</w:t>
      </w:r>
      <w:r w:rsidR="00DF0B22">
        <w:t xml:space="preserve"> factor</w:t>
      </w:r>
      <w:r w:rsidRPr="003643CE">
        <w:t>s, from administrative errors, omissions, and nonfraudulent bankruptcies. Noncompliance in VAT is closely related to the scale of the underground economy</w:t>
      </w:r>
      <w:r w:rsidR="00DF0B22">
        <w:rPr>
          <w:rFonts w:cstheme="minorHAnsi"/>
        </w:rPr>
        <w:t>–</w:t>
      </w:r>
      <w:r w:rsidRPr="003643CE">
        <w:t>which means that it is largely persistent. As indicated by studies analyzing VAT noncompliance, although relatively stable in time, VAT compliance is correlated with the economic cycle and efforts of tax administrations</w:t>
      </w:r>
      <w:r w:rsidR="00DF0B22">
        <w:t xml:space="preserve"> (see, for example, European Commission 2022)</w:t>
      </w:r>
      <w:r w:rsidRPr="003643CE">
        <w:t xml:space="preserve">. </w:t>
      </w:r>
    </w:p>
    <w:p w14:paraId="45D22523" w14:textId="0519BFAA" w:rsidR="004E0885" w:rsidRPr="003643CE" w:rsidRDefault="004E0885" w:rsidP="004E0885">
      <w:pPr>
        <w:pStyle w:val="ListParagraph"/>
        <w:spacing w:before="120" w:after="200"/>
        <w:ind w:left="0" w:firstLine="0"/>
        <w:contextualSpacing w:val="0"/>
        <w:jc w:val="both"/>
        <w:rPr>
          <w:color w:val="000000" w:themeColor="text1"/>
        </w:rPr>
      </w:pPr>
      <w:r w:rsidRPr="003643CE">
        <w:rPr>
          <w:b/>
          <w:bCs/>
          <w:color w:val="000000" w:themeColor="text1"/>
        </w:rPr>
        <w:t>The example of three Central and Eastern European Countries (CEECs)</w:t>
      </w:r>
      <w:r w:rsidR="00DF0B22" w:rsidRPr="003643CE">
        <w:rPr>
          <w:rFonts w:cstheme="minorHAnsi"/>
          <w:b/>
          <w:bCs/>
          <w:color w:val="000000" w:themeColor="text1"/>
        </w:rPr>
        <w:t>–</w:t>
      </w:r>
      <w:r w:rsidRPr="003643CE">
        <w:rPr>
          <w:b/>
          <w:bCs/>
          <w:color w:val="000000" w:themeColor="text1"/>
        </w:rPr>
        <w:t>Hungary, Latvia and Poland</w:t>
      </w:r>
      <w:r w:rsidR="00DF0B22" w:rsidRPr="00784869">
        <w:rPr>
          <w:rFonts w:cstheme="minorHAnsi"/>
          <w:b/>
          <w:bCs/>
          <w:color w:val="000000" w:themeColor="text1"/>
        </w:rPr>
        <w:t>–</w:t>
      </w:r>
      <w:r w:rsidRPr="003643CE">
        <w:rPr>
          <w:b/>
          <w:bCs/>
          <w:color w:val="000000" w:themeColor="text1"/>
        </w:rPr>
        <w:t xml:space="preserve"> demonstrates that VAT revenue could be sharply increased through improved collection efficiency.</w:t>
      </w:r>
      <w:r w:rsidRPr="003643CE">
        <w:rPr>
          <w:color w:val="000000" w:themeColor="text1"/>
        </w:rPr>
        <w:t xml:space="preserve"> In 2021, VAT revenue-to-GDP ratios in these countries ranged from 8.4 percent in Latvia to 9.9 percent in Hungary (Figure </w:t>
      </w:r>
      <w:r w:rsidR="00684170">
        <w:rPr>
          <w:color w:val="000000" w:themeColor="text1"/>
        </w:rPr>
        <w:t>8A.1</w:t>
      </w:r>
      <w:r w:rsidRPr="003643CE">
        <w:rPr>
          <w:color w:val="000000" w:themeColor="text1"/>
        </w:rPr>
        <w:t>).</w:t>
      </w:r>
      <w:r w:rsidRPr="003643CE">
        <w:rPr>
          <w:color w:val="000000" w:themeColor="text1"/>
          <w:vertAlign w:val="superscript"/>
        </w:rPr>
        <w:footnoteReference w:id="110"/>
      </w:r>
      <w:r w:rsidRPr="003643CE">
        <w:rPr>
          <w:color w:val="000000" w:themeColor="text1"/>
        </w:rPr>
        <w:t xml:space="preserve"> Despite the economic turbulence caused by the COVID-19 pandemic, VAT revenue</w:t>
      </w:r>
      <w:r w:rsidR="00DF0B22">
        <w:rPr>
          <w:color w:val="000000" w:themeColor="text1"/>
        </w:rPr>
        <w:t>-</w:t>
      </w:r>
      <w:r w:rsidRPr="003643CE">
        <w:rPr>
          <w:color w:val="000000" w:themeColor="text1"/>
        </w:rPr>
        <w:t>to</w:t>
      </w:r>
      <w:r w:rsidR="00DF0B22">
        <w:rPr>
          <w:color w:val="000000" w:themeColor="text1"/>
        </w:rPr>
        <w:t>-</w:t>
      </w:r>
      <w:r w:rsidRPr="003643CE">
        <w:rPr>
          <w:color w:val="000000" w:themeColor="text1"/>
        </w:rPr>
        <w:t>GDP in Hungary, Latvia</w:t>
      </w:r>
      <w:r w:rsidR="00DF0B22">
        <w:rPr>
          <w:color w:val="000000" w:themeColor="text1"/>
        </w:rPr>
        <w:t>,</w:t>
      </w:r>
      <w:r w:rsidRPr="003643CE">
        <w:rPr>
          <w:color w:val="000000" w:themeColor="text1"/>
        </w:rPr>
        <w:t xml:space="preserve"> and Poland</w:t>
      </w:r>
      <w:r w:rsidR="00DF0B22">
        <w:rPr>
          <w:color w:val="000000" w:themeColor="text1"/>
        </w:rPr>
        <w:t xml:space="preserve"> has</w:t>
      </w:r>
      <w:r w:rsidRPr="003643CE">
        <w:rPr>
          <w:color w:val="000000" w:themeColor="text1"/>
        </w:rPr>
        <w:t xml:space="preserve"> increased substantially over recent years. Between 2013 and 2021, VAT revenue increased by 1.1 percent of GDP, while C-efficiency coefficients went up by </w:t>
      </w:r>
      <w:r w:rsidR="00DF0B22">
        <w:rPr>
          <w:color w:val="000000" w:themeColor="text1"/>
        </w:rPr>
        <w:t xml:space="preserve">an average of </w:t>
      </w:r>
      <w:r w:rsidRPr="003643CE">
        <w:rPr>
          <w:color w:val="000000" w:themeColor="text1"/>
        </w:rPr>
        <w:t>14.8 percent</w:t>
      </w:r>
      <w:r w:rsidR="00DF0B22">
        <w:rPr>
          <w:color w:val="000000" w:themeColor="text1"/>
        </w:rPr>
        <w:t xml:space="preserve"> in the three countries</w:t>
      </w:r>
      <w:r w:rsidRPr="003643CE">
        <w:rPr>
          <w:color w:val="000000" w:themeColor="text1"/>
        </w:rPr>
        <w:t xml:space="preserve"> (Figure </w:t>
      </w:r>
      <w:r w:rsidR="00684170">
        <w:rPr>
          <w:color w:val="000000" w:themeColor="text1"/>
        </w:rPr>
        <w:t>8A.2</w:t>
      </w:r>
      <w:r w:rsidRPr="003643CE">
        <w:rPr>
          <w:color w:val="000000" w:themeColor="text1"/>
        </w:rPr>
        <w:t xml:space="preserve">).  </w:t>
      </w:r>
    </w:p>
    <w:p w14:paraId="29E78F1A" w14:textId="27D63438" w:rsidR="004E0885" w:rsidRPr="003643CE" w:rsidRDefault="004E0885" w:rsidP="004E0885">
      <w:pPr>
        <w:pStyle w:val="ListParagraph"/>
        <w:spacing w:before="120" w:after="200"/>
        <w:ind w:left="0" w:firstLine="0"/>
        <w:contextualSpacing w:val="0"/>
        <w:jc w:val="both"/>
      </w:pPr>
      <w:r w:rsidRPr="003643CE">
        <w:rPr>
          <w:b/>
          <w:bCs/>
        </w:rPr>
        <w:t>The increase in VAT revenue and collection efficiency has been obtained through large-scale reforms of tax administrations and targeted compliance measures</w:t>
      </w:r>
      <w:r w:rsidRPr="003643CE">
        <w:t>. In cracking down on VAT fraud and evasion, the administrations in these three countries introduced digital reporting obligations, implemented electronic means supporting their audit functions, improved tax audit performance based on taxpayer risk analysis, introduced organizational changes</w:t>
      </w:r>
      <w:r w:rsidR="00DF0B22">
        <w:t>,</w:t>
      </w:r>
      <w:r w:rsidRPr="003643CE">
        <w:t xml:space="preserve"> and amended specific VAT rules. These reforms, on top of improving domestic resource mobilization, have also </w:t>
      </w:r>
      <w:r w:rsidR="00DF0B22">
        <w:t>reduc</w:t>
      </w:r>
      <w:r w:rsidRPr="003643CE">
        <w:t>ed compliance and administrative costs (</w:t>
      </w:r>
      <w:r w:rsidR="00DF0B22">
        <w:t>for example</w:t>
      </w:r>
      <w:r w:rsidRPr="003643CE">
        <w:t>, through fewer and less stringent audits, and faster VAT refunds).</w:t>
      </w:r>
    </w:p>
    <w:p w14:paraId="336994B0" w14:textId="0F53968F" w:rsidR="004E0885" w:rsidRPr="003643CE" w:rsidRDefault="004E0885" w:rsidP="004E0885">
      <w:pPr>
        <w:pStyle w:val="ListParagraph"/>
        <w:spacing w:before="120" w:after="200"/>
        <w:ind w:left="0" w:firstLine="0"/>
        <w:contextualSpacing w:val="0"/>
        <w:jc w:val="both"/>
      </w:pPr>
      <w:r w:rsidRPr="003643CE">
        <w:rPr>
          <w:b/>
        </w:rPr>
        <w:t xml:space="preserve">In recent years, all three CEECs have implemented digital reporting obligations to automatically </w:t>
      </w:r>
      <w:r w:rsidR="00DF0B22">
        <w:rPr>
          <w:b/>
        </w:rPr>
        <w:t xml:space="preserve">gather </w:t>
      </w:r>
      <w:r w:rsidRPr="003643CE">
        <w:rPr>
          <w:b/>
        </w:rPr>
        <w:t>transactional data.</w:t>
      </w:r>
      <w:r w:rsidRPr="003643CE">
        <w:t xml:space="preserve"> In Latvia and Poland, data on companies’ sales and purchases is collected every month. Since 2011, Latvia has used a nationally defined format of VAT listing. It is a list of transactions with information on their values and other relevant data captured from VAT invoices. </w:t>
      </w:r>
      <w:r w:rsidR="00DF0B22">
        <w:t>Since</w:t>
      </w:r>
      <w:r w:rsidRPr="003643CE">
        <w:t xml:space="preserve"> 2013, </w:t>
      </w:r>
      <w:r w:rsidR="00DF0B22">
        <w:t xml:space="preserve">Poland </w:t>
      </w:r>
      <w:r w:rsidRPr="003643CE">
        <w:t>has gradually implemented a reporting obligation relying on national specifications of the OECD standard (the Standard Audit File for Tax)</w:t>
      </w:r>
      <w:r w:rsidR="00DF0B22">
        <w:t xml:space="preserve"> (see OECD 2010)</w:t>
      </w:r>
      <w:r w:rsidRPr="003643CE">
        <w:t xml:space="preserve">. In Hungary, information on sales and purchases must be reported on a transaction-by-transaction basis when the invoice is issued or within 24 hours at the latest. Data must be submitted using the XML format through the tax authority’s portal. The Real-Time Information Reporting (RTIR) system was introduced gradually as of 2016. Initially, only invoice data </w:t>
      </w:r>
      <w:proofErr w:type="gramStart"/>
      <w:r w:rsidRPr="003643CE">
        <w:t>of</w:t>
      </w:r>
      <w:proofErr w:type="gramEnd"/>
      <w:r w:rsidRPr="003643CE">
        <w:t xml:space="preserve"> B2B</w:t>
      </w:r>
      <w:r w:rsidR="002E6BD1">
        <w:t xml:space="preserve"> (</w:t>
      </w:r>
      <w:r w:rsidR="00A55E82">
        <w:t>B</w:t>
      </w:r>
      <w:r w:rsidR="002E6BD1">
        <w:t>usiness</w:t>
      </w:r>
      <w:r w:rsidR="00D4552D">
        <w:t xml:space="preserve"> to B</w:t>
      </w:r>
      <w:r w:rsidR="002E6BD1">
        <w:t>usiness</w:t>
      </w:r>
      <w:r w:rsidR="00A55E82">
        <w:t>)</w:t>
      </w:r>
      <w:r w:rsidRPr="003643CE">
        <w:t xml:space="preserve"> and B2G </w:t>
      </w:r>
      <w:r w:rsidR="00D4552D">
        <w:t xml:space="preserve">(Business to Government) </w:t>
      </w:r>
      <w:r w:rsidRPr="003643CE">
        <w:t xml:space="preserve">domestic sales above </w:t>
      </w:r>
      <w:r w:rsidR="00DF0B22" w:rsidRPr="00784869">
        <w:t>Ft</w:t>
      </w:r>
      <w:r w:rsidRPr="003643CE">
        <w:t xml:space="preserve"> 100</w:t>
      </w:r>
      <w:r w:rsidR="00DF0B22" w:rsidRPr="00784869">
        <w:t>,</w:t>
      </w:r>
      <w:r w:rsidRPr="003643CE">
        <w:t>000 (about US</w:t>
      </w:r>
      <w:r w:rsidR="00CB262B" w:rsidRPr="003643CE">
        <w:t>$</w:t>
      </w:r>
      <w:r w:rsidRPr="003643CE">
        <w:t xml:space="preserve">350) had to be reported. Over time, however, the RTIR scope has been widened. It currently applies to all businesses registered in Hungary for VAT purposes. </w:t>
      </w:r>
    </w:p>
    <w:p w14:paraId="7479FF46" w14:textId="31763B5F" w:rsidR="004E0885" w:rsidRPr="003643CE" w:rsidRDefault="004F5A0B" w:rsidP="004E0885">
      <w:pPr>
        <w:pStyle w:val="ListParagraph"/>
        <w:spacing w:before="120" w:after="200"/>
        <w:ind w:left="0" w:firstLine="0"/>
        <w:contextualSpacing w:val="0"/>
        <w:jc w:val="both"/>
      </w:pPr>
      <w:r>
        <w:rPr>
          <w:b/>
        </w:rPr>
        <w:t xml:space="preserve">In addition to </w:t>
      </w:r>
      <w:r w:rsidR="004E0885" w:rsidRPr="003643CE">
        <w:rPr>
          <w:b/>
        </w:rPr>
        <w:t>digital reporting obligations, Hungary, Latvia</w:t>
      </w:r>
      <w:r>
        <w:rPr>
          <w:b/>
        </w:rPr>
        <w:t>,</w:t>
      </w:r>
      <w:r w:rsidR="004E0885" w:rsidRPr="003643CE">
        <w:rPr>
          <w:b/>
        </w:rPr>
        <w:t xml:space="preserve"> and Poland introduced other means for gathering information on taxpayers.</w:t>
      </w:r>
      <w:r w:rsidR="004E0885" w:rsidRPr="003643CE">
        <w:t xml:space="preserve"> The introduced measures involve gathering third-party data</w:t>
      </w:r>
      <w:r>
        <w:rPr>
          <w:rFonts w:cstheme="minorHAnsi"/>
        </w:rPr>
        <w:t>–</w:t>
      </w:r>
      <w:r w:rsidR="004E0885" w:rsidRPr="003643CE">
        <w:t>for instance information on cash-flows reported daily by banks (</w:t>
      </w:r>
      <w:r w:rsidR="004E0885" w:rsidRPr="003643CE">
        <w:rPr>
          <w:i/>
        </w:rPr>
        <w:t xml:space="preserve">STIR </w:t>
      </w:r>
      <w:r w:rsidR="004E0885" w:rsidRPr="003643CE">
        <w:t>system in Poland). Poland also started monitoring the real</w:t>
      </w:r>
      <w:r>
        <w:t>-</w:t>
      </w:r>
      <w:r w:rsidR="004E0885" w:rsidRPr="003643CE">
        <w:t>time movement of sensitive goods (</w:t>
      </w:r>
      <w:r>
        <w:t>for example</w:t>
      </w:r>
      <w:r w:rsidR="004E0885" w:rsidRPr="003643CE">
        <w:t>, petrol and tobacco, known as</w:t>
      </w:r>
      <w:r>
        <w:t xml:space="preserve"> the</w:t>
      </w:r>
      <w:r w:rsidR="004E0885" w:rsidRPr="003643CE">
        <w:t xml:space="preserve"> </w:t>
      </w:r>
      <w:r w:rsidR="004E0885" w:rsidRPr="003643CE">
        <w:rPr>
          <w:i/>
        </w:rPr>
        <w:t xml:space="preserve">SENT </w:t>
      </w:r>
      <w:r w:rsidR="004E0885" w:rsidRPr="003643CE">
        <w:t>system) to eliminate fictitious fraudulent transactions. In sectors prone to missing trader fraud</w:t>
      </w:r>
      <w:r>
        <w:t>,</w:t>
      </w:r>
      <w:r w:rsidR="004E0885" w:rsidRPr="00CB262B">
        <w:rPr>
          <w:rStyle w:val="FootnoteReference"/>
        </w:rPr>
        <w:footnoteReference w:id="111"/>
      </w:r>
      <w:r w:rsidR="004E0885" w:rsidRPr="003643CE">
        <w:t xml:space="preserve"> </w:t>
      </w:r>
      <w:r w:rsidR="004E0885" w:rsidRPr="003643CE">
        <w:lastRenderedPageBreak/>
        <w:t xml:space="preserve">these countries also introduced changes to the VAT rules, such as the transfer of the obligation to pay VAT to the purchaser (reverse charge mechanism) or split payment of VAT by the purchase and supplier. The reverse charge mechanism has reduced the number of instances when companies </w:t>
      </w:r>
      <w:r>
        <w:t>incur a</w:t>
      </w:r>
      <w:r w:rsidR="004E0885" w:rsidRPr="003643CE">
        <w:t xml:space="preserve"> large tax liability</w:t>
      </w:r>
      <w:r>
        <w:rPr>
          <w:rFonts w:cstheme="minorHAnsi"/>
        </w:rPr>
        <w:t>–</w:t>
      </w:r>
      <w:r w:rsidR="004E0885" w:rsidRPr="003643CE">
        <w:t xml:space="preserve">which makes missing </w:t>
      </w:r>
      <w:r w:rsidR="00A55E82">
        <w:t xml:space="preserve">trader </w:t>
      </w:r>
      <w:r w:rsidR="004E0885" w:rsidRPr="003643CE">
        <w:t>fraud profitable. The split payment slightly deviates from the standard vendor-based collection of VAT, in which the tax liability is now transferred to two companies, hence removing the opportunity of missing trader fraud.</w:t>
      </w:r>
    </w:p>
    <w:p w14:paraId="07430A62" w14:textId="3AF0733E" w:rsidR="004E0885" w:rsidRPr="003643CE" w:rsidRDefault="004E0885" w:rsidP="004E0885">
      <w:pPr>
        <w:pStyle w:val="ListParagraph"/>
        <w:spacing w:before="120" w:after="200"/>
        <w:ind w:left="0" w:firstLine="0"/>
        <w:contextualSpacing w:val="0"/>
        <w:jc w:val="both"/>
      </w:pPr>
      <w:r w:rsidRPr="003643CE">
        <w:rPr>
          <w:b/>
        </w:rPr>
        <w:t>The increasing use of various data and information from multiple sources also required institutional changes in tax administration.</w:t>
      </w:r>
      <w:r w:rsidRPr="003643CE">
        <w:t xml:space="preserve"> Poland decided to consolidate its tax administration, customs services, and fiscal audit services in the single National Revenue Administration with new, wider powers and improved tools. Latvia and Poland have also introduced offices for large taxpayers specialized in promoting and enforcing compliance of </w:t>
      </w:r>
      <w:r w:rsidR="004F5A0B">
        <w:t>those</w:t>
      </w:r>
      <w:r w:rsidRPr="003643CE">
        <w:t xml:space="preserve"> taxpayers that </w:t>
      </w:r>
      <w:r w:rsidR="004F5A0B">
        <w:t>generate the</w:t>
      </w:r>
      <w:r w:rsidRPr="003643CE">
        <w:t xml:space="preserve"> major share of VAT revenue. Moreover, all three administrations have appointed specialized analytical units monitoring </w:t>
      </w:r>
      <w:r w:rsidR="004F5A0B">
        <w:t xml:space="preserve">the </w:t>
      </w:r>
      <w:r w:rsidRPr="003643CE">
        <w:t xml:space="preserve">tax and VAT compliance gap. </w:t>
      </w:r>
    </w:p>
    <w:tbl>
      <w:tblPr>
        <w:tblStyle w:val="TableGrid"/>
        <w:tblW w:w="0" w:type="auto"/>
        <w:tblLook w:val="04A0" w:firstRow="1" w:lastRow="0" w:firstColumn="1" w:lastColumn="0" w:noHBand="0" w:noVBand="1"/>
      </w:tblPr>
      <w:tblGrid>
        <w:gridCol w:w="4725"/>
        <w:gridCol w:w="4596"/>
      </w:tblGrid>
      <w:tr w:rsidR="004E0885" w:rsidRPr="00A12220" w14:paraId="41323282" w14:textId="77777777" w:rsidTr="00DA1A7B">
        <w:tc>
          <w:tcPr>
            <w:tcW w:w="4725" w:type="dxa"/>
          </w:tcPr>
          <w:p w14:paraId="31F1FF16" w14:textId="7C381A3B" w:rsidR="004E0885" w:rsidRPr="00A12220" w:rsidRDefault="004E0885" w:rsidP="003643CE">
            <w:pPr>
              <w:pStyle w:val="Caption"/>
              <w:jc w:val="left"/>
              <w:rPr>
                <w:rFonts w:asciiTheme="minorHAnsi" w:hAnsiTheme="minorHAnsi" w:cstheme="minorHAnsi"/>
                <w:sz w:val="20"/>
              </w:rPr>
            </w:pPr>
            <w:bookmarkStart w:id="72" w:name="_Ref133082487"/>
            <w:r w:rsidRPr="00A12220">
              <w:rPr>
                <w:rFonts w:asciiTheme="minorHAnsi" w:hAnsiTheme="minorHAnsi" w:cstheme="minorHAnsi"/>
                <w:bCs/>
                <w:noProof/>
                <w:sz w:val="20"/>
              </w:rPr>
              <mc:AlternateContent>
                <mc:Choice Requires="wps">
                  <w:drawing>
                    <wp:anchor distT="0" distB="0" distL="114300" distR="114300" simplePos="0" relativeHeight="251658246" behindDoc="0" locked="0" layoutInCell="1" allowOverlap="1" wp14:anchorId="03442205" wp14:editId="67D9C041">
                      <wp:simplePos x="0" y="0"/>
                      <wp:positionH relativeFrom="column">
                        <wp:posOffset>1837690</wp:posOffset>
                      </wp:positionH>
                      <wp:positionV relativeFrom="paragraph">
                        <wp:posOffset>-19365264</wp:posOffset>
                      </wp:positionV>
                      <wp:extent cx="584200" cy="247650"/>
                      <wp:effectExtent l="0" t="0" r="0" b="0"/>
                      <wp:wrapNone/>
                      <wp:docPr id="957308042" name="Text Box 957308042"/>
                      <wp:cNvGraphicFramePr/>
                      <a:graphic xmlns:a="http://schemas.openxmlformats.org/drawingml/2006/main">
                        <a:graphicData uri="http://schemas.microsoft.com/office/word/2010/wordprocessingShape">
                          <wps:wsp>
                            <wps:cNvSpPr txBox="1"/>
                            <wps:spPr>
                              <a:xfrm>
                                <a:off x="0" y="0"/>
                                <a:ext cx="584200" cy="247650"/>
                              </a:xfrm>
                              <a:prstGeom prst="rect">
                                <a:avLst/>
                              </a:prstGeom>
                              <a:noFill/>
                              <a:ln w="6350">
                                <a:noFill/>
                              </a:ln>
                            </wps:spPr>
                            <wps:txbx>
                              <w:txbxContent>
                                <w:p w14:paraId="135A8E6A" w14:textId="77777777" w:rsidR="004E0885" w:rsidRPr="009333B6" w:rsidRDefault="004E0885" w:rsidP="004E0885">
                                  <w:pPr>
                                    <w:rPr>
                                      <w:rFonts w:ascii="Arial" w:hAnsi="Arial" w:cs="Arial"/>
                                      <w:sz w:val="16"/>
                                      <w:szCs w:val="16"/>
                                    </w:rPr>
                                  </w:pPr>
                                  <w:r>
                                    <w:rPr>
                                      <w:rFonts w:ascii="Arial" w:hAnsi="Arial" w:cs="Arial"/>
                                      <w:sz w:val="16"/>
                                      <w:szCs w:val="16"/>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442205" id="Text Box 957308042" o:spid="_x0000_s1032" type="#_x0000_t202" style="position:absolute;margin-left:144.7pt;margin-top:-1524.8pt;width:46pt;height:19.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" filled="f" stroked="f" strokeweight=".5pt">
                      <v:textbox>
                        <w:txbxContent>
                          <w:p w14:paraId="135A8E6A" w14:textId="77777777" w:rsidR="004E0885" w:rsidRPr="009333B6" w:rsidRDefault="004E0885" w:rsidP="004E0885">
                            <w:pPr>
                              <w:rPr>
                                <w:rFonts w:ascii="Arial" w:hAnsi="Arial" w:cs="Arial"/>
                                <w:sz w:val="16"/>
                                <w:szCs w:val="16"/>
                              </w:rPr>
                            </w:pPr>
                            <w:r>
                              <w:rPr>
                                <w:rFonts w:ascii="Arial" w:hAnsi="Arial" w:cs="Arial"/>
                                <w:sz w:val="16"/>
                                <w:szCs w:val="16"/>
                              </w:rPr>
                              <w:t>Baseline</w:t>
                            </w:r>
                          </w:p>
                        </w:txbxContent>
                      </v:textbox>
                    </v:shape>
                  </w:pict>
                </mc:Fallback>
              </mc:AlternateContent>
            </w:r>
            <w:r w:rsidRPr="00A12220">
              <w:rPr>
                <w:rFonts w:asciiTheme="minorHAnsi" w:hAnsiTheme="minorHAnsi" w:cstheme="minorHAnsi"/>
                <w:sz w:val="20"/>
              </w:rPr>
              <w:t xml:space="preserve">Figure </w:t>
            </w:r>
            <w:bookmarkEnd w:id="72"/>
            <w:r w:rsidR="00684170">
              <w:rPr>
                <w:rFonts w:asciiTheme="minorHAnsi" w:hAnsiTheme="minorHAnsi" w:cstheme="minorHAnsi"/>
                <w:sz w:val="20"/>
              </w:rPr>
              <w:t>8A.1</w:t>
            </w:r>
            <w:r w:rsidRPr="00A12220">
              <w:rPr>
                <w:rFonts w:asciiTheme="minorHAnsi" w:hAnsiTheme="minorHAnsi" w:cstheme="minorHAnsi"/>
                <w:sz w:val="20"/>
              </w:rPr>
              <w:t>: VAT revenue to GDP ratios</w:t>
            </w:r>
          </w:p>
          <w:p w14:paraId="2BD3AC49" w14:textId="72DB3082" w:rsidR="004E0885" w:rsidRPr="00A12220" w:rsidRDefault="004E0885" w:rsidP="00DA1A7B">
            <w:pPr>
              <w:ind w:left="0" w:firstLine="0"/>
              <w:jc w:val="both"/>
              <w:rPr>
                <w:b/>
                <w:bCs/>
                <w:sz w:val="18"/>
                <w:szCs w:val="18"/>
              </w:rPr>
            </w:pPr>
            <w:r w:rsidRPr="00A12220">
              <w:rPr>
                <w:b/>
                <w:bCs/>
                <w:i/>
                <w:sz w:val="18"/>
                <w:szCs w:val="18"/>
              </w:rPr>
              <w:t>(</w:t>
            </w:r>
            <w:r w:rsidRPr="00A12220">
              <w:rPr>
                <w:i/>
                <w:sz w:val="18"/>
                <w:szCs w:val="18"/>
              </w:rPr>
              <w:t>percent</w:t>
            </w:r>
            <w:r w:rsidR="00684170">
              <w:rPr>
                <w:i/>
                <w:sz w:val="18"/>
                <w:szCs w:val="18"/>
              </w:rPr>
              <w:t>age</w:t>
            </w:r>
            <w:r w:rsidRPr="00A12220">
              <w:rPr>
                <w:i/>
                <w:sz w:val="18"/>
                <w:szCs w:val="18"/>
              </w:rPr>
              <w:t>)</w:t>
            </w:r>
          </w:p>
        </w:tc>
        <w:tc>
          <w:tcPr>
            <w:tcW w:w="4404" w:type="dxa"/>
          </w:tcPr>
          <w:p w14:paraId="72853652" w14:textId="0F5344B2" w:rsidR="004E0885" w:rsidRPr="00A12220" w:rsidRDefault="004E0885" w:rsidP="003643CE">
            <w:pPr>
              <w:pStyle w:val="Caption"/>
              <w:jc w:val="left"/>
              <w:rPr>
                <w:rFonts w:asciiTheme="minorHAnsi" w:hAnsiTheme="minorHAnsi" w:cstheme="minorHAnsi"/>
                <w:bCs/>
                <w:sz w:val="20"/>
              </w:rPr>
            </w:pPr>
            <w:bookmarkStart w:id="73" w:name="_Ref133082505"/>
            <w:r w:rsidRPr="00A12220">
              <w:rPr>
                <w:rFonts w:asciiTheme="minorHAnsi" w:hAnsiTheme="minorHAnsi" w:cstheme="minorHAnsi"/>
                <w:bCs/>
                <w:sz w:val="20"/>
              </w:rPr>
              <w:t xml:space="preserve">Figure </w:t>
            </w:r>
            <w:bookmarkEnd w:id="73"/>
            <w:r w:rsidR="00684170">
              <w:rPr>
                <w:rFonts w:asciiTheme="minorHAnsi" w:hAnsiTheme="minorHAnsi" w:cstheme="minorHAnsi"/>
                <w:bCs/>
                <w:sz w:val="20"/>
              </w:rPr>
              <w:t>8A.2</w:t>
            </w:r>
            <w:r w:rsidRPr="00A12220">
              <w:rPr>
                <w:rFonts w:asciiTheme="minorHAnsi" w:hAnsiTheme="minorHAnsi" w:cstheme="minorHAnsi"/>
                <w:bCs/>
                <w:sz w:val="20"/>
              </w:rPr>
              <w:t>: C-efficiency in comparator</w:t>
            </w:r>
            <w:r>
              <w:rPr>
                <w:rFonts w:asciiTheme="minorHAnsi" w:hAnsiTheme="minorHAnsi" w:cstheme="minorHAnsi"/>
                <w:bCs/>
                <w:sz w:val="20"/>
              </w:rPr>
              <w:t xml:space="preserve"> countries</w:t>
            </w:r>
          </w:p>
          <w:p w14:paraId="7B81E4C4" w14:textId="77777777" w:rsidR="004E0885" w:rsidRPr="00A12220" w:rsidRDefault="004E0885" w:rsidP="00DA1A7B">
            <w:pPr>
              <w:jc w:val="both"/>
            </w:pPr>
            <w:r w:rsidRPr="00A12220">
              <w:rPr>
                <w:i/>
                <w:sz w:val="18"/>
                <w:szCs w:val="18"/>
              </w:rPr>
              <w:t>(2013 = 100%)</w:t>
            </w:r>
          </w:p>
        </w:tc>
      </w:tr>
      <w:tr w:rsidR="004E0885" w:rsidRPr="00A12220" w14:paraId="59BC2416" w14:textId="77777777" w:rsidTr="00DA1A7B">
        <w:trPr>
          <w:trHeight w:val="2951"/>
        </w:trPr>
        <w:tc>
          <w:tcPr>
            <w:tcW w:w="4725" w:type="dxa"/>
          </w:tcPr>
          <w:p w14:paraId="3DC87015" w14:textId="77777777" w:rsidR="004E0885" w:rsidRPr="00A12220" w:rsidRDefault="004E0885" w:rsidP="00DA1A7B">
            <w:pPr>
              <w:ind w:left="0" w:firstLine="0"/>
              <w:jc w:val="both"/>
              <w:rPr>
                <w:b/>
                <w:bCs/>
              </w:rPr>
            </w:pPr>
            <w:r>
              <w:rPr>
                <w:noProof/>
              </w:rPr>
              <w:drawing>
                <wp:inline distT="0" distB="0" distL="0" distR="0" wp14:anchorId="27B15E6D" wp14:editId="5A8039C9">
                  <wp:extent cx="2820838" cy="1932305"/>
                  <wp:effectExtent l="0" t="0" r="0" b="0"/>
                  <wp:docPr id="3" name="Chart 3">
                    <a:extLst xmlns:a="http://schemas.openxmlformats.org/drawingml/2006/main">
                      <a:ext uri="{FF2B5EF4-FFF2-40B4-BE49-F238E27FC236}">
                        <a16:creationId xmlns:a16="http://schemas.microsoft.com/office/drawing/2014/main" id="{AB7441FD-D656-F77C-BE2B-613BDA2867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sidRPr="00A12220" w:rsidDel="00C4186D">
              <w:rPr>
                <w:b/>
                <w:bCs/>
                <w:noProof/>
              </w:rPr>
              <w:t xml:space="preserve"> </w:t>
            </w:r>
          </w:p>
        </w:tc>
        <w:tc>
          <w:tcPr>
            <w:tcW w:w="4404" w:type="dxa"/>
          </w:tcPr>
          <w:p w14:paraId="4D809AB6" w14:textId="77777777" w:rsidR="004E0885" w:rsidRPr="00A12220" w:rsidRDefault="004E0885" w:rsidP="00DA1A7B">
            <w:pPr>
              <w:ind w:left="0" w:firstLine="0"/>
              <w:jc w:val="both"/>
              <w:rPr>
                <w:b/>
                <w:bCs/>
              </w:rPr>
            </w:pPr>
            <w:r w:rsidRPr="00A12220">
              <w:rPr>
                <w:b/>
                <w:bCs/>
                <w:noProof/>
              </w:rPr>
              <w:drawing>
                <wp:inline distT="0" distB="0" distL="0" distR="0" wp14:anchorId="0435CB16" wp14:editId="1EBCB029">
                  <wp:extent cx="2772410" cy="1932317"/>
                  <wp:effectExtent l="0" t="0" r="8890" b="0"/>
                  <wp:docPr id="790289001" name="Chart 1">
                    <a:extLst xmlns:a="http://schemas.openxmlformats.org/drawingml/2006/main">
                      <a:ext uri="{FF2B5EF4-FFF2-40B4-BE49-F238E27FC236}">
                        <a16:creationId xmlns:a16="http://schemas.microsoft.com/office/drawing/2014/main" id="{91826AE7-304A-756A-D888-AD63EDFD14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tc>
      </w:tr>
      <w:tr w:rsidR="004E0885" w:rsidRPr="00A12220" w14:paraId="6BF3CE74" w14:textId="77777777" w:rsidTr="00DA1A7B">
        <w:tblPrEx>
          <w:tblCellMar>
            <w:left w:w="70" w:type="dxa"/>
            <w:right w:w="70" w:type="dxa"/>
          </w:tblCellMar>
        </w:tblPrEx>
        <w:tc>
          <w:tcPr>
            <w:tcW w:w="4725" w:type="dxa"/>
          </w:tcPr>
          <w:p w14:paraId="21C15662" w14:textId="1CDB1402" w:rsidR="004E0885" w:rsidRPr="00A12220" w:rsidRDefault="004E0885" w:rsidP="00DA1A7B">
            <w:pPr>
              <w:ind w:left="0" w:firstLine="0"/>
              <w:jc w:val="both"/>
              <w:rPr>
                <w:sz w:val="18"/>
                <w:szCs w:val="18"/>
              </w:rPr>
            </w:pPr>
            <w:r w:rsidRPr="003643CE">
              <w:rPr>
                <w:i/>
                <w:iCs/>
                <w:sz w:val="18"/>
                <w:szCs w:val="18"/>
              </w:rPr>
              <w:t>Source</w:t>
            </w:r>
            <w:proofErr w:type="gramStart"/>
            <w:r w:rsidRPr="00A12220">
              <w:rPr>
                <w:sz w:val="18"/>
                <w:szCs w:val="18"/>
              </w:rPr>
              <w:t xml:space="preserve">:  </w:t>
            </w:r>
            <w:r>
              <w:rPr>
                <w:sz w:val="18"/>
                <w:szCs w:val="18"/>
              </w:rPr>
              <w:t>World</w:t>
            </w:r>
            <w:proofErr w:type="gramEnd"/>
            <w:r>
              <w:rPr>
                <w:sz w:val="18"/>
                <w:szCs w:val="18"/>
              </w:rPr>
              <w:t xml:space="preserve"> Bank</w:t>
            </w:r>
            <w:r w:rsidRPr="00A12220">
              <w:rPr>
                <w:sz w:val="18"/>
                <w:szCs w:val="18"/>
              </w:rPr>
              <w:t xml:space="preserve"> staff calculatio</w:t>
            </w:r>
            <w:r>
              <w:rPr>
                <w:sz w:val="18"/>
                <w:szCs w:val="18"/>
              </w:rPr>
              <w:t>n</w:t>
            </w:r>
            <w:r w:rsidR="00684170">
              <w:rPr>
                <w:sz w:val="18"/>
                <w:szCs w:val="18"/>
              </w:rPr>
              <w:t>.</w:t>
            </w:r>
          </w:p>
        </w:tc>
        <w:tc>
          <w:tcPr>
            <w:tcW w:w="4404" w:type="dxa"/>
          </w:tcPr>
          <w:p w14:paraId="111BA0C8" w14:textId="0E8771FC" w:rsidR="004E0885" w:rsidRPr="00A12220" w:rsidRDefault="004E0885" w:rsidP="00DA1A7B">
            <w:pPr>
              <w:ind w:left="212" w:firstLine="0"/>
              <w:jc w:val="both"/>
              <w:rPr>
                <w:sz w:val="18"/>
                <w:szCs w:val="18"/>
              </w:rPr>
            </w:pPr>
            <w:r w:rsidRPr="003643CE">
              <w:rPr>
                <w:i/>
                <w:iCs/>
                <w:sz w:val="18"/>
                <w:szCs w:val="18"/>
              </w:rPr>
              <w:t>Source</w:t>
            </w:r>
            <w:proofErr w:type="gramStart"/>
            <w:r w:rsidRPr="00A12220">
              <w:rPr>
                <w:sz w:val="18"/>
                <w:szCs w:val="18"/>
              </w:rPr>
              <w:t xml:space="preserve">:  </w:t>
            </w:r>
            <w:r>
              <w:rPr>
                <w:sz w:val="18"/>
                <w:szCs w:val="18"/>
              </w:rPr>
              <w:t>World</w:t>
            </w:r>
            <w:proofErr w:type="gramEnd"/>
            <w:r>
              <w:rPr>
                <w:sz w:val="18"/>
                <w:szCs w:val="18"/>
              </w:rPr>
              <w:t xml:space="preserve"> Bank</w:t>
            </w:r>
            <w:r w:rsidRPr="00A12220" w:rsidDel="003E29D5">
              <w:rPr>
                <w:sz w:val="18"/>
                <w:szCs w:val="18"/>
              </w:rPr>
              <w:t xml:space="preserve"> </w:t>
            </w:r>
            <w:r w:rsidRPr="00A12220">
              <w:rPr>
                <w:sz w:val="18"/>
                <w:szCs w:val="18"/>
              </w:rPr>
              <w:t>staff calculation</w:t>
            </w:r>
            <w:r w:rsidR="00684170">
              <w:rPr>
                <w:sz w:val="18"/>
                <w:szCs w:val="18"/>
              </w:rPr>
              <w:t>.</w:t>
            </w:r>
          </w:p>
        </w:tc>
      </w:tr>
    </w:tbl>
    <w:p w14:paraId="7B1868EA" w14:textId="3A740D07" w:rsidR="00525612" w:rsidRDefault="00525612" w:rsidP="00356C22">
      <w:pPr>
        <w:ind w:left="0" w:firstLine="0"/>
        <w:rPr>
          <w:rFonts w:eastAsiaTheme="majorEastAsia" w:cstheme="minorHAnsi"/>
          <w:color w:val="2F5496" w:themeColor="accent1" w:themeShade="BF"/>
          <w:sz w:val="24"/>
          <w:szCs w:val="24"/>
        </w:rPr>
      </w:pPr>
    </w:p>
    <w:p w14:paraId="1124A528" w14:textId="77777777" w:rsidR="00525612" w:rsidRDefault="00525612">
      <w:pPr>
        <w:rPr>
          <w:rFonts w:eastAsiaTheme="majorEastAsia" w:cstheme="minorHAnsi"/>
          <w:color w:val="2F5496" w:themeColor="accent1" w:themeShade="BF"/>
          <w:sz w:val="24"/>
          <w:szCs w:val="24"/>
        </w:rPr>
      </w:pPr>
      <w:r>
        <w:rPr>
          <w:rFonts w:eastAsiaTheme="majorEastAsia" w:cstheme="minorHAnsi"/>
          <w:color w:val="2F5496" w:themeColor="accent1" w:themeShade="BF"/>
          <w:sz w:val="24"/>
          <w:szCs w:val="24"/>
        </w:rPr>
        <w:br w:type="page"/>
      </w:r>
    </w:p>
    <w:p w14:paraId="0E88BC00" w14:textId="77777777" w:rsidR="00525612" w:rsidRPr="00525612" w:rsidRDefault="00525612" w:rsidP="00311D45">
      <w:pPr>
        <w:pStyle w:val="Heading1"/>
      </w:pPr>
      <w:bookmarkStart w:id="74" w:name="_Toc177819064"/>
      <w:r w:rsidRPr="00525612">
        <w:lastRenderedPageBreak/>
        <w:t>References</w:t>
      </w:r>
      <w:bookmarkEnd w:id="74"/>
    </w:p>
    <w:p w14:paraId="2EA0FD4E" w14:textId="0F3BC4E3" w:rsidR="00525612" w:rsidRPr="00311D45" w:rsidRDefault="00525612" w:rsidP="000B25E6">
      <w:pPr>
        <w:rPr>
          <w:rFonts w:eastAsiaTheme="majorEastAsia" w:cstheme="minorHAnsi"/>
        </w:rPr>
      </w:pPr>
      <w:r w:rsidRPr="00687B71">
        <w:rPr>
          <w:rFonts w:eastAsiaTheme="majorEastAsia" w:cstheme="minorHAnsi"/>
        </w:rPr>
        <w:t xml:space="preserve">Al-Rikabi, J. and I. </w:t>
      </w:r>
      <w:proofErr w:type="spellStart"/>
      <w:r w:rsidRPr="00687B71">
        <w:rPr>
          <w:rFonts w:eastAsiaTheme="majorEastAsia" w:cstheme="minorHAnsi"/>
        </w:rPr>
        <w:t>Guardarucci</w:t>
      </w:r>
      <w:proofErr w:type="spellEnd"/>
      <w:r w:rsidRPr="00687B71">
        <w:rPr>
          <w:rFonts w:eastAsiaTheme="majorEastAsia" w:cstheme="minorHAnsi"/>
        </w:rPr>
        <w:t xml:space="preserve">. </w:t>
      </w:r>
      <w:r w:rsidRPr="00311D45">
        <w:rPr>
          <w:rFonts w:eastAsiaTheme="majorEastAsia" w:cstheme="minorHAnsi"/>
        </w:rPr>
        <w:t xml:space="preserve">Forthcoming. </w:t>
      </w:r>
      <w:r w:rsidRPr="00311D45">
        <w:rPr>
          <w:rFonts w:eastAsiaTheme="majorEastAsia" w:cstheme="minorHAnsi"/>
          <w:i/>
          <w:iCs/>
        </w:rPr>
        <w:t xml:space="preserve">Assessing The VAT In Indonesia: Insights Using Administrative Data. </w:t>
      </w:r>
      <w:r w:rsidRPr="00311D45">
        <w:rPr>
          <w:rFonts w:eastAsiaTheme="majorEastAsia" w:cstheme="minorHAnsi"/>
        </w:rPr>
        <w:t xml:space="preserve">World Bank. </w:t>
      </w:r>
    </w:p>
    <w:p w14:paraId="712260BD" w14:textId="2A90B03C" w:rsidR="00525612" w:rsidRPr="00311D45" w:rsidRDefault="00525612" w:rsidP="000B25E6">
      <w:pPr>
        <w:rPr>
          <w:rFonts w:eastAsiaTheme="majorEastAsia" w:cstheme="minorHAnsi"/>
        </w:rPr>
      </w:pPr>
      <w:proofErr w:type="spellStart"/>
      <w:r w:rsidRPr="00311D45">
        <w:rPr>
          <w:rFonts w:eastAsiaTheme="majorEastAsia" w:cstheme="minorHAnsi"/>
        </w:rPr>
        <w:t>Aritenang</w:t>
      </w:r>
      <w:proofErr w:type="spellEnd"/>
      <w:r w:rsidRPr="00311D45">
        <w:rPr>
          <w:rFonts w:eastAsiaTheme="majorEastAsia" w:cstheme="minorHAnsi"/>
        </w:rPr>
        <w:t xml:space="preserve">, A.F., and A.N. </w:t>
      </w:r>
      <w:proofErr w:type="spellStart"/>
      <w:r w:rsidRPr="00311D45">
        <w:rPr>
          <w:rFonts w:eastAsiaTheme="majorEastAsia" w:cstheme="minorHAnsi"/>
        </w:rPr>
        <w:t>Chandramidi</w:t>
      </w:r>
      <w:proofErr w:type="spellEnd"/>
      <w:r w:rsidRPr="00311D45">
        <w:rPr>
          <w:rFonts w:eastAsiaTheme="majorEastAsia" w:cstheme="minorHAnsi"/>
        </w:rPr>
        <w:t>. 20</w:t>
      </w:r>
      <w:r w:rsidR="00C470BC" w:rsidRPr="00311D45">
        <w:rPr>
          <w:rFonts w:eastAsiaTheme="majorEastAsia" w:cstheme="minorHAnsi"/>
        </w:rPr>
        <w:t>20</w:t>
      </w:r>
      <w:r w:rsidRPr="00311D45">
        <w:rPr>
          <w:rFonts w:eastAsiaTheme="majorEastAsia" w:cstheme="minorHAnsi"/>
        </w:rPr>
        <w:t xml:space="preserve">. “The Impact of Special Economic Zones and Government Intervention on Firm Productivity: The Case of Batam, Indonesia.” </w:t>
      </w:r>
      <w:r w:rsidRPr="00311D45">
        <w:rPr>
          <w:rFonts w:eastAsiaTheme="majorEastAsia" w:cstheme="minorHAnsi"/>
          <w:i/>
          <w:iCs/>
        </w:rPr>
        <w:t>Bulletin of Indonesian Economic Studies</w:t>
      </w:r>
      <w:r w:rsidR="00AD20B2" w:rsidRPr="00311D45">
        <w:rPr>
          <w:rFonts w:eastAsiaTheme="majorEastAsia" w:cstheme="minorHAnsi"/>
          <w:i/>
          <w:iCs/>
        </w:rPr>
        <w:t xml:space="preserve"> </w:t>
      </w:r>
      <w:r w:rsidR="00AD20B2" w:rsidRPr="00311D45">
        <w:rPr>
          <w:rFonts w:eastAsiaTheme="majorEastAsia" w:cstheme="minorHAnsi"/>
        </w:rPr>
        <w:t>56(2)</w:t>
      </w:r>
      <w:r w:rsidR="00C470BC" w:rsidRPr="00311D45">
        <w:rPr>
          <w:rFonts w:eastAsiaTheme="majorEastAsia" w:cstheme="minorHAnsi"/>
        </w:rPr>
        <w:t>: 225-249.</w:t>
      </w:r>
    </w:p>
    <w:p w14:paraId="4EE636D5" w14:textId="2C34052D" w:rsidR="00525612" w:rsidRPr="00311D45" w:rsidRDefault="00525612" w:rsidP="000B25E6">
      <w:pPr>
        <w:rPr>
          <w:rFonts w:eastAsiaTheme="majorEastAsia" w:cstheme="minorHAnsi"/>
        </w:rPr>
      </w:pPr>
      <w:r w:rsidRPr="00311D45">
        <w:rPr>
          <w:rFonts w:eastAsiaTheme="majorEastAsia" w:cstheme="minorHAnsi"/>
          <w:lang w:val="de-CH"/>
        </w:rPr>
        <w:t xml:space="preserve">Bachas, P., L. Gadenne, and A. Jensen. </w:t>
      </w:r>
      <w:r w:rsidRPr="00311D45">
        <w:rPr>
          <w:rFonts w:eastAsiaTheme="majorEastAsia" w:cstheme="minorHAnsi"/>
        </w:rPr>
        <w:t xml:space="preserve">2021. </w:t>
      </w:r>
      <w:r w:rsidRPr="00311D45">
        <w:rPr>
          <w:rFonts w:eastAsiaTheme="majorEastAsia" w:cstheme="minorHAnsi"/>
          <w:i/>
          <w:iCs/>
        </w:rPr>
        <w:t>Informality, Consumption Taxes and Redistribution.</w:t>
      </w:r>
      <w:r w:rsidRPr="00311D45">
        <w:rPr>
          <w:rFonts w:eastAsiaTheme="majorEastAsia" w:cstheme="minorHAnsi"/>
        </w:rPr>
        <w:t xml:space="preserve"> N</w:t>
      </w:r>
      <w:r w:rsidR="0062799C" w:rsidRPr="00311D45">
        <w:rPr>
          <w:rFonts w:eastAsiaTheme="majorEastAsia" w:cstheme="minorHAnsi"/>
        </w:rPr>
        <w:t xml:space="preserve">ational </w:t>
      </w:r>
      <w:r w:rsidRPr="00311D45">
        <w:rPr>
          <w:rFonts w:eastAsiaTheme="majorEastAsia" w:cstheme="minorHAnsi"/>
        </w:rPr>
        <w:t>B</w:t>
      </w:r>
      <w:r w:rsidR="0062799C" w:rsidRPr="00311D45">
        <w:rPr>
          <w:rFonts w:eastAsiaTheme="majorEastAsia" w:cstheme="minorHAnsi"/>
        </w:rPr>
        <w:t xml:space="preserve">ureau of </w:t>
      </w:r>
      <w:r w:rsidRPr="00311D45">
        <w:rPr>
          <w:rFonts w:eastAsiaTheme="majorEastAsia" w:cstheme="minorHAnsi"/>
        </w:rPr>
        <w:t>E</w:t>
      </w:r>
      <w:r w:rsidR="0062799C" w:rsidRPr="00311D45">
        <w:rPr>
          <w:rFonts w:eastAsiaTheme="majorEastAsia" w:cstheme="minorHAnsi"/>
        </w:rPr>
        <w:t xml:space="preserve">conomic </w:t>
      </w:r>
      <w:r w:rsidRPr="00311D45">
        <w:rPr>
          <w:rFonts w:eastAsiaTheme="majorEastAsia" w:cstheme="minorHAnsi"/>
        </w:rPr>
        <w:t>R</w:t>
      </w:r>
      <w:r w:rsidR="0062799C" w:rsidRPr="00311D45">
        <w:rPr>
          <w:rFonts w:eastAsiaTheme="majorEastAsia" w:cstheme="minorHAnsi"/>
        </w:rPr>
        <w:t>esearch (NBER)</w:t>
      </w:r>
      <w:r w:rsidRPr="00311D45">
        <w:rPr>
          <w:rFonts w:eastAsiaTheme="majorEastAsia" w:cstheme="minorHAnsi"/>
        </w:rPr>
        <w:t xml:space="preserve"> Working Paper 27429. </w:t>
      </w:r>
      <w:r w:rsidR="0062799C" w:rsidRPr="00311D45">
        <w:rPr>
          <w:rFonts w:eastAsiaTheme="majorEastAsia" w:cstheme="minorHAnsi"/>
        </w:rPr>
        <w:t>Cambridge Massachusetts: NBER.</w:t>
      </w:r>
    </w:p>
    <w:p w14:paraId="70D2731A" w14:textId="0BC5C76A" w:rsidR="00525612" w:rsidRPr="00311D45" w:rsidRDefault="00525612" w:rsidP="000B25E6">
      <w:pPr>
        <w:rPr>
          <w:rFonts w:eastAsiaTheme="majorEastAsia" w:cstheme="minorHAnsi"/>
        </w:rPr>
      </w:pPr>
      <w:r w:rsidRPr="00311D45">
        <w:rPr>
          <w:rFonts w:eastAsiaTheme="majorEastAsia" w:cstheme="minorHAnsi"/>
        </w:rPr>
        <w:t>Basri, M.</w:t>
      </w:r>
      <w:r w:rsidR="0062799C" w:rsidRPr="00311D45">
        <w:rPr>
          <w:rFonts w:eastAsiaTheme="majorEastAsia" w:cstheme="minorHAnsi"/>
        </w:rPr>
        <w:t>C.</w:t>
      </w:r>
      <w:r w:rsidRPr="00311D45">
        <w:rPr>
          <w:rFonts w:eastAsiaTheme="majorEastAsia" w:cstheme="minorHAnsi"/>
        </w:rPr>
        <w:t>, M. Felix, R. Hanna, and B.</w:t>
      </w:r>
      <w:r w:rsidR="0062799C" w:rsidRPr="00311D45">
        <w:rPr>
          <w:rFonts w:eastAsiaTheme="majorEastAsia" w:cstheme="minorHAnsi"/>
        </w:rPr>
        <w:t>A.</w:t>
      </w:r>
      <w:r w:rsidRPr="00311D45">
        <w:rPr>
          <w:rFonts w:eastAsiaTheme="majorEastAsia" w:cstheme="minorHAnsi"/>
        </w:rPr>
        <w:t xml:space="preserve"> Olken. 2021. </w:t>
      </w:r>
      <w:r w:rsidR="00AD20B2" w:rsidRPr="00311D45">
        <w:rPr>
          <w:rFonts w:eastAsiaTheme="majorEastAsia" w:cstheme="minorHAnsi"/>
        </w:rPr>
        <w:t>“</w:t>
      </w:r>
      <w:r w:rsidRPr="00311D45">
        <w:rPr>
          <w:rFonts w:eastAsiaTheme="majorEastAsia" w:cstheme="minorHAnsi"/>
        </w:rPr>
        <w:t>Tax Administration versus Tax Rates: Evidence from Corporate Taxation in Indonesia.</w:t>
      </w:r>
      <w:r w:rsidR="00AD20B2" w:rsidRPr="00311D45">
        <w:rPr>
          <w:rFonts w:eastAsiaTheme="majorEastAsia" w:cstheme="minorHAnsi"/>
        </w:rPr>
        <w:t>”</w:t>
      </w:r>
      <w:r w:rsidRPr="00311D45">
        <w:rPr>
          <w:rFonts w:eastAsiaTheme="majorEastAsia" w:cstheme="minorHAnsi"/>
        </w:rPr>
        <w:t xml:space="preserve"> </w:t>
      </w:r>
      <w:r w:rsidRPr="00311D45">
        <w:rPr>
          <w:rFonts w:eastAsiaTheme="majorEastAsia" w:cstheme="minorHAnsi"/>
          <w:i/>
          <w:iCs/>
        </w:rPr>
        <w:t>American Economic Review</w:t>
      </w:r>
      <w:r w:rsidRPr="00311D45">
        <w:rPr>
          <w:rFonts w:eastAsiaTheme="majorEastAsia" w:cstheme="minorHAnsi"/>
        </w:rPr>
        <w:t xml:space="preserve"> 111 (12): 3827-71.</w:t>
      </w:r>
    </w:p>
    <w:p w14:paraId="54969199" w14:textId="757CEDD2" w:rsidR="00525612" w:rsidRPr="00311D45" w:rsidRDefault="00525612" w:rsidP="000B25E6">
      <w:pPr>
        <w:rPr>
          <w:rFonts w:eastAsiaTheme="majorEastAsia" w:cstheme="minorHAnsi"/>
        </w:rPr>
      </w:pPr>
      <w:r w:rsidRPr="00311D45">
        <w:rPr>
          <w:rFonts w:eastAsiaTheme="majorEastAsia" w:cstheme="minorHAnsi"/>
        </w:rPr>
        <w:t xml:space="preserve">Beer, S., D. Benedek, B. Erard, and J. </w:t>
      </w:r>
      <w:proofErr w:type="spellStart"/>
      <w:r w:rsidRPr="00311D45">
        <w:rPr>
          <w:rFonts w:eastAsiaTheme="majorEastAsia" w:cstheme="minorHAnsi"/>
        </w:rPr>
        <w:t>Loeprick</w:t>
      </w:r>
      <w:proofErr w:type="spellEnd"/>
      <w:r w:rsidRPr="00311D45">
        <w:rPr>
          <w:rFonts w:eastAsiaTheme="majorEastAsia" w:cstheme="minorHAnsi"/>
        </w:rPr>
        <w:t xml:space="preserve">. 2022. </w:t>
      </w:r>
      <w:r w:rsidRPr="00311D45">
        <w:rPr>
          <w:rFonts w:eastAsiaTheme="majorEastAsia" w:cstheme="minorHAnsi"/>
          <w:i/>
          <w:iCs/>
        </w:rPr>
        <w:t>How to Evaluate Tax Expenditures.</w:t>
      </w:r>
      <w:r w:rsidRPr="00311D45">
        <w:rPr>
          <w:rFonts w:eastAsiaTheme="majorEastAsia" w:cstheme="minorHAnsi"/>
        </w:rPr>
        <w:t xml:space="preserve"> IMF How To Notes, 2022(005), A001. </w:t>
      </w:r>
      <w:hyperlink r:id="rId48" w:history="1">
        <w:r w:rsidRPr="00311D45">
          <w:rPr>
            <w:rStyle w:val="Hyperlink"/>
            <w:rFonts w:eastAsiaTheme="majorEastAsia" w:cstheme="minorHAnsi"/>
            <w:color w:val="auto"/>
          </w:rPr>
          <w:t>https://doi.org/10.5089/9798400221507.061.A001</w:t>
        </w:r>
      </w:hyperlink>
      <w:r w:rsidRPr="00311D45">
        <w:rPr>
          <w:rFonts w:eastAsiaTheme="majorEastAsia" w:cstheme="minorHAnsi"/>
        </w:rPr>
        <w:t xml:space="preserve"> </w:t>
      </w:r>
    </w:p>
    <w:p w14:paraId="2F5C7CD0" w14:textId="75A4731D" w:rsidR="00525612" w:rsidRPr="000B3D76" w:rsidRDefault="00525612" w:rsidP="000B25E6">
      <w:pPr>
        <w:rPr>
          <w:rFonts w:eastAsiaTheme="majorEastAsia" w:cstheme="minorHAnsi"/>
        </w:rPr>
      </w:pPr>
      <w:r w:rsidRPr="00311D45">
        <w:rPr>
          <w:rFonts w:eastAsiaTheme="majorEastAsia" w:cstheme="minorHAnsi"/>
        </w:rPr>
        <w:t>Bella, M.I.</w:t>
      </w:r>
      <w:r w:rsidR="00AD20B2" w:rsidRPr="00311D45">
        <w:rPr>
          <w:rFonts w:eastAsiaTheme="majorEastAsia" w:cstheme="minorHAnsi"/>
        </w:rPr>
        <w:t>S.,</w:t>
      </w:r>
      <w:r w:rsidRPr="00311D45">
        <w:rPr>
          <w:rFonts w:eastAsiaTheme="majorEastAsia" w:cstheme="minorHAnsi"/>
        </w:rPr>
        <w:t xml:space="preserve"> and I. </w:t>
      </w:r>
      <w:proofErr w:type="spellStart"/>
      <w:r w:rsidRPr="00311D45">
        <w:rPr>
          <w:rFonts w:eastAsiaTheme="majorEastAsia" w:cstheme="minorHAnsi"/>
        </w:rPr>
        <w:t>Yudianto</w:t>
      </w:r>
      <w:proofErr w:type="spellEnd"/>
      <w:r w:rsidRPr="00311D45">
        <w:rPr>
          <w:rFonts w:eastAsiaTheme="majorEastAsia" w:cstheme="minorHAnsi"/>
        </w:rPr>
        <w:t xml:space="preserve">. 2021. </w:t>
      </w:r>
      <w:r w:rsidR="00AD20B2" w:rsidRPr="00311D45">
        <w:rPr>
          <w:rFonts w:eastAsiaTheme="majorEastAsia" w:cstheme="minorHAnsi"/>
        </w:rPr>
        <w:t>“</w:t>
      </w:r>
      <w:r w:rsidRPr="00311D45">
        <w:rPr>
          <w:rFonts w:eastAsiaTheme="majorEastAsia" w:cstheme="minorHAnsi"/>
        </w:rPr>
        <w:t xml:space="preserve">The </w:t>
      </w:r>
      <w:r w:rsidR="00AD20B2" w:rsidRPr="00311D45">
        <w:rPr>
          <w:rFonts w:eastAsiaTheme="majorEastAsia" w:cstheme="minorHAnsi"/>
        </w:rPr>
        <w:t>I</w:t>
      </w:r>
      <w:r w:rsidRPr="00311D45">
        <w:rPr>
          <w:rFonts w:eastAsiaTheme="majorEastAsia" w:cstheme="minorHAnsi"/>
        </w:rPr>
        <w:t xml:space="preserve">mpact of </w:t>
      </w:r>
      <w:r w:rsidR="00AD20B2" w:rsidRPr="00311D45">
        <w:rPr>
          <w:rFonts w:eastAsiaTheme="majorEastAsia" w:cstheme="minorHAnsi"/>
        </w:rPr>
        <w:t>T</w:t>
      </w:r>
      <w:r w:rsidRPr="00311D45">
        <w:rPr>
          <w:rFonts w:eastAsiaTheme="majorEastAsia" w:cstheme="minorHAnsi"/>
        </w:rPr>
        <w:t xml:space="preserve">ax </w:t>
      </w:r>
      <w:r w:rsidR="00AD20B2" w:rsidRPr="00311D45">
        <w:rPr>
          <w:rFonts w:eastAsiaTheme="majorEastAsia" w:cstheme="minorHAnsi"/>
        </w:rPr>
        <w:t>I</w:t>
      </w:r>
      <w:r w:rsidRPr="00311D45">
        <w:rPr>
          <w:rFonts w:eastAsiaTheme="majorEastAsia" w:cstheme="minorHAnsi"/>
        </w:rPr>
        <w:t>ncentives on F</w:t>
      </w:r>
      <w:r w:rsidR="00AD20B2" w:rsidRPr="00311D45">
        <w:rPr>
          <w:rFonts w:eastAsiaTheme="majorEastAsia" w:cstheme="minorHAnsi"/>
        </w:rPr>
        <w:t xml:space="preserve">oreign </w:t>
      </w:r>
      <w:r w:rsidRPr="00311D45">
        <w:rPr>
          <w:rFonts w:eastAsiaTheme="majorEastAsia" w:cstheme="minorHAnsi"/>
        </w:rPr>
        <w:t>D</w:t>
      </w:r>
      <w:r w:rsidR="00AD20B2" w:rsidRPr="00311D45">
        <w:rPr>
          <w:rFonts w:eastAsiaTheme="majorEastAsia" w:cstheme="minorHAnsi"/>
        </w:rPr>
        <w:t xml:space="preserve">irect </w:t>
      </w:r>
      <w:r w:rsidRPr="00311D45">
        <w:rPr>
          <w:rFonts w:eastAsiaTheme="majorEastAsia" w:cstheme="minorHAnsi"/>
        </w:rPr>
        <w:t>I</w:t>
      </w:r>
      <w:r w:rsidR="00AD20B2" w:rsidRPr="00311D45">
        <w:rPr>
          <w:rFonts w:eastAsiaTheme="majorEastAsia" w:cstheme="minorHAnsi"/>
        </w:rPr>
        <w:t>nvestment</w:t>
      </w:r>
      <w:r w:rsidRPr="00311D45">
        <w:rPr>
          <w:rFonts w:eastAsiaTheme="majorEastAsia" w:cstheme="minorHAnsi"/>
        </w:rPr>
        <w:t xml:space="preserve">: The </w:t>
      </w:r>
      <w:r w:rsidR="00AD20B2" w:rsidRPr="000B3D76">
        <w:rPr>
          <w:rFonts w:eastAsiaTheme="majorEastAsia" w:cstheme="minorHAnsi"/>
        </w:rPr>
        <w:t>C</w:t>
      </w:r>
      <w:r w:rsidRPr="00311D45">
        <w:rPr>
          <w:rFonts w:eastAsiaTheme="majorEastAsia" w:cstheme="minorHAnsi"/>
        </w:rPr>
        <w:t xml:space="preserve">ase of </w:t>
      </w:r>
      <w:r w:rsidR="00AD20B2" w:rsidRPr="000B3D76">
        <w:rPr>
          <w:rFonts w:eastAsiaTheme="majorEastAsia" w:cstheme="minorHAnsi"/>
        </w:rPr>
        <w:t>T</w:t>
      </w:r>
      <w:r w:rsidRPr="00311D45">
        <w:rPr>
          <w:rFonts w:eastAsiaTheme="majorEastAsia" w:cstheme="minorHAnsi"/>
        </w:rPr>
        <w:t xml:space="preserve">ax </w:t>
      </w:r>
      <w:r w:rsidR="00AD20B2" w:rsidRPr="000B3D76">
        <w:rPr>
          <w:rFonts w:eastAsiaTheme="majorEastAsia" w:cstheme="minorHAnsi"/>
        </w:rPr>
        <w:t>H</w:t>
      </w:r>
      <w:r w:rsidRPr="000B3D76">
        <w:rPr>
          <w:rFonts w:eastAsiaTheme="majorEastAsia" w:cstheme="minorHAnsi"/>
        </w:rPr>
        <w:t>oliday and C</w:t>
      </w:r>
      <w:r w:rsidR="00AD20B2" w:rsidRPr="000B3D76">
        <w:rPr>
          <w:rFonts w:eastAsiaTheme="majorEastAsia" w:cstheme="minorHAnsi"/>
        </w:rPr>
        <w:t xml:space="preserve">orporate </w:t>
      </w:r>
      <w:r w:rsidRPr="000B3D76">
        <w:rPr>
          <w:rFonts w:eastAsiaTheme="majorEastAsia" w:cstheme="minorHAnsi"/>
        </w:rPr>
        <w:t>I</w:t>
      </w:r>
      <w:r w:rsidR="00AD20B2" w:rsidRPr="000B3D76">
        <w:rPr>
          <w:rFonts w:eastAsiaTheme="majorEastAsia" w:cstheme="minorHAnsi"/>
        </w:rPr>
        <w:t xml:space="preserve">ncome </w:t>
      </w:r>
      <w:r w:rsidRPr="000B3D76">
        <w:rPr>
          <w:rFonts w:eastAsiaTheme="majorEastAsia" w:cstheme="minorHAnsi"/>
        </w:rPr>
        <w:t>T</w:t>
      </w:r>
      <w:r w:rsidR="00AD20B2" w:rsidRPr="000B3D76">
        <w:rPr>
          <w:rFonts w:eastAsiaTheme="majorEastAsia" w:cstheme="minorHAnsi"/>
        </w:rPr>
        <w:t>ax</w:t>
      </w:r>
      <w:r w:rsidRPr="000B3D76">
        <w:rPr>
          <w:rFonts w:eastAsiaTheme="majorEastAsia" w:cstheme="minorHAnsi"/>
        </w:rPr>
        <w:t xml:space="preserve"> </w:t>
      </w:r>
      <w:r w:rsidR="00AD20B2" w:rsidRPr="000B3D76">
        <w:rPr>
          <w:rFonts w:eastAsiaTheme="majorEastAsia" w:cstheme="minorHAnsi"/>
        </w:rPr>
        <w:t>R</w:t>
      </w:r>
      <w:r w:rsidRPr="000B3D76">
        <w:rPr>
          <w:rFonts w:eastAsiaTheme="majorEastAsia" w:cstheme="minorHAnsi"/>
        </w:rPr>
        <w:t>ates in Indonesia.</w:t>
      </w:r>
      <w:r w:rsidR="00AD20B2" w:rsidRPr="000B3D76">
        <w:rPr>
          <w:rFonts w:eastAsiaTheme="majorEastAsia" w:cstheme="minorHAnsi"/>
        </w:rPr>
        <w:t>”</w:t>
      </w:r>
      <w:r w:rsidRPr="000B3D76">
        <w:rPr>
          <w:rFonts w:eastAsiaTheme="majorEastAsia" w:cstheme="minorHAnsi"/>
        </w:rPr>
        <w:t xml:space="preserve"> </w:t>
      </w:r>
      <w:r w:rsidRPr="000B3D76">
        <w:rPr>
          <w:rFonts w:eastAsiaTheme="majorEastAsia" w:cstheme="minorHAnsi"/>
          <w:i/>
          <w:iCs/>
        </w:rPr>
        <w:t>Journal of Accounting Auditing and Business</w:t>
      </w:r>
      <w:r w:rsidR="00AD20B2" w:rsidRPr="000B3D76">
        <w:rPr>
          <w:rFonts w:eastAsiaTheme="majorEastAsia" w:cstheme="minorHAnsi"/>
        </w:rPr>
        <w:t xml:space="preserve"> 4(2): 34-48.</w:t>
      </w:r>
      <w:r w:rsidRPr="000B3D76">
        <w:rPr>
          <w:rFonts w:eastAsiaTheme="majorEastAsia" w:cstheme="minorHAnsi"/>
        </w:rPr>
        <w:t xml:space="preserve"> </w:t>
      </w:r>
    </w:p>
    <w:p w14:paraId="0CE8C984" w14:textId="34466BE1" w:rsidR="00C470BC" w:rsidRPr="000B3D76" w:rsidRDefault="00C470BC" w:rsidP="000B25E6">
      <w:pPr>
        <w:rPr>
          <w:rFonts w:eastAsiaTheme="majorEastAsia" w:cstheme="minorHAnsi"/>
        </w:rPr>
      </w:pPr>
      <w:r w:rsidRPr="000B3D76">
        <w:rPr>
          <w:rFonts w:eastAsiaTheme="majorEastAsia" w:cstheme="minorHAnsi"/>
        </w:rPr>
        <w:t xml:space="preserve">Benedek, D., N. </w:t>
      </w:r>
      <w:proofErr w:type="spellStart"/>
      <w:r w:rsidRPr="000B3D76">
        <w:rPr>
          <w:rFonts w:eastAsiaTheme="majorEastAsia" w:cstheme="minorHAnsi"/>
        </w:rPr>
        <w:t>Budina</w:t>
      </w:r>
      <w:proofErr w:type="spellEnd"/>
      <w:r w:rsidRPr="000B3D76">
        <w:rPr>
          <w:rFonts w:eastAsiaTheme="majorEastAsia" w:cstheme="minorHAnsi"/>
        </w:rPr>
        <w:t xml:space="preserve">, P. Deb, B. Gracia, </w:t>
      </w:r>
      <w:proofErr w:type="gramStart"/>
      <w:r w:rsidRPr="000B3D76">
        <w:rPr>
          <w:rFonts w:eastAsiaTheme="majorEastAsia" w:cstheme="minorHAnsi"/>
        </w:rPr>
        <w:t>S.</w:t>
      </w:r>
      <w:proofErr w:type="gramEnd"/>
      <w:r w:rsidRPr="000B3D76">
        <w:rPr>
          <w:rFonts w:eastAsiaTheme="majorEastAsia" w:cstheme="minorHAnsi"/>
        </w:rPr>
        <w:t xml:space="preserve"> </w:t>
      </w:r>
      <w:proofErr w:type="spellStart"/>
      <w:r w:rsidRPr="000B3D76">
        <w:rPr>
          <w:rFonts w:eastAsiaTheme="majorEastAsia" w:cstheme="minorHAnsi"/>
        </w:rPr>
        <w:t>Saksonovs</w:t>
      </w:r>
      <w:proofErr w:type="spellEnd"/>
      <w:r w:rsidRPr="000B3D76">
        <w:rPr>
          <w:rFonts w:eastAsiaTheme="majorEastAsia" w:cstheme="minorHAnsi"/>
        </w:rPr>
        <w:t xml:space="preserve">, and A. </w:t>
      </w:r>
      <w:proofErr w:type="spellStart"/>
      <w:r w:rsidRPr="000B3D76">
        <w:rPr>
          <w:rFonts w:eastAsiaTheme="majorEastAsia" w:cstheme="minorHAnsi"/>
        </w:rPr>
        <w:t>Shabunina</w:t>
      </w:r>
      <w:proofErr w:type="spellEnd"/>
      <w:r w:rsidRPr="000B3D76">
        <w:rPr>
          <w:rFonts w:eastAsiaTheme="majorEastAsia" w:cstheme="minorHAnsi"/>
        </w:rPr>
        <w:t xml:space="preserve">. 2017. </w:t>
      </w:r>
      <w:r w:rsidRPr="000B3D76">
        <w:rPr>
          <w:rFonts w:eastAsiaTheme="majorEastAsia" w:cstheme="minorHAnsi"/>
          <w:i/>
          <w:iCs/>
        </w:rPr>
        <w:t>The Right Kind of Help? Tax Incentives for Staying Small.</w:t>
      </w:r>
      <w:r w:rsidRPr="000B3D76">
        <w:rPr>
          <w:rFonts w:eastAsiaTheme="majorEastAsia" w:cstheme="minorHAnsi"/>
        </w:rPr>
        <w:t xml:space="preserve"> IMF Working Paper, WP/17/139. Washington, DC: IMF. </w:t>
      </w:r>
    </w:p>
    <w:p w14:paraId="0A2D166D" w14:textId="1B59AD48" w:rsidR="00525612" w:rsidRPr="000B3D76" w:rsidRDefault="00525612" w:rsidP="000B25E6">
      <w:pPr>
        <w:rPr>
          <w:rFonts w:eastAsiaTheme="majorEastAsia" w:cstheme="minorHAnsi"/>
          <w:u w:val="single"/>
        </w:rPr>
      </w:pPr>
      <w:r w:rsidRPr="000B3D76">
        <w:rPr>
          <w:rFonts w:eastAsiaTheme="majorEastAsia" w:cstheme="minorHAnsi"/>
        </w:rPr>
        <w:t>Damodaran, A. 2023.</w:t>
      </w:r>
      <w:r w:rsidR="00AD20B2" w:rsidRPr="000B3D76">
        <w:rPr>
          <w:rFonts w:eastAsiaTheme="majorEastAsia" w:cstheme="minorHAnsi"/>
        </w:rPr>
        <w:t xml:space="preserve"> </w:t>
      </w:r>
      <w:r w:rsidR="00C470BC" w:rsidRPr="000B3D76">
        <w:rPr>
          <w:rFonts w:eastAsiaTheme="majorEastAsia" w:cstheme="minorHAnsi"/>
        </w:rPr>
        <w:t>“</w:t>
      </w:r>
      <w:r w:rsidRPr="000B3D76">
        <w:rPr>
          <w:rFonts w:eastAsiaTheme="majorEastAsia" w:cstheme="minorHAnsi"/>
        </w:rPr>
        <w:t>Corporate finance datasets.</w:t>
      </w:r>
      <w:r w:rsidR="00C470BC" w:rsidRPr="000B3D76">
        <w:rPr>
          <w:rFonts w:eastAsiaTheme="majorEastAsia" w:cstheme="minorHAnsi"/>
        </w:rPr>
        <w:t>”</w:t>
      </w:r>
      <w:r w:rsidRPr="000B3D76">
        <w:rPr>
          <w:rFonts w:eastAsiaTheme="majorEastAsia" w:cstheme="minorHAnsi"/>
        </w:rPr>
        <w:t xml:space="preserve"> Last updated in January 2023. </w:t>
      </w:r>
      <w:hyperlink r:id="rId49" w:history="1">
        <w:r w:rsidR="00DD6AE3" w:rsidRPr="00DD6AE3">
          <w:rPr>
            <w:rStyle w:val="Hyperlink"/>
            <w:rFonts w:eastAsiaTheme="majorEastAsia" w:cstheme="minorHAnsi"/>
            <w:color w:val="auto"/>
          </w:rPr>
          <w:t>https://pages.stern.nyu.edu/~adamodar/pc/archives/marginemerg22.xls</w:t>
        </w:r>
      </w:hyperlink>
      <w:r w:rsidR="00DD6AE3">
        <w:rPr>
          <w:rFonts w:eastAsiaTheme="majorEastAsia" w:cstheme="minorHAnsi"/>
        </w:rPr>
        <w:t xml:space="preserve"> </w:t>
      </w:r>
    </w:p>
    <w:p w14:paraId="17EFFA14" w14:textId="39830E49" w:rsidR="0062799C" w:rsidRPr="000B3D76" w:rsidRDefault="0062799C" w:rsidP="000B25E6">
      <w:pPr>
        <w:rPr>
          <w:rFonts w:eastAsiaTheme="majorEastAsia" w:cstheme="minorHAnsi"/>
        </w:rPr>
      </w:pPr>
      <w:r w:rsidRPr="000B3D76">
        <w:rPr>
          <w:rFonts w:eastAsiaTheme="majorEastAsia" w:cstheme="minorHAnsi"/>
        </w:rPr>
        <w:t xml:space="preserve">Deloitte. 2022. </w:t>
      </w:r>
      <w:r w:rsidRPr="000B3D76">
        <w:rPr>
          <w:rFonts w:eastAsiaTheme="majorEastAsia" w:cstheme="minorHAnsi"/>
          <w:i/>
          <w:iCs/>
        </w:rPr>
        <w:t xml:space="preserve">Indonesia Tax Guide 2022-2023. </w:t>
      </w:r>
      <w:r w:rsidRPr="000B3D76">
        <w:rPr>
          <w:rFonts w:eastAsiaTheme="majorEastAsia" w:cstheme="minorHAnsi"/>
        </w:rPr>
        <w:t xml:space="preserve"> </w:t>
      </w:r>
      <w:hyperlink r:id="rId50" w:history="1">
        <w:r w:rsidRPr="000B3D76">
          <w:rPr>
            <w:rStyle w:val="Hyperlink"/>
            <w:rFonts w:eastAsiaTheme="majorEastAsia" w:cstheme="minorHAnsi"/>
            <w:color w:val="auto"/>
          </w:rPr>
          <w:t>https://www2.deloitte.com/id/en/pages/tax/articles/indonesian-tax-guide.html</w:t>
        </w:r>
      </w:hyperlink>
      <w:r w:rsidRPr="000B3D76">
        <w:rPr>
          <w:rFonts w:eastAsiaTheme="majorEastAsia" w:cstheme="minorHAnsi"/>
        </w:rPr>
        <w:t xml:space="preserve"> </w:t>
      </w:r>
    </w:p>
    <w:p w14:paraId="7EC2056C" w14:textId="3F3F9E3C" w:rsidR="00525612" w:rsidRPr="000B3D76" w:rsidRDefault="00525612" w:rsidP="000B25E6">
      <w:pPr>
        <w:rPr>
          <w:rFonts w:eastAsiaTheme="majorEastAsia" w:cstheme="minorHAnsi"/>
        </w:rPr>
      </w:pPr>
      <w:r w:rsidRPr="000B3D76">
        <w:rPr>
          <w:rFonts w:eastAsiaTheme="majorEastAsia" w:cstheme="minorHAnsi"/>
        </w:rPr>
        <w:t xml:space="preserve">de Rugy, V. 2005. </w:t>
      </w:r>
      <w:r w:rsidRPr="000B3D76">
        <w:rPr>
          <w:rFonts w:eastAsiaTheme="majorEastAsia" w:cstheme="minorHAnsi"/>
          <w:i/>
          <w:iCs/>
        </w:rPr>
        <w:t xml:space="preserve">Are </w:t>
      </w:r>
      <w:r w:rsidR="001E2BDC" w:rsidRPr="000B3D76">
        <w:rPr>
          <w:rFonts w:eastAsiaTheme="majorEastAsia" w:cstheme="minorHAnsi"/>
          <w:i/>
          <w:iCs/>
        </w:rPr>
        <w:t>S</w:t>
      </w:r>
      <w:r w:rsidRPr="000B3D76">
        <w:rPr>
          <w:rFonts w:eastAsiaTheme="majorEastAsia" w:cstheme="minorHAnsi"/>
          <w:i/>
          <w:iCs/>
        </w:rPr>
        <w:t xml:space="preserve">mall </w:t>
      </w:r>
      <w:r w:rsidR="001E2BDC" w:rsidRPr="000B3D76">
        <w:rPr>
          <w:rFonts w:eastAsiaTheme="majorEastAsia" w:cstheme="minorHAnsi"/>
          <w:i/>
          <w:iCs/>
        </w:rPr>
        <w:t>B</w:t>
      </w:r>
      <w:r w:rsidRPr="000B3D76">
        <w:rPr>
          <w:rFonts w:eastAsiaTheme="majorEastAsia" w:cstheme="minorHAnsi"/>
          <w:i/>
          <w:iCs/>
        </w:rPr>
        <w:t xml:space="preserve">usinesses the </w:t>
      </w:r>
      <w:r w:rsidR="001E2BDC" w:rsidRPr="000B3D76">
        <w:rPr>
          <w:rFonts w:eastAsiaTheme="majorEastAsia" w:cstheme="minorHAnsi"/>
          <w:i/>
          <w:iCs/>
        </w:rPr>
        <w:t>E</w:t>
      </w:r>
      <w:r w:rsidRPr="000B3D76">
        <w:rPr>
          <w:rFonts w:eastAsiaTheme="majorEastAsia" w:cstheme="minorHAnsi"/>
          <w:i/>
          <w:iCs/>
        </w:rPr>
        <w:t xml:space="preserve">ngine of </w:t>
      </w:r>
      <w:r w:rsidR="001E2BDC" w:rsidRPr="000B3D76">
        <w:rPr>
          <w:rFonts w:eastAsiaTheme="majorEastAsia" w:cstheme="minorHAnsi"/>
          <w:i/>
          <w:iCs/>
        </w:rPr>
        <w:t>G</w:t>
      </w:r>
      <w:r w:rsidRPr="000B3D76">
        <w:rPr>
          <w:rFonts w:eastAsiaTheme="majorEastAsia" w:cstheme="minorHAnsi"/>
          <w:i/>
          <w:iCs/>
        </w:rPr>
        <w:t>rowth?</w:t>
      </w:r>
      <w:r w:rsidRPr="000B3D76">
        <w:rPr>
          <w:rFonts w:eastAsiaTheme="majorEastAsia" w:cstheme="minorHAnsi"/>
        </w:rPr>
        <w:t xml:space="preserve"> AEI Working Paper No. 123</w:t>
      </w:r>
      <w:r w:rsidR="001E2BDC" w:rsidRPr="009927CE">
        <w:rPr>
          <w:rFonts w:eastAsiaTheme="majorEastAsia" w:cstheme="minorHAnsi"/>
        </w:rPr>
        <w:t>. Washington, DC:</w:t>
      </w:r>
      <w:r w:rsidRPr="000B3D76">
        <w:rPr>
          <w:rFonts w:eastAsiaTheme="majorEastAsia" w:cstheme="minorHAnsi"/>
        </w:rPr>
        <w:t xml:space="preserve"> American Enterprise Institute </w:t>
      </w:r>
      <w:r w:rsidR="001E2BDC" w:rsidRPr="009927CE">
        <w:rPr>
          <w:rFonts w:eastAsiaTheme="majorEastAsia" w:cstheme="minorHAnsi"/>
        </w:rPr>
        <w:t>for Public Policy Research</w:t>
      </w:r>
      <w:r w:rsidRPr="000B3D76">
        <w:rPr>
          <w:rFonts w:eastAsiaTheme="majorEastAsia" w:cstheme="minorHAnsi"/>
        </w:rPr>
        <w:t>.</w:t>
      </w:r>
    </w:p>
    <w:p w14:paraId="47850832" w14:textId="36C3150F" w:rsidR="00525612" w:rsidRPr="00430E47" w:rsidRDefault="00525612" w:rsidP="000B25E6">
      <w:pPr>
        <w:rPr>
          <w:rFonts w:eastAsiaTheme="majorEastAsia" w:cstheme="minorHAnsi"/>
        </w:rPr>
      </w:pPr>
      <w:r w:rsidRPr="000B3D76">
        <w:rPr>
          <w:rFonts w:eastAsiaTheme="majorEastAsia" w:cstheme="minorHAnsi"/>
        </w:rPr>
        <w:t>Denes, M., R. Duchin and J. Hackney. 202</w:t>
      </w:r>
      <w:r w:rsidR="00DF72B9">
        <w:rPr>
          <w:rFonts w:eastAsiaTheme="majorEastAsia" w:cstheme="minorHAnsi"/>
        </w:rPr>
        <w:t>1</w:t>
      </w:r>
      <w:r w:rsidRPr="000B3D76">
        <w:rPr>
          <w:rFonts w:eastAsiaTheme="majorEastAsia" w:cstheme="minorHAnsi"/>
        </w:rPr>
        <w:t xml:space="preserve">. </w:t>
      </w:r>
      <w:r w:rsidRPr="000B3D76">
        <w:rPr>
          <w:rFonts w:eastAsiaTheme="majorEastAsia" w:cstheme="minorHAnsi"/>
          <w:i/>
          <w:iCs/>
        </w:rPr>
        <w:t>Does Size Matter? The Real Effects of Subsidizing Small Firms.</w:t>
      </w:r>
      <w:r w:rsidRPr="000B3D76">
        <w:rPr>
          <w:rFonts w:eastAsiaTheme="majorEastAsia" w:cstheme="minorHAnsi"/>
        </w:rPr>
        <w:t xml:space="preserve"> </w:t>
      </w:r>
      <w:hyperlink r:id="rId51" w:history="1">
        <w:r w:rsidR="00CA2DDA" w:rsidRPr="00430E47">
          <w:rPr>
            <w:rStyle w:val="Hyperlink"/>
            <w:rFonts w:eastAsiaTheme="majorEastAsia" w:cstheme="minorHAnsi"/>
            <w:color w:val="auto"/>
          </w:rPr>
          <w:t>https://jhfinance.web.unc.edu/wp-content/uploads/sites/12369/2021/11/2022_JH_does_size_matter.pdf</w:t>
        </w:r>
      </w:hyperlink>
      <w:r w:rsidR="00CA2DDA" w:rsidRPr="00430E47">
        <w:rPr>
          <w:rFonts w:eastAsiaTheme="majorEastAsia" w:cstheme="minorHAnsi"/>
        </w:rPr>
        <w:t xml:space="preserve"> </w:t>
      </w:r>
    </w:p>
    <w:p w14:paraId="55985296" w14:textId="385B9E67" w:rsidR="00525612" w:rsidRPr="000B3D76" w:rsidRDefault="00525612" w:rsidP="000B25E6">
      <w:pPr>
        <w:rPr>
          <w:rFonts w:eastAsiaTheme="majorEastAsia" w:cstheme="minorHAnsi"/>
        </w:rPr>
      </w:pPr>
      <w:r w:rsidRPr="000B3D76">
        <w:rPr>
          <w:rFonts w:eastAsiaTheme="majorEastAsia" w:cstheme="minorHAnsi"/>
        </w:rPr>
        <w:t xml:space="preserve">Directorate General of Taxes. 2022. </w:t>
      </w:r>
      <w:r w:rsidR="00CC202C" w:rsidRPr="009927CE">
        <w:rPr>
          <w:rFonts w:eastAsiaTheme="majorEastAsia" w:cstheme="minorHAnsi"/>
        </w:rPr>
        <w:t>“</w:t>
      </w:r>
      <w:r w:rsidRPr="000B3D76">
        <w:rPr>
          <w:rFonts w:eastAsiaTheme="majorEastAsia" w:cstheme="minorHAnsi"/>
        </w:rPr>
        <w:t>Annual Report 2021.</w:t>
      </w:r>
      <w:r w:rsidR="00CC202C" w:rsidRPr="009927CE">
        <w:rPr>
          <w:rFonts w:eastAsiaTheme="majorEastAsia" w:cstheme="minorHAnsi"/>
        </w:rPr>
        <w:t>”</w:t>
      </w:r>
      <w:r w:rsidRPr="000B3D76">
        <w:rPr>
          <w:rFonts w:eastAsiaTheme="majorEastAsia" w:cstheme="minorHAnsi"/>
        </w:rPr>
        <w:t xml:space="preserve"> </w:t>
      </w:r>
    </w:p>
    <w:p w14:paraId="0B951F8C" w14:textId="5922DF87" w:rsidR="00525612" w:rsidRPr="000B3D76" w:rsidRDefault="00525612" w:rsidP="000B25E6">
      <w:pPr>
        <w:rPr>
          <w:rFonts w:eastAsiaTheme="majorEastAsia" w:cstheme="minorHAnsi"/>
        </w:rPr>
      </w:pPr>
      <w:r w:rsidRPr="000B3D76">
        <w:rPr>
          <w:rFonts w:eastAsiaTheme="majorEastAsia" w:cstheme="minorHAnsi"/>
        </w:rPr>
        <w:t xml:space="preserve">Ernst &amp; Young. 2020. </w:t>
      </w:r>
      <w:r w:rsidRPr="000B3D76">
        <w:rPr>
          <w:rFonts w:eastAsiaTheme="majorEastAsia" w:cstheme="minorHAnsi"/>
          <w:i/>
        </w:rPr>
        <w:t xml:space="preserve">Reforming construction sector taxation in Indonesia Options to </w:t>
      </w:r>
      <w:proofErr w:type="spellStart"/>
      <w:r w:rsidRPr="000B3D76">
        <w:rPr>
          <w:rFonts w:eastAsiaTheme="majorEastAsia" w:cstheme="minorHAnsi"/>
          <w:i/>
        </w:rPr>
        <w:t>incentivise</w:t>
      </w:r>
      <w:proofErr w:type="spellEnd"/>
      <w:r w:rsidRPr="000B3D76">
        <w:rPr>
          <w:rFonts w:eastAsiaTheme="majorEastAsia" w:cstheme="minorHAnsi"/>
          <w:i/>
        </w:rPr>
        <w:t xml:space="preserve"> compliance and </w:t>
      </w:r>
      <w:proofErr w:type="spellStart"/>
      <w:r w:rsidRPr="000B3D76">
        <w:rPr>
          <w:rFonts w:eastAsiaTheme="majorEastAsia" w:cstheme="minorHAnsi"/>
          <w:i/>
        </w:rPr>
        <w:t>maximise</w:t>
      </w:r>
      <w:proofErr w:type="spellEnd"/>
      <w:r w:rsidRPr="000B3D76">
        <w:rPr>
          <w:rFonts w:eastAsiaTheme="majorEastAsia" w:cstheme="minorHAnsi"/>
          <w:i/>
        </w:rPr>
        <w:t xml:space="preserve"> revenue.</w:t>
      </w:r>
      <w:r w:rsidRPr="000B3D76">
        <w:rPr>
          <w:rFonts w:eastAsiaTheme="majorEastAsia" w:cstheme="minorHAnsi"/>
        </w:rPr>
        <w:t xml:space="preserve"> Research report prepared for Prospera. Mimeo.</w:t>
      </w:r>
    </w:p>
    <w:p w14:paraId="72E7F5E7" w14:textId="0BCF76F2" w:rsidR="00525612" w:rsidRPr="000B3D76" w:rsidRDefault="00525612" w:rsidP="000B25E6">
      <w:pPr>
        <w:rPr>
          <w:rFonts w:eastAsiaTheme="majorEastAsia" w:cstheme="minorHAnsi"/>
        </w:rPr>
      </w:pPr>
      <w:r w:rsidRPr="000B3D76">
        <w:rPr>
          <w:rFonts w:eastAsiaTheme="majorEastAsia" w:cstheme="minorHAnsi"/>
        </w:rPr>
        <w:t>European Commission</w:t>
      </w:r>
      <w:r w:rsidR="00073A84" w:rsidRPr="009927CE">
        <w:rPr>
          <w:rFonts w:eastAsiaTheme="majorEastAsia" w:cstheme="minorHAnsi"/>
        </w:rPr>
        <w:t xml:space="preserve"> (Center for Social and Economic Research). 2022</w:t>
      </w:r>
      <w:r w:rsidRPr="000B3D76">
        <w:rPr>
          <w:rFonts w:eastAsiaTheme="majorEastAsia" w:cstheme="minorHAnsi"/>
        </w:rPr>
        <w:t xml:space="preserve">. </w:t>
      </w:r>
      <w:r w:rsidRPr="000B3D76">
        <w:rPr>
          <w:rFonts w:eastAsiaTheme="majorEastAsia" w:cstheme="minorHAnsi"/>
          <w:i/>
          <w:iCs/>
        </w:rPr>
        <w:t xml:space="preserve">VAT gap in the </w:t>
      </w:r>
      <w:r w:rsidR="003F210D" w:rsidRPr="009927CE">
        <w:rPr>
          <w:rFonts w:eastAsiaTheme="majorEastAsia" w:cstheme="minorHAnsi"/>
          <w:i/>
          <w:iCs/>
        </w:rPr>
        <w:t>E</w:t>
      </w:r>
      <w:r w:rsidRPr="000B3D76">
        <w:rPr>
          <w:rFonts w:eastAsiaTheme="majorEastAsia" w:cstheme="minorHAnsi"/>
          <w:i/>
          <w:iCs/>
        </w:rPr>
        <w:t xml:space="preserve">U – Report 2022. </w:t>
      </w:r>
      <w:r w:rsidRPr="000B3D76">
        <w:rPr>
          <w:rFonts w:eastAsiaTheme="majorEastAsia" w:cstheme="minorHAnsi"/>
        </w:rPr>
        <w:t>Publications Office of the Europea</w:t>
      </w:r>
      <w:r w:rsidR="003F210D" w:rsidRPr="009927CE">
        <w:rPr>
          <w:rFonts w:eastAsiaTheme="majorEastAsia" w:cstheme="minorHAnsi"/>
        </w:rPr>
        <w:t>n</w:t>
      </w:r>
      <w:r w:rsidRPr="000B3D76">
        <w:rPr>
          <w:rFonts w:eastAsiaTheme="majorEastAsia" w:cstheme="minorHAnsi"/>
        </w:rPr>
        <w:t xml:space="preserve"> Union, Luxembourg. https://op.europa.eu/en/publication-detail/-/publication/030df522-7452-11ed-9887-01aa75ed71a1</w:t>
      </w:r>
    </w:p>
    <w:p w14:paraId="47D19A06" w14:textId="56FEDC87" w:rsidR="00525612" w:rsidRPr="00B85E52" w:rsidRDefault="00525612" w:rsidP="000B25E6">
      <w:pPr>
        <w:rPr>
          <w:rFonts w:eastAsiaTheme="majorEastAsia" w:cstheme="minorHAnsi"/>
          <w:i/>
          <w:iCs/>
        </w:rPr>
      </w:pPr>
      <w:r w:rsidRPr="000B3D76">
        <w:rPr>
          <w:rFonts w:eastAsiaTheme="majorEastAsia" w:cstheme="minorHAnsi"/>
        </w:rPr>
        <w:t>Gillis, M. 198</w:t>
      </w:r>
      <w:r w:rsidR="0062799C" w:rsidRPr="000B3D76">
        <w:rPr>
          <w:rFonts w:eastAsiaTheme="majorEastAsia" w:cstheme="minorHAnsi"/>
        </w:rPr>
        <w:t>5</w:t>
      </w:r>
      <w:r w:rsidRPr="00B85E52">
        <w:rPr>
          <w:rFonts w:eastAsiaTheme="majorEastAsia" w:cstheme="minorHAnsi"/>
        </w:rPr>
        <w:t xml:space="preserve">. </w:t>
      </w:r>
      <w:r w:rsidR="0062799C" w:rsidRPr="000B3D76">
        <w:rPr>
          <w:rFonts w:eastAsiaTheme="majorEastAsia" w:cstheme="minorHAnsi"/>
        </w:rPr>
        <w:t>“</w:t>
      </w:r>
      <w:r w:rsidRPr="00B85E52">
        <w:rPr>
          <w:rFonts w:eastAsiaTheme="majorEastAsia" w:cstheme="minorHAnsi"/>
        </w:rPr>
        <w:t>Micro and Macroeconomics of Tax Reform</w:t>
      </w:r>
      <w:r w:rsidR="0062799C" w:rsidRPr="000B3D76">
        <w:rPr>
          <w:rFonts w:eastAsiaTheme="majorEastAsia" w:cstheme="minorHAnsi"/>
        </w:rPr>
        <w:t>: Indonesia</w:t>
      </w:r>
      <w:r w:rsidRPr="00B85E52">
        <w:rPr>
          <w:rFonts w:eastAsiaTheme="majorEastAsia" w:cstheme="minorHAnsi"/>
        </w:rPr>
        <w:t>.</w:t>
      </w:r>
      <w:r w:rsidR="0062799C" w:rsidRPr="000B3D76">
        <w:rPr>
          <w:rFonts w:eastAsiaTheme="majorEastAsia" w:cstheme="minorHAnsi"/>
        </w:rPr>
        <w:t>”</w:t>
      </w:r>
      <w:r w:rsidRPr="00B85E52">
        <w:rPr>
          <w:rFonts w:eastAsiaTheme="majorEastAsia" w:cstheme="minorHAnsi"/>
          <w:i/>
          <w:iCs/>
        </w:rPr>
        <w:t xml:space="preserve"> Journal of Development Economics</w:t>
      </w:r>
      <w:r w:rsidRPr="00B85E52">
        <w:rPr>
          <w:rFonts w:eastAsiaTheme="majorEastAsia" w:cstheme="minorHAnsi"/>
        </w:rPr>
        <w:t xml:space="preserve"> 19 (</w:t>
      </w:r>
      <w:r w:rsidR="0062799C" w:rsidRPr="000B3D76">
        <w:rPr>
          <w:rFonts w:eastAsiaTheme="majorEastAsia" w:cstheme="minorHAnsi"/>
        </w:rPr>
        <w:t>3</w:t>
      </w:r>
      <w:r w:rsidRPr="00B85E52">
        <w:rPr>
          <w:rFonts w:eastAsiaTheme="majorEastAsia" w:cstheme="minorHAnsi"/>
        </w:rPr>
        <w:t>)</w:t>
      </w:r>
      <w:r w:rsidR="0062799C" w:rsidRPr="000B3D76">
        <w:rPr>
          <w:rFonts w:eastAsiaTheme="majorEastAsia" w:cstheme="minorHAnsi"/>
        </w:rPr>
        <w:t>:</w:t>
      </w:r>
      <w:r w:rsidRPr="00B85E52">
        <w:rPr>
          <w:rFonts w:eastAsiaTheme="majorEastAsia" w:cstheme="minorHAnsi"/>
        </w:rPr>
        <w:t xml:space="preserve"> 221-254.</w:t>
      </w:r>
    </w:p>
    <w:p w14:paraId="4F0EC2CD" w14:textId="7DBD65EE" w:rsidR="00525612" w:rsidRPr="00B85E52" w:rsidRDefault="00C470BC" w:rsidP="000B25E6">
      <w:pPr>
        <w:rPr>
          <w:rFonts w:eastAsiaTheme="majorEastAsia" w:cstheme="minorHAnsi"/>
        </w:rPr>
      </w:pPr>
      <w:r w:rsidRPr="000B3D76">
        <w:rPr>
          <w:rFonts w:eastAsiaTheme="majorEastAsia" w:cstheme="minorHAnsi"/>
        </w:rPr>
        <w:t>———</w:t>
      </w:r>
      <w:r w:rsidR="00525612" w:rsidRPr="00B85E52">
        <w:rPr>
          <w:rFonts w:eastAsiaTheme="majorEastAsia" w:cstheme="minorHAnsi"/>
        </w:rPr>
        <w:t xml:space="preserve">. 1989. </w:t>
      </w:r>
      <w:r w:rsidR="00F50A45" w:rsidRPr="009927CE">
        <w:rPr>
          <w:rFonts w:eastAsiaTheme="majorEastAsia" w:cstheme="minorHAnsi"/>
        </w:rPr>
        <w:t>“</w:t>
      </w:r>
      <w:r w:rsidR="00525612" w:rsidRPr="00B85E52">
        <w:rPr>
          <w:rFonts w:eastAsiaTheme="majorEastAsia" w:cstheme="minorHAnsi"/>
        </w:rPr>
        <w:t>Comprehensive Tax Reform: The Indonesian Experience, 1981-1988.</w:t>
      </w:r>
      <w:r w:rsidR="00F50A45" w:rsidRPr="009927CE">
        <w:rPr>
          <w:rFonts w:eastAsiaTheme="majorEastAsia" w:cstheme="minorHAnsi"/>
        </w:rPr>
        <w:t>”</w:t>
      </w:r>
      <w:r w:rsidR="00525612" w:rsidRPr="00B85E52">
        <w:rPr>
          <w:rFonts w:eastAsiaTheme="majorEastAsia" w:cstheme="minorHAnsi"/>
        </w:rPr>
        <w:t xml:space="preserve"> In </w:t>
      </w:r>
      <w:r w:rsidR="00525612" w:rsidRPr="00B85E52">
        <w:rPr>
          <w:rFonts w:eastAsiaTheme="majorEastAsia" w:cstheme="minorHAnsi"/>
          <w:i/>
          <w:iCs/>
        </w:rPr>
        <w:t>Tax Reform in Developing Countries</w:t>
      </w:r>
      <w:r w:rsidR="00F50A45" w:rsidRPr="009927CE">
        <w:rPr>
          <w:rFonts w:eastAsiaTheme="majorEastAsia" w:cstheme="minorHAnsi"/>
        </w:rPr>
        <w:t>, edited by M. Gillis</w:t>
      </w:r>
      <w:r w:rsidR="00073A84" w:rsidRPr="009927CE">
        <w:rPr>
          <w:rFonts w:eastAsiaTheme="majorEastAsia" w:cstheme="minorHAnsi"/>
        </w:rPr>
        <w:t>,</w:t>
      </w:r>
      <w:r w:rsidR="00525612" w:rsidRPr="00B85E52">
        <w:rPr>
          <w:rFonts w:eastAsiaTheme="majorEastAsia" w:cstheme="minorHAnsi"/>
        </w:rPr>
        <w:t xml:space="preserve"> 79-114. Duke University Press. </w:t>
      </w:r>
    </w:p>
    <w:p w14:paraId="564697B5" w14:textId="396C5C27" w:rsidR="00C736D5" w:rsidRPr="00541E7D" w:rsidRDefault="00C736D5" w:rsidP="000B25E6">
      <w:pPr>
        <w:rPr>
          <w:rFonts w:eastAsiaTheme="majorEastAsia" w:cstheme="minorHAnsi"/>
        </w:rPr>
      </w:pPr>
      <w:r w:rsidRPr="00541E7D">
        <w:rPr>
          <w:rFonts w:eastAsiaTheme="majorEastAsia" w:cstheme="minorHAnsi"/>
        </w:rPr>
        <w:t>Global Tax Expenditures Database (1.</w:t>
      </w:r>
      <w:r w:rsidR="005B5A8A">
        <w:rPr>
          <w:rFonts w:eastAsiaTheme="majorEastAsia" w:cstheme="minorHAnsi"/>
        </w:rPr>
        <w:t>3</w:t>
      </w:r>
      <w:r w:rsidRPr="00541E7D">
        <w:rPr>
          <w:rFonts w:eastAsiaTheme="majorEastAsia" w:cstheme="minorHAnsi"/>
        </w:rPr>
        <w:t>.</w:t>
      </w:r>
      <w:r w:rsidR="005B5A8A">
        <w:rPr>
          <w:rFonts w:eastAsiaTheme="majorEastAsia" w:cstheme="minorHAnsi"/>
        </w:rPr>
        <w:t>0</w:t>
      </w:r>
      <w:r w:rsidRPr="00541E7D">
        <w:rPr>
          <w:rFonts w:eastAsiaTheme="majorEastAsia" w:cstheme="minorHAnsi"/>
        </w:rPr>
        <w:t xml:space="preserve">) [Data set]. Zenodo. </w:t>
      </w:r>
      <w:hyperlink r:id="rId52" w:history="1">
        <w:r w:rsidRPr="00541E7D">
          <w:rPr>
            <w:rStyle w:val="Hyperlink"/>
            <w:rFonts w:eastAsiaTheme="majorEastAsia" w:cstheme="minorHAnsi"/>
            <w:color w:val="auto"/>
          </w:rPr>
          <w:t>https://doi.org/10.5281/zenodo.7825791</w:t>
        </w:r>
      </w:hyperlink>
      <w:r w:rsidRPr="00541E7D">
        <w:rPr>
          <w:rFonts w:eastAsiaTheme="majorEastAsia" w:cstheme="minorHAnsi"/>
        </w:rPr>
        <w:t xml:space="preserve"> </w:t>
      </w:r>
    </w:p>
    <w:p w14:paraId="04541E86" w14:textId="1B8F7F29" w:rsidR="00525612" w:rsidRPr="001D66E3" w:rsidRDefault="00525612" w:rsidP="000B25E6">
      <w:pPr>
        <w:rPr>
          <w:rFonts w:eastAsiaTheme="majorEastAsia" w:cstheme="minorHAnsi"/>
        </w:rPr>
      </w:pPr>
      <w:r w:rsidRPr="00B85E52">
        <w:rPr>
          <w:rFonts w:eastAsiaTheme="majorEastAsia" w:cstheme="minorHAnsi"/>
        </w:rPr>
        <w:lastRenderedPageBreak/>
        <w:t xml:space="preserve">Harrison, G. and R. </w:t>
      </w:r>
      <w:proofErr w:type="spellStart"/>
      <w:r w:rsidRPr="00B85E52">
        <w:rPr>
          <w:rFonts w:eastAsiaTheme="majorEastAsia" w:cstheme="minorHAnsi"/>
        </w:rPr>
        <w:t>Krelove</w:t>
      </w:r>
      <w:proofErr w:type="spellEnd"/>
      <w:r w:rsidRPr="00B85E52">
        <w:rPr>
          <w:rFonts w:eastAsiaTheme="majorEastAsia" w:cstheme="minorHAnsi"/>
        </w:rPr>
        <w:t xml:space="preserve">. 2005. </w:t>
      </w:r>
      <w:r w:rsidRPr="00B85E52">
        <w:rPr>
          <w:rFonts w:eastAsiaTheme="majorEastAsia" w:cstheme="minorHAnsi"/>
          <w:i/>
          <w:iCs/>
        </w:rPr>
        <w:t xml:space="preserve">VAT Refunds: A </w:t>
      </w:r>
      <w:r w:rsidR="00CC202C" w:rsidRPr="009927CE">
        <w:rPr>
          <w:rFonts w:eastAsiaTheme="majorEastAsia" w:cstheme="minorHAnsi"/>
          <w:i/>
          <w:iCs/>
        </w:rPr>
        <w:t>R</w:t>
      </w:r>
      <w:r w:rsidRPr="00B85E52">
        <w:rPr>
          <w:rFonts w:eastAsiaTheme="majorEastAsia" w:cstheme="minorHAnsi"/>
          <w:i/>
          <w:iCs/>
        </w:rPr>
        <w:t xml:space="preserve">eview of </w:t>
      </w:r>
      <w:r w:rsidR="00CC202C" w:rsidRPr="009927CE">
        <w:rPr>
          <w:rFonts w:eastAsiaTheme="majorEastAsia" w:cstheme="minorHAnsi"/>
          <w:i/>
          <w:iCs/>
        </w:rPr>
        <w:t>C</w:t>
      </w:r>
      <w:r w:rsidRPr="00B85E52">
        <w:rPr>
          <w:rFonts w:eastAsiaTheme="majorEastAsia" w:cstheme="minorHAnsi"/>
          <w:i/>
          <w:iCs/>
        </w:rPr>
        <w:t xml:space="preserve">ountry </w:t>
      </w:r>
      <w:r w:rsidR="00CC202C" w:rsidRPr="009927CE">
        <w:rPr>
          <w:rFonts w:eastAsiaTheme="majorEastAsia" w:cstheme="minorHAnsi"/>
          <w:i/>
          <w:iCs/>
        </w:rPr>
        <w:t>E</w:t>
      </w:r>
      <w:r w:rsidRPr="00B85E52">
        <w:rPr>
          <w:rFonts w:eastAsiaTheme="majorEastAsia" w:cstheme="minorHAnsi"/>
          <w:i/>
          <w:iCs/>
        </w:rPr>
        <w:t xml:space="preserve">xperience. </w:t>
      </w:r>
      <w:r w:rsidRPr="00B85E52">
        <w:rPr>
          <w:rFonts w:eastAsiaTheme="majorEastAsia" w:cstheme="minorHAnsi"/>
        </w:rPr>
        <w:t>IMF Working Paper 05/218.</w:t>
      </w:r>
      <w:r w:rsidRPr="00B85E52">
        <w:rPr>
          <w:rFonts w:eastAsiaTheme="majorEastAsia" w:cstheme="minorHAnsi"/>
          <w:i/>
          <w:iCs/>
        </w:rPr>
        <w:t xml:space="preserve"> </w:t>
      </w:r>
      <w:hyperlink r:id="rId53" w:history="1">
        <w:r w:rsidRPr="00B85E52">
          <w:rPr>
            <w:rStyle w:val="Hyperlink"/>
            <w:rFonts w:eastAsiaTheme="majorEastAsia" w:cstheme="minorHAnsi"/>
            <w:color w:val="auto"/>
          </w:rPr>
          <w:t>https://www.elibrary.imf.org/view/journals/001/2005/218/001.2005.issue-218-en.xml</w:t>
        </w:r>
      </w:hyperlink>
    </w:p>
    <w:p w14:paraId="2A23AB4F" w14:textId="21380C4C" w:rsidR="00525612" w:rsidRPr="001D66E3" w:rsidRDefault="00525612" w:rsidP="000B25E6">
      <w:pPr>
        <w:rPr>
          <w:rFonts w:eastAsiaTheme="majorEastAsia" w:cstheme="minorHAnsi"/>
        </w:rPr>
      </w:pPr>
      <w:r w:rsidRPr="001D66E3">
        <w:rPr>
          <w:rFonts w:eastAsiaTheme="majorEastAsia" w:cstheme="minorHAnsi"/>
        </w:rPr>
        <w:t xml:space="preserve">Heij, G. 2001. </w:t>
      </w:r>
      <w:r w:rsidR="00634663" w:rsidRPr="009927CE">
        <w:rPr>
          <w:rFonts w:eastAsiaTheme="majorEastAsia" w:cstheme="minorHAnsi"/>
        </w:rPr>
        <w:t>“</w:t>
      </w:r>
      <w:r w:rsidRPr="001D66E3">
        <w:rPr>
          <w:rFonts w:eastAsiaTheme="majorEastAsia" w:cstheme="minorHAnsi"/>
        </w:rPr>
        <w:t>The 1981-83 Indonesian income tax reform process: Who pulled the strings?</w:t>
      </w:r>
      <w:r w:rsidR="00634663" w:rsidRPr="009927CE">
        <w:rPr>
          <w:rFonts w:eastAsiaTheme="majorEastAsia" w:cstheme="minorHAnsi"/>
        </w:rPr>
        <w:t>”</w:t>
      </w:r>
      <w:r w:rsidRPr="001D66E3">
        <w:rPr>
          <w:rFonts w:eastAsiaTheme="majorEastAsia" w:cstheme="minorHAnsi"/>
        </w:rPr>
        <w:t xml:space="preserve"> </w:t>
      </w:r>
      <w:r w:rsidRPr="001D66E3">
        <w:rPr>
          <w:rFonts w:eastAsiaTheme="majorEastAsia" w:cstheme="minorHAnsi"/>
          <w:i/>
          <w:iCs/>
        </w:rPr>
        <w:t>Bulletin of Indonesian Economic Studies</w:t>
      </w:r>
      <w:r w:rsidRPr="001D66E3">
        <w:rPr>
          <w:rFonts w:eastAsiaTheme="majorEastAsia" w:cstheme="minorHAnsi"/>
        </w:rPr>
        <w:t xml:space="preserve"> 37</w:t>
      </w:r>
      <w:r w:rsidR="00F50A45" w:rsidRPr="009927CE">
        <w:rPr>
          <w:rFonts w:eastAsiaTheme="majorEastAsia" w:cstheme="minorHAnsi"/>
        </w:rPr>
        <w:t>(</w:t>
      </w:r>
      <w:r w:rsidRPr="001D66E3">
        <w:rPr>
          <w:rFonts w:eastAsiaTheme="majorEastAsia" w:cstheme="minorHAnsi"/>
        </w:rPr>
        <w:t>2</w:t>
      </w:r>
      <w:r w:rsidR="00F50A45" w:rsidRPr="009927CE">
        <w:rPr>
          <w:rFonts w:eastAsiaTheme="majorEastAsia" w:cstheme="minorHAnsi"/>
        </w:rPr>
        <w:t>):</w:t>
      </w:r>
      <w:r w:rsidRPr="001D66E3">
        <w:rPr>
          <w:rFonts w:eastAsiaTheme="majorEastAsia" w:cstheme="minorHAnsi"/>
        </w:rPr>
        <w:t xml:space="preserve"> 233-251</w:t>
      </w:r>
      <w:r w:rsidR="00634663" w:rsidRPr="009927CE">
        <w:rPr>
          <w:rFonts w:eastAsiaTheme="majorEastAsia" w:cstheme="minorHAnsi"/>
        </w:rPr>
        <w:t>.</w:t>
      </w:r>
    </w:p>
    <w:p w14:paraId="356FCB1E" w14:textId="6AA97486" w:rsidR="00525612" w:rsidRPr="002A19FB" w:rsidRDefault="00525612" w:rsidP="000B25E6">
      <w:pPr>
        <w:rPr>
          <w:rFonts w:eastAsiaTheme="majorEastAsia" w:cstheme="minorHAnsi"/>
        </w:rPr>
      </w:pPr>
      <w:r w:rsidRPr="001D66E3">
        <w:rPr>
          <w:rFonts w:eastAsiaTheme="majorEastAsia" w:cstheme="minorHAnsi"/>
        </w:rPr>
        <w:t xml:space="preserve">Hoy, C., F. </w:t>
      </w:r>
      <w:proofErr w:type="spellStart"/>
      <w:r w:rsidRPr="001D66E3">
        <w:rPr>
          <w:rFonts w:eastAsiaTheme="majorEastAsia" w:cstheme="minorHAnsi"/>
        </w:rPr>
        <w:t>Jolevski</w:t>
      </w:r>
      <w:proofErr w:type="spellEnd"/>
      <w:r w:rsidR="00F50A45" w:rsidRPr="009927CE">
        <w:rPr>
          <w:rFonts w:eastAsiaTheme="majorEastAsia" w:cstheme="minorHAnsi"/>
        </w:rPr>
        <w:t>,</w:t>
      </w:r>
      <w:r w:rsidRPr="001D66E3">
        <w:rPr>
          <w:rFonts w:eastAsiaTheme="majorEastAsia" w:cstheme="minorHAnsi"/>
        </w:rPr>
        <w:t xml:space="preserve"> and A. Obeyesekere. </w:t>
      </w:r>
      <w:r w:rsidRPr="002A19FB">
        <w:rPr>
          <w:rFonts w:eastAsiaTheme="majorEastAsia" w:cstheme="minorHAnsi"/>
        </w:rPr>
        <w:t>2024</w:t>
      </w:r>
      <w:r w:rsidRPr="002A19FB">
        <w:rPr>
          <w:rFonts w:eastAsiaTheme="majorEastAsia" w:cstheme="minorHAnsi"/>
          <w:i/>
          <w:iCs/>
        </w:rPr>
        <w:t>.</w:t>
      </w:r>
      <w:r w:rsidRPr="002A19FB">
        <w:rPr>
          <w:rFonts w:eastAsiaTheme="majorEastAsia" w:cstheme="minorHAnsi"/>
        </w:rPr>
        <w:t xml:space="preserve"> </w:t>
      </w:r>
      <w:r w:rsidRPr="002A19FB">
        <w:rPr>
          <w:rFonts w:eastAsiaTheme="majorEastAsia" w:cstheme="minorHAnsi"/>
          <w:i/>
          <w:iCs/>
        </w:rPr>
        <w:t xml:space="preserve">Revealing Tax Evasion: Experimental Evidence from a Representative Survey of Indonesian Firms. </w:t>
      </w:r>
      <w:r w:rsidRPr="002A19FB">
        <w:rPr>
          <w:rFonts w:eastAsiaTheme="majorEastAsia" w:cstheme="minorHAnsi"/>
        </w:rPr>
        <w:t xml:space="preserve">World Bank. </w:t>
      </w:r>
      <w:hyperlink r:id="rId54" w:history="1">
        <w:r w:rsidR="00F737CB" w:rsidRPr="00555B03">
          <w:rPr>
            <w:rStyle w:val="Hyperlink"/>
            <w:rFonts w:eastAsiaTheme="majorEastAsia" w:cstheme="minorHAnsi"/>
            <w:color w:val="auto"/>
          </w:rPr>
          <w:t>https://documents.worldbank.org/en/publication/documents-reports/documentdetail/099358407222411531/idu18ac8f51d1c91e14f751936b1e28e9f364a0b</w:t>
        </w:r>
      </w:hyperlink>
      <w:r w:rsidR="00F737CB">
        <w:rPr>
          <w:rFonts w:eastAsiaTheme="majorEastAsia" w:cstheme="minorHAnsi"/>
        </w:rPr>
        <w:t xml:space="preserve"> </w:t>
      </w:r>
    </w:p>
    <w:p w14:paraId="1CD01A70" w14:textId="77777777" w:rsidR="00525612" w:rsidRPr="002A19FB" w:rsidRDefault="00525612" w:rsidP="000B25E6">
      <w:pPr>
        <w:rPr>
          <w:rFonts w:eastAsiaTheme="majorEastAsia" w:cstheme="minorHAnsi"/>
          <w:i/>
          <w:iCs/>
        </w:rPr>
      </w:pPr>
      <w:r w:rsidRPr="002A19FB">
        <w:rPr>
          <w:rFonts w:eastAsiaTheme="majorEastAsia" w:cstheme="minorHAnsi"/>
        </w:rPr>
        <w:t xml:space="preserve">Ikhsan et al. 2005. </w:t>
      </w:r>
      <w:r w:rsidRPr="002A19FB">
        <w:rPr>
          <w:rFonts w:eastAsiaTheme="majorEastAsia" w:cstheme="minorHAnsi"/>
          <w:i/>
          <w:iCs/>
        </w:rPr>
        <w:t xml:space="preserve">The 2008 CIT reforms and its contribution to poverty reduction. </w:t>
      </w:r>
    </w:p>
    <w:p w14:paraId="7692FAAC" w14:textId="5605CFC0" w:rsidR="00525612" w:rsidRDefault="000F09CC" w:rsidP="000B25E6">
      <w:pPr>
        <w:rPr>
          <w:rFonts w:eastAsiaTheme="majorEastAsia" w:cstheme="minorHAnsi"/>
        </w:rPr>
      </w:pPr>
      <w:r w:rsidRPr="009927CE">
        <w:rPr>
          <w:rFonts w:eastAsiaTheme="majorEastAsia" w:cstheme="minorHAnsi"/>
        </w:rPr>
        <w:t xml:space="preserve">International </w:t>
      </w:r>
      <w:proofErr w:type="spellStart"/>
      <w:r w:rsidRPr="009927CE">
        <w:rPr>
          <w:rFonts w:eastAsiaTheme="majorEastAsia" w:cstheme="minorHAnsi"/>
        </w:rPr>
        <w:t>Labour</w:t>
      </w:r>
      <w:proofErr w:type="spellEnd"/>
      <w:r w:rsidRPr="009927CE">
        <w:rPr>
          <w:rFonts w:eastAsiaTheme="majorEastAsia" w:cstheme="minorHAnsi"/>
        </w:rPr>
        <w:t xml:space="preserve"> Organization (</w:t>
      </w:r>
      <w:r w:rsidR="00525612" w:rsidRPr="002A19FB">
        <w:rPr>
          <w:rFonts w:eastAsiaTheme="majorEastAsia" w:cstheme="minorHAnsi"/>
        </w:rPr>
        <w:t>ILO</w:t>
      </w:r>
      <w:r w:rsidRPr="009927CE">
        <w:rPr>
          <w:rFonts w:eastAsiaTheme="majorEastAsia" w:cstheme="minorHAnsi"/>
        </w:rPr>
        <w:t>)</w:t>
      </w:r>
      <w:r w:rsidR="00525612" w:rsidRPr="002A19FB">
        <w:rPr>
          <w:rFonts w:eastAsiaTheme="majorEastAsia" w:cstheme="minorHAnsi"/>
        </w:rPr>
        <w:t xml:space="preserve">. 2019. </w:t>
      </w:r>
      <w:hyperlink r:id="rId55" w:history="1">
        <w:r w:rsidR="00525612" w:rsidRPr="002A19FB">
          <w:rPr>
            <w:rStyle w:val="Hyperlink"/>
            <w:rFonts w:eastAsiaTheme="majorEastAsia" w:cstheme="minorHAnsi"/>
            <w:i/>
            <w:color w:val="auto"/>
            <w:u w:val="none"/>
          </w:rPr>
          <w:t xml:space="preserve">Financing </w:t>
        </w:r>
        <w:r w:rsidRPr="009927CE">
          <w:rPr>
            <w:rStyle w:val="Hyperlink"/>
            <w:rFonts w:eastAsiaTheme="majorEastAsia" w:cstheme="minorHAnsi"/>
            <w:i/>
            <w:color w:val="auto"/>
            <w:u w:val="none"/>
          </w:rPr>
          <w:t>S</w:t>
        </w:r>
        <w:r w:rsidR="00525612" w:rsidRPr="002A19FB">
          <w:rPr>
            <w:rStyle w:val="Hyperlink"/>
            <w:rFonts w:eastAsiaTheme="majorEastAsia" w:cstheme="minorHAnsi"/>
            <w:i/>
            <w:color w:val="auto"/>
            <w:u w:val="none"/>
          </w:rPr>
          <w:t xml:space="preserve">mall </w:t>
        </w:r>
        <w:r w:rsidRPr="009927CE">
          <w:rPr>
            <w:rStyle w:val="Hyperlink"/>
            <w:rFonts w:eastAsiaTheme="majorEastAsia" w:cstheme="minorHAnsi"/>
            <w:i/>
            <w:color w:val="auto"/>
            <w:u w:val="none"/>
          </w:rPr>
          <w:t>B</w:t>
        </w:r>
        <w:r w:rsidR="00525612" w:rsidRPr="002A19FB">
          <w:rPr>
            <w:rStyle w:val="Hyperlink"/>
            <w:rFonts w:eastAsiaTheme="majorEastAsia" w:cstheme="minorHAnsi"/>
            <w:i/>
            <w:color w:val="auto"/>
            <w:u w:val="none"/>
          </w:rPr>
          <w:t xml:space="preserve">usinesses in Indonesia: Challenges and </w:t>
        </w:r>
        <w:r w:rsidRPr="009927CE">
          <w:rPr>
            <w:rStyle w:val="Hyperlink"/>
            <w:rFonts w:eastAsiaTheme="majorEastAsia" w:cstheme="minorHAnsi"/>
            <w:i/>
            <w:color w:val="auto"/>
            <w:u w:val="none"/>
          </w:rPr>
          <w:t>O</w:t>
        </w:r>
        <w:r w:rsidR="00525612" w:rsidRPr="002A19FB">
          <w:rPr>
            <w:rStyle w:val="Hyperlink"/>
            <w:rFonts w:eastAsiaTheme="majorEastAsia" w:cstheme="minorHAnsi"/>
            <w:i/>
            <w:color w:val="auto"/>
            <w:u w:val="none"/>
          </w:rPr>
          <w:t>pportunities</w:t>
        </w:r>
      </w:hyperlink>
      <w:r w:rsidR="003F210D" w:rsidRPr="009927CE">
        <w:rPr>
          <w:rFonts w:eastAsiaTheme="majorEastAsia" w:cstheme="minorHAnsi"/>
        </w:rPr>
        <w:t>.</w:t>
      </w:r>
      <w:r w:rsidRPr="009927CE">
        <w:rPr>
          <w:rFonts w:eastAsiaTheme="majorEastAsia" w:cstheme="minorHAnsi"/>
        </w:rPr>
        <w:t xml:space="preserve"> Jakarta: ILO.</w:t>
      </w:r>
    </w:p>
    <w:p w14:paraId="5CB51C99" w14:textId="683FC442" w:rsidR="005E4A50" w:rsidRDefault="00F613E0" w:rsidP="000B25E6">
      <w:r w:rsidRPr="002A19FB">
        <w:rPr>
          <w:rFonts w:eastAsiaTheme="majorEastAsia" w:cstheme="minorHAnsi"/>
          <w:color w:val="000000" w:themeColor="text1"/>
        </w:rPr>
        <w:t xml:space="preserve">International Monetary Fund </w:t>
      </w:r>
      <w:r w:rsidRPr="002A19FB">
        <w:rPr>
          <w:color w:val="000000" w:themeColor="text1"/>
        </w:rPr>
        <w:t>World Revenue Longitudinal Data</w:t>
      </w:r>
      <w:r w:rsidRPr="002A19FB">
        <w:rPr>
          <w:rFonts w:eastAsiaTheme="majorEastAsia" w:cstheme="minorHAnsi"/>
          <w:color w:val="000000" w:themeColor="text1"/>
        </w:rPr>
        <w:t xml:space="preserve"> (IMF </w:t>
      </w:r>
      <w:proofErr w:type="spellStart"/>
      <w:r w:rsidRPr="002A19FB">
        <w:rPr>
          <w:rFonts w:eastAsiaTheme="majorEastAsia" w:cstheme="minorHAnsi"/>
          <w:color w:val="000000" w:themeColor="text1"/>
        </w:rPr>
        <w:t>WoRLD</w:t>
      </w:r>
      <w:proofErr w:type="spellEnd"/>
      <w:r w:rsidR="005E4A50" w:rsidRPr="002A19FB">
        <w:rPr>
          <w:color w:val="000000" w:themeColor="text1"/>
        </w:rPr>
        <w:t>)</w:t>
      </w:r>
      <w:r w:rsidRPr="002A19FB">
        <w:rPr>
          <w:color w:val="000000" w:themeColor="text1"/>
        </w:rPr>
        <w:t xml:space="preserve">. 2022. </w:t>
      </w:r>
      <w:hyperlink r:id="rId56" w:history="1">
        <w:r w:rsidR="00B0382E" w:rsidRPr="002A19FB">
          <w:rPr>
            <w:rStyle w:val="Hyperlink"/>
            <w:color w:val="000000" w:themeColor="text1"/>
          </w:rPr>
          <w:t>https://data.imf.org/?sk=77413f1d-1525-450a-a23a-47aeed40fe78</w:t>
        </w:r>
      </w:hyperlink>
      <w:r w:rsidR="00B0382E">
        <w:t xml:space="preserve"> </w:t>
      </w:r>
    </w:p>
    <w:p w14:paraId="7FA79D54" w14:textId="2E554BB8" w:rsidR="00525612" w:rsidRPr="00747710" w:rsidRDefault="000F09CC" w:rsidP="000B25E6">
      <w:pPr>
        <w:rPr>
          <w:rFonts w:eastAsiaTheme="majorEastAsia" w:cstheme="minorHAnsi"/>
        </w:rPr>
      </w:pPr>
      <w:r w:rsidRPr="009927CE">
        <w:rPr>
          <w:rFonts w:eastAsiaTheme="majorEastAsia" w:cstheme="minorHAnsi"/>
        </w:rPr>
        <w:t>International Monetary Fund (</w:t>
      </w:r>
      <w:r w:rsidR="00525612" w:rsidRPr="00747710">
        <w:rPr>
          <w:rFonts w:eastAsiaTheme="majorEastAsia" w:cstheme="minorHAnsi"/>
        </w:rPr>
        <w:t>IMF</w:t>
      </w:r>
      <w:r w:rsidRPr="009927CE">
        <w:rPr>
          <w:rFonts w:eastAsiaTheme="majorEastAsia" w:cstheme="minorHAnsi"/>
        </w:rPr>
        <w:t>)</w:t>
      </w:r>
      <w:r w:rsidR="00525612" w:rsidRPr="00747710">
        <w:rPr>
          <w:rFonts w:eastAsiaTheme="majorEastAsia" w:cstheme="minorHAnsi"/>
        </w:rPr>
        <w:t xml:space="preserve">. 2001. </w:t>
      </w:r>
      <w:hyperlink r:id="rId57" w:history="1">
        <w:r w:rsidR="00525612" w:rsidRPr="00747710">
          <w:rPr>
            <w:rStyle w:val="Hyperlink"/>
            <w:rFonts w:eastAsiaTheme="majorEastAsia" w:cstheme="minorHAnsi"/>
            <w:i/>
            <w:color w:val="auto"/>
            <w:u w:val="none"/>
          </w:rPr>
          <w:t xml:space="preserve">Tax </w:t>
        </w:r>
        <w:r w:rsidRPr="009927CE">
          <w:rPr>
            <w:rStyle w:val="Hyperlink"/>
            <w:rFonts w:eastAsiaTheme="majorEastAsia" w:cstheme="minorHAnsi"/>
            <w:i/>
            <w:color w:val="auto"/>
            <w:u w:val="none"/>
          </w:rPr>
          <w:t>P</w:t>
        </w:r>
        <w:r w:rsidR="00525612" w:rsidRPr="00747710">
          <w:rPr>
            <w:rStyle w:val="Hyperlink"/>
            <w:rFonts w:eastAsiaTheme="majorEastAsia" w:cstheme="minorHAnsi"/>
            <w:i/>
            <w:color w:val="auto"/>
            <w:u w:val="none"/>
          </w:rPr>
          <w:t xml:space="preserve">olicy for </w:t>
        </w:r>
        <w:r w:rsidRPr="009927CE">
          <w:rPr>
            <w:rStyle w:val="Hyperlink"/>
            <w:rFonts w:eastAsiaTheme="majorEastAsia" w:cstheme="minorHAnsi"/>
            <w:i/>
            <w:color w:val="auto"/>
            <w:u w:val="none"/>
          </w:rPr>
          <w:t>D</w:t>
        </w:r>
        <w:r w:rsidR="00525612" w:rsidRPr="00747710">
          <w:rPr>
            <w:rStyle w:val="Hyperlink"/>
            <w:rFonts w:eastAsiaTheme="majorEastAsia" w:cstheme="minorHAnsi"/>
            <w:i/>
            <w:color w:val="auto"/>
            <w:u w:val="none"/>
          </w:rPr>
          <w:t xml:space="preserve">eveloping </w:t>
        </w:r>
        <w:r w:rsidRPr="009927CE">
          <w:rPr>
            <w:rStyle w:val="Hyperlink"/>
            <w:rFonts w:eastAsiaTheme="majorEastAsia" w:cstheme="minorHAnsi"/>
            <w:i/>
            <w:color w:val="auto"/>
            <w:u w:val="none"/>
          </w:rPr>
          <w:t>C</w:t>
        </w:r>
        <w:r w:rsidR="00525612" w:rsidRPr="00747710">
          <w:rPr>
            <w:rStyle w:val="Hyperlink"/>
            <w:rFonts w:eastAsiaTheme="majorEastAsia" w:cstheme="minorHAnsi"/>
            <w:i/>
            <w:color w:val="auto"/>
            <w:u w:val="none"/>
          </w:rPr>
          <w:t>ountries</w:t>
        </w:r>
      </w:hyperlink>
      <w:r w:rsidR="00525612" w:rsidRPr="00747710">
        <w:rPr>
          <w:rFonts w:eastAsiaTheme="majorEastAsia" w:cstheme="minorHAnsi"/>
        </w:rPr>
        <w:t>.</w:t>
      </w:r>
    </w:p>
    <w:p w14:paraId="5C4BA1AA" w14:textId="19468B8B" w:rsidR="00525612" w:rsidRPr="00747710" w:rsidRDefault="00103CAC" w:rsidP="000B25E6">
      <w:pPr>
        <w:rPr>
          <w:rFonts w:eastAsiaTheme="majorEastAsia" w:cstheme="minorHAnsi"/>
        </w:rPr>
      </w:pPr>
      <w:r w:rsidRPr="009927CE">
        <w:rPr>
          <w:rFonts w:eastAsiaTheme="majorEastAsia" w:cstheme="minorHAnsi"/>
        </w:rPr>
        <w:t>———</w:t>
      </w:r>
      <w:r w:rsidR="00525612" w:rsidRPr="00747710">
        <w:rPr>
          <w:rFonts w:eastAsiaTheme="majorEastAsia" w:cstheme="minorHAnsi"/>
        </w:rPr>
        <w:t xml:space="preserve">. 2009a. </w:t>
      </w:r>
      <w:r w:rsidR="00525612" w:rsidRPr="00747710">
        <w:rPr>
          <w:rFonts w:eastAsiaTheme="majorEastAsia" w:cstheme="minorHAnsi"/>
          <w:i/>
          <w:iCs/>
        </w:rPr>
        <w:t>Empirical Evidence on the Effects of Tax Incentives.</w:t>
      </w:r>
      <w:r w:rsidR="00525612" w:rsidRPr="00747710">
        <w:rPr>
          <w:rFonts w:eastAsiaTheme="majorEastAsia" w:cstheme="minorHAnsi"/>
        </w:rPr>
        <w:t xml:space="preserve"> IMF Working Paper 09/136</w:t>
      </w:r>
      <w:r w:rsidR="000F09CC" w:rsidRPr="009927CE">
        <w:rPr>
          <w:rFonts w:eastAsiaTheme="majorEastAsia" w:cstheme="minorHAnsi"/>
        </w:rPr>
        <w:t>.</w:t>
      </w:r>
    </w:p>
    <w:p w14:paraId="17916D60" w14:textId="3909E708" w:rsidR="00525612" w:rsidRPr="00747710" w:rsidRDefault="00103CAC" w:rsidP="000B25E6">
      <w:pPr>
        <w:rPr>
          <w:rFonts w:eastAsiaTheme="majorEastAsia" w:cstheme="minorHAnsi"/>
        </w:rPr>
      </w:pPr>
      <w:r w:rsidRPr="000B3D76">
        <w:rPr>
          <w:rFonts w:eastAsiaTheme="majorEastAsia" w:cstheme="minorHAnsi"/>
        </w:rPr>
        <w:t>———</w:t>
      </w:r>
      <w:r w:rsidR="00525612" w:rsidRPr="00747710">
        <w:rPr>
          <w:rFonts w:eastAsiaTheme="majorEastAsia" w:cstheme="minorHAnsi"/>
        </w:rPr>
        <w:t xml:space="preserve">. 2018. </w:t>
      </w:r>
      <w:r w:rsidR="00525612" w:rsidRPr="00747710">
        <w:rPr>
          <w:rFonts w:eastAsiaTheme="majorEastAsia" w:cstheme="minorHAnsi"/>
          <w:i/>
          <w:iCs/>
        </w:rPr>
        <w:t>Realizing Indonesia's Economic Potential.</w:t>
      </w:r>
      <w:r w:rsidR="00525612" w:rsidRPr="00747710">
        <w:rPr>
          <w:rFonts w:eastAsiaTheme="majorEastAsia" w:cstheme="minorHAnsi"/>
        </w:rPr>
        <w:t xml:space="preserve"> Washington, DC</w:t>
      </w:r>
      <w:r w:rsidR="000F09CC" w:rsidRPr="009927CE">
        <w:rPr>
          <w:rFonts w:eastAsiaTheme="majorEastAsia" w:cstheme="minorHAnsi"/>
        </w:rPr>
        <w:t>: IMF</w:t>
      </w:r>
      <w:r w:rsidR="00525612" w:rsidRPr="00747710">
        <w:rPr>
          <w:rFonts w:eastAsiaTheme="majorEastAsia" w:cstheme="minorHAnsi"/>
        </w:rPr>
        <w:t xml:space="preserve">. </w:t>
      </w:r>
    </w:p>
    <w:p w14:paraId="411DA95B" w14:textId="4BF0F845" w:rsidR="00525612" w:rsidRPr="00747710" w:rsidRDefault="000F09CC" w:rsidP="000B25E6">
      <w:pPr>
        <w:rPr>
          <w:rFonts w:eastAsiaTheme="majorEastAsia" w:cstheme="minorHAnsi"/>
        </w:rPr>
      </w:pPr>
      <w:r w:rsidRPr="009927CE">
        <w:rPr>
          <w:rFonts w:eastAsiaTheme="majorEastAsia" w:cstheme="minorHAnsi"/>
        </w:rPr>
        <w:t>———</w:t>
      </w:r>
      <w:r w:rsidR="00525612" w:rsidRPr="00747710">
        <w:rPr>
          <w:rFonts w:eastAsiaTheme="majorEastAsia" w:cstheme="minorHAnsi"/>
        </w:rPr>
        <w:t xml:space="preserve">. 2021. </w:t>
      </w:r>
      <w:r w:rsidR="00525612" w:rsidRPr="00747710">
        <w:rPr>
          <w:rFonts w:eastAsiaTheme="majorEastAsia" w:cstheme="minorHAnsi"/>
          <w:i/>
        </w:rPr>
        <w:t>A Firm Lower Bound: Characteristics and Impact of Corporate Minimum Taxation.</w:t>
      </w:r>
      <w:r w:rsidR="00525612" w:rsidRPr="00747710">
        <w:rPr>
          <w:rFonts w:eastAsiaTheme="majorEastAsia" w:cstheme="minorHAnsi"/>
        </w:rPr>
        <w:t xml:space="preserve"> Working Paper No. 2021/161</w:t>
      </w:r>
      <w:r w:rsidRPr="009927CE">
        <w:rPr>
          <w:rFonts w:eastAsiaTheme="majorEastAsia" w:cstheme="minorHAnsi"/>
        </w:rPr>
        <w:t>.</w:t>
      </w:r>
    </w:p>
    <w:p w14:paraId="29F6EBB7" w14:textId="61E1D861" w:rsidR="00525612" w:rsidRPr="00747710" w:rsidRDefault="00525612" w:rsidP="000B25E6">
      <w:pPr>
        <w:rPr>
          <w:rFonts w:eastAsiaTheme="majorEastAsia" w:cstheme="minorHAnsi"/>
          <w:i/>
          <w:iCs/>
        </w:rPr>
      </w:pPr>
      <w:r w:rsidRPr="00747710">
        <w:rPr>
          <w:rFonts w:eastAsiaTheme="majorEastAsia" w:cstheme="minorHAnsi"/>
        </w:rPr>
        <w:t>IMF, U</w:t>
      </w:r>
      <w:r w:rsidR="000536E5" w:rsidRPr="009927CE">
        <w:rPr>
          <w:rFonts w:eastAsiaTheme="majorEastAsia" w:cstheme="minorHAnsi"/>
        </w:rPr>
        <w:t xml:space="preserve">nited </w:t>
      </w:r>
      <w:r w:rsidRPr="00747710">
        <w:rPr>
          <w:rFonts w:eastAsiaTheme="majorEastAsia" w:cstheme="minorHAnsi"/>
        </w:rPr>
        <w:t>N</w:t>
      </w:r>
      <w:r w:rsidR="000536E5" w:rsidRPr="009927CE">
        <w:rPr>
          <w:rFonts w:eastAsiaTheme="majorEastAsia" w:cstheme="minorHAnsi"/>
        </w:rPr>
        <w:t>ations</w:t>
      </w:r>
      <w:r w:rsidRPr="00747710">
        <w:rPr>
          <w:rFonts w:eastAsiaTheme="majorEastAsia" w:cstheme="minorHAnsi"/>
        </w:rPr>
        <w:t>, OECD</w:t>
      </w:r>
      <w:r w:rsidR="000536E5" w:rsidRPr="009927CE">
        <w:rPr>
          <w:rFonts w:eastAsiaTheme="majorEastAsia" w:cstheme="minorHAnsi"/>
        </w:rPr>
        <w:t>,</w:t>
      </w:r>
      <w:r w:rsidRPr="00747710">
        <w:rPr>
          <w:rFonts w:eastAsiaTheme="majorEastAsia" w:cstheme="minorHAnsi"/>
        </w:rPr>
        <w:t xml:space="preserve"> and World Bank. 2015. </w:t>
      </w:r>
      <w:r w:rsidRPr="00747710">
        <w:rPr>
          <w:rFonts w:eastAsiaTheme="majorEastAsia" w:cstheme="minorHAnsi"/>
          <w:i/>
          <w:iCs/>
        </w:rPr>
        <w:t>Options for Low Income Countries' Effective and Efficient Use of Tax Incentives for Investment — Report.</w:t>
      </w:r>
    </w:p>
    <w:p w14:paraId="00BD954A" w14:textId="7A8C8909" w:rsidR="00525612" w:rsidRPr="00747710" w:rsidRDefault="00525612" w:rsidP="000B25E6">
      <w:pPr>
        <w:rPr>
          <w:rFonts w:eastAsiaTheme="majorEastAsia" w:cstheme="minorHAnsi"/>
        </w:rPr>
      </w:pPr>
      <w:r w:rsidRPr="00747710">
        <w:rPr>
          <w:rFonts w:eastAsiaTheme="majorEastAsia" w:cstheme="minorHAnsi"/>
        </w:rPr>
        <w:t xml:space="preserve">Ipsos. 2016. </w:t>
      </w:r>
      <w:r w:rsidRPr="00747710">
        <w:rPr>
          <w:rFonts w:eastAsiaTheme="majorEastAsia" w:cstheme="minorHAnsi"/>
          <w:i/>
        </w:rPr>
        <w:t xml:space="preserve">A Quantitative Market Research Report: Understanding Awareness and Perception towards MSME Tax (PP </w:t>
      </w:r>
      <w:r w:rsidR="001D3FB8" w:rsidRPr="000B3D76">
        <w:rPr>
          <w:rFonts w:eastAsiaTheme="majorEastAsia" w:cstheme="minorHAnsi"/>
          <w:i/>
        </w:rPr>
        <w:t xml:space="preserve">No. </w:t>
      </w:r>
      <w:r w:rsidRPr="00747710">
        <w:rPr>
          <w:rFonts w:eastAsiaTheme="majorEastAsia" w:cstheme="minorHAnsi"/>
          <w:i/>
        </w:rPr>
        <w:t>46/2013)</w:t>
      </w:r>
      <w:r w:rsidRPr="00747710">
        <w:rPr>
          <w:rFonts w:eastAsiaTheme="majorEastAsia" w:cstheme="minorHAnsi"/>
        </w:rPr>
        <w:t>.</w:t>
      </w:r>
    </w:p>
    <w:p w14:paraId="0414E824" w14:textId="061BF1EC" w:rsidR="00525612" w:rsidRPr="00747710" w:rsidRDefault="00525612" w:rsidP="000B25E6">
      <w:pPr>
        <w:rPr>
          <w:rFonts w:eastAsiaTheme="majorEastAsia" w:cstheme="minorHAnsi"/>
        </w:rPr>
      </w:pPr>
      <w:r w:rsidRPr="00747710">
        <w:rPr>
          <w:rFonts w:eastAsiaTheme="majorEastAsia" w:cstheme="minorHAnsi"/>
        </w:rPr>
        <w:t xml:space="preserve">James, S. 2020. </w:t>
      </w:r>
      <w:r w:rsidRPr="00747710">
        <w:rPr>
          <w:rFonts w:eastAsiaTheme="majorEastAsia" w:cstheme="minorHAnsi"/>
          <w:i/>
          <w:iCs/>
        </w:rPr>
        <w:t>Effectiveness of Tax and Non-Tax Incentives and Investments</w:t>
      </w:r>
      <w:r w:rsidR="00695C48" w:rsidRPr="009927CE">
        <w:rPr>
          <w:rFonts w:eastAsiaTheme="majorEastAsia" w:cstheme="minorHAnsi"/>
          <w:i/>
          <w:iCs/>
        </w:rPr>
        <w:t>:</w:t>
      </w:r>
      <w:r w:rsidRPr="00747710">
        <w:rPr>
          <w:rFonts w:eastAsiaTheme="majorEastAsia" w:cstheme="minorHAnsi"/>
          <w:i/>
          <w:iCs/>
        </w:rPr>
        <w:t xml:space="preserve"> Evidence and Policy Implications.</w:t>
      </w:r>
      <w:r w:rsidRPr="00747710">
        <w:rPr>
          <w:rFonts w:eastAsiaTheme="majorEastAsia" w:cstheme="minorHAnsi"/>
        </w:rPr>
        <w:t xml:space="preserve"> Investment Climate Advisory Services of the World Bank Group. Originally published in 2014, updated in 2020.</w:t>
      </w:r>
    </w:p>
    <w:p w14:paraId="311A5FA8" w14:textId="21C94976" w:rsidR="00525612" w:rsidRPr="00747710" w:rsidRDefault="00525612" w:rsidP="000B25E6">
      <w:pPr>
        <w:rPr>
          <w:rFonts w:eastAsiaTheme="majorEastAsia" w:cstheme="minorHAnsi"/>
        </w:rPr>
      </w:pPr>
      <w:proofErr w:type="spellStart"/>
      <w:r w:rsidRPr="00747710">
        <w:rPr>
          <w:rFonts w:eastAsiaTheme="majorEastAsia" w:cstheme="minorHAnsi"/>
        </w:rPr>
        <w:t>Karyadi</w:t>
      </w:r>
      <w:proofErr w:type="spellEnd"/>
      <w:r w:rsidRPr="00747710">
        <w:rPr>
          <w:rFonts w:eastAsiaTheme="majorEastAsia" w:cstheme="minorHAnsi"/>
        </w:rPr>
        <w:t xml:space="preserve">, F. and Darussalam. 2017. </w:t>
      </w:r>
      <w:r w:rsidRPr="00747710">
        <w:rPr>
          <w:rFonts w:eastAsiaTheme="majorEastAsia" w:cstheme="minorHAnsi"/>
          <w:i/>
          <w:iCs/>
        </w:rPr>
        <w:t xml:space="preserve">Tax Treaty Disputes in Indonesia. </w:t>
      </w:r>
      <w:r w:rsidRPr="00747710">
        <w:rPr>
          <w:rFonts w:eastAsiaTheme="majorEastAsia" w:cstheme="minorHAnsi"/>
        </w:rPr>
        <w:t>In A Global Analysis of Tax Treaty Disputes</w:t>
      </w:r>
      <w:r w:rsidR="000B38D2" w:rsidRPr="009927CE">
        <w:rPr>
          <w:rFonts w:eastAsiaTheme="majorEastAsia" w:cstheme="minorHAnsi"/>
        </w:rPr>
        <w:t xml:space="preserve">, edited by E. </w:t>
      </w:r>
      <w:proofErr w:type="spellStart"/>
      <w:r w:rsidR="000B38D2" w:rsidRPr="009927CE">
        <w:rPr>
          <w:rFonts w:eastAsiaTheme="majorEastAsia" w:cstheme="minorHAnsi"/>
        </w:rPr>
        <w:t>Baistrocchi</w:t>
      </w:r>
      <w:proofErr w:type="spellEnd"/>
      <w:r w:rsidR="000B38D2" w:rsidRPr="009927CE">
        <w:rPr>
          <w:rFonts w:eastAsiaTheme="majorEastAsia" w:cstheme="minorHAnsi"/>
        </w:rPr>
        <w:t xml:space="preserve">. </w:t>
      </w:r>
      <w:r w:rsidRPr="00747710">
        <w:rPr>
          <w:rFonts w:eastAsiaTheme="majorEastAsia" w:cstheme="minorHAnsi"/>
        </w:rPr>
        <w:t>(Cambridge Tax Law Series, pp. 1234-1282). Cambridge: Cambridge University Press.</w:t>
      </w:r>
    </w:p>
    <w:p w14:paraId="5BD4864E" w14:textId="67A309F2" w:rsidR="00525612" w:rsidRPr="00747710" w:rsidRDefault="00525612" w:rsidP="000B25E6">
      <w:pPr>
        <w:rPr>
          <w:rFonts w:eastAsiaTheme="majorEastAsia" w:cstheme="minorHAnsi"/>
        </w:rPr>
      </w:pPr>
      <w:r w:rsidRPr="00747710">
        <w:rPr>
          <w:rFonts w:eastAsiaTheme="majorEastAsia" w:cstheme="minorHAnsi"/>
        </w:rPr>
        <w:t xml:space="preserve">Koch, C. and C. Müller. 2024. </w:t>
      </w:r>
      <w:r w:rsidR="00DC509C" w:rsidRPr="009927CE">
        <w:rPr>
          <w:rFonts w:eastAsiaTheme="majorEastAsia" w:cstheme="minorHAnsi"/>
        </w:rPr>
        <w:t>“</w:t>
      </w:r>
      <w:r w:rsidRPr="00747710">
        <w:rPr>
          <w:rFonts w:eastAsiaTheme="majorEastAsia" w:cstheme="minorHAnsi"/>
        </w:rPr>
        <w:t>Tax amnesties and the insurance effect: An experimental study.</w:t>
      </w:r>
      <w:r w:rsidR="00DC509C" w:rsidRPr="009927CE">
        <w:rPr>
          <w:rFonts w:eastAsiaTheme="majorEastAsia" w:cstheme="minorHAnsi"/>
        </w:rPr>
        <w:t>”</w:t>
      </w:r>
      <w:r w:rsidRPr="00747710">
        <w:rPr>
          <w:rFonts w:eastAsiaTheme="majorEastAsia" w:cstheme="minorHAnsi"/>
          <w:i/>
          <w:iCs/>
        </w:rPr>
        <w:t xml:space="preserve"> Journal of Behavioral and Experimental Economics</w:t>
      </w:r>
      <w:r w:rsidRPr="00747710">
        <w:rPr>
          <w:rFonts w:eastAsiaTheme="majorEastAsia" w:cstheme="minorHAnsi"/>
        </w:rPr>
        <w:t xml:space="preserve">. Vol. 108. </w:t>
      </w:r>
      <w:hyperlink r:id="rId58" w:history="1">
        <w:r w:rsidRPr="00747710">
          <w:rPr>
            <w:rStyle w:val="Hyperlink"/>
            <w:rFonts w:eastAsiaTheme="majorEastAsia" w:cstheme="minorHAnsi"/>
            <w:color w:val="auto"/>
          </w:rPr>
          <w:t>https://doi.org/10.1016/j.socec.2023.102130</w:t>
        </w:r>
      </w:hyperlink>
      <w:r w:rsidRPr="00747710">
        <w:rPr>
          <w:rFonts w:eastAsiaTheme="majorEastAsia" w:cstheme="minorHAnsi"/>
        </w:rPr>
        <w:t xml:space="preserve">. </w:t>
      </w:r>
    </w:p>
    <w:p w14:paraId="033149D3" w14:textId="5B82FB0B" w:rsidR="00525612" w:rsidRPr="00747710" w:rsidRDefault="00525612" w:rsidP="000B25E6">
      <w:pPr>
        <w:rPr>
          <w:rFonts w:eastAsiaTheme="majorEastAsia" w:cstheme="minorHAnsi"/>
          <w:i/>
          <w:iCs/>
        </w:rPr>
      </w:pPr>
      <w:r w:rsidRPr="00747710">
        <w:rPr>
          <w:rFonts w:eastAsiaTheme="majorEastAsia" w:cstheme="minorHAnsi"/>
        </w:rPr>
        <w:t xml:space="preserve">Le Borgne, E. and K. Baer. 2008. </w:t>
      </w:r>
      <w:r w:rsidRPr="00747710">
        <w:rPr>
          <w:rFonts w:eastAsiaTheme="majorEastAsia" w:cstheme="minorHAnsi"/>
          <w:i/>
          <w:iCs/>
        </w:rPr>
        <w:t>Tax Amnesties: Theory, Trends, and Some Alternatives.</w:t>
      </w:r>
      <w:r w:rsidRPr="00747710">
        <w:rPr>
          <w:rFonts w:eastAsiaTheme="majorEastAsia" w:cstheme="minorHAnsi"/>
        </w:rPr>
        <w:t xml:space="preserve"> Washington</w:t>
      </w:r>
      <w:r w:rsidR="00DC509C" w:rsidRPr="009927CE">
        <w:rPr>
          <w:rFonts w:eastAsiaTheme="majorEastAsia" w:cstheme="minorHAnsi"/>
        </w:rPr>
        <w:t>,</w:t>
      </w:r>
      <w:r w:rsidRPr="00747710">
        <w:rPr>
          <w:rFonts w:eastAsiaTheme="majorEastAsia" w:cstheme="minorHAnsi"/>
        </w:rPr>
        <w:t xml:space="preserve"> DC</w:t>
      </w:r>
      <w:r w:rsidR="00DC509C" w:rsidRPr="009927CE">
        <w:rPr>
          <w:rFonts w:eastAsiaTheme="majorEastAsia" w:cstheme="minorHAnsi"/>
        </w:rPr>
        <w:t>: International Monetary Fund</w:t>
      </w:r>
      <w:r w:rsidRPr="00747710">
        <w:rPr>
          <w:rFonts w:eastAsiaTheme="majorEastAsia" w:cstheme="minorHAnsi"/>
        </w:rPr>
        <w:t xml:space="preserve">. </w:t>
      </w:r>
      <w:hyperlink r:id="rId59" w:history="1">
        <w:r w:rsidRPr="00747710">
          <w:rPr>
            <w:rStyle w:val="Hyperlink"/>
            <w:rFonts w:eastAsiaTheme="majorEastAsia" w:cstheme="minorHAnsi"/>
            <w:color w:val="auto"/>
          </w:rPr>
          <w:t>https://www.elibrary.imf.org/display/book/9781589067363/ch003.xml</w:t>
        </w:r>
      </w:hyperlink>
      <w:r w:rsidRPr="00747710">
        <w:rPr>
          <w:rFonts w:eastAsiaTheme="majorEastAsia" w:cstheme="minorHAnsi"/>
        </w:rPr>
        <w:t xml:space="preserve">  </w:t>
      </w:r>
    </w:p>
    <w:p w14:paraId="14E9D99B" w14:textId="26D6967B" w:rsidR="00525612" w:rsidRPr="000E2A98" w:rsidRDefault="00525612" w:rsidP="000B25E6">
      <w:pPr>
        <w:rPr>
          <w:rFonts w:eastAsiaTheme="majorEastAsia" w:cstheme="minorHAnsi"/>
        </w:rPr>
      </w:pPr>
      <w:r w:rsidRPr="00747710">
        <w:rPr>
          <w:rFonts w:eastAsiaTheme="majorEastAsia" w:cstheme="minorHAnsi"/>
        </w:rPr>
        <w:t xml:space="preserve">Negara, S.D. and F.E. Hutchinson. 2018. </w:t>
      </w:r>
      <w:r w:rsidRPr="00747710">
        <w:rPr>
          <w:rFonts w:eastAsiaTheme="majorEastAsia" w:cstheme="minorHAnsi"/>
          <w:i/>
          <w:iCs/>
        </w:rPr>
        <w:t>Batam: Life after the FTZ.</w:t>
      </w:r>
      <w:r w:rsidRPr="00747710">
        <w:rPr>
          <w:rFonts w:eastAsiaTheme="majorEastAsia" w:cstheme="minorHAnsi"/>
        </w:rPr>
        <w:t xml:space="preserve"> </w:t>
      </w:r>
      <w:r w:rsidR="00DC509C" w:rsidRPr="009927CE">
        <w:rPr>
          <w:rFonts w:eastAsiaTheme="majorEastAsia" w:cstheme="minorHAnsi"/>
        </w:rPr>
        <w:t>Singapore: ISEAS: Yusof Ishak Institute.</w:t>
      </w:r>
    </w:p>
    <w:p w14:paraId="6A4DBA64" w14:textId="434C8C08" w:rsidR="00525612" w:rsidRPr="000E2A98" w:rsidRDefault="00525612" w:rsidP="000B25E6">
      <w:pPr>
        <w:rPr>
          <w:rFonts w:eastAsiaTheme="majorEastAsia" w:cstheme="minorHAnsi"/>
        </w:rPr>
      </w:pPr>
      <w:proofErr w:type="spellStart"/>
      <w:r w:rsidRPr="000E2A98">
        <w:rPr>
          <w:rFonts w:eastAsiaTheme="majorEastAsia" w:cstheme="minorHAnsi"/>
        </w:rPr>
        <w:t>Nuryanah</w:t>
      </w:r>
      <w:proofErr w:type="spellEnd"/>
      <w:r w:rsidRPr="000E2A98">
        <w:rPr>
          <w:rFonts w:eastAsiaTheme="majorEastAsia" w:cstheme="minorHAnsi"/>
        </w:rPr>
        <w:t xml:space="preserve">, S. and G. Gunawan. 2022. </w:t>
      </w:r>
      <w:r w:rsidR="00103CAC" w:rsidRPr="009927CE">
        <w:rPr>
          <w:rFonts w:eastAsiaTheme="majorEastAsia" w:cstheme="minorHAnsi"/>
        </w:rPr>
        <w:t>“</w:t>
      </w:r>
      <w:r w:rsidRPr="000E2A98">
        <w:rPr>
          <w:rFonts w:eastAsiaTheme="majorEastAsia" w:cstheme="minorHAnsi"/>
        </w:rPr>
        <w:t xml:space="preserve">Tax amnesty and taxpayers’ noncompliant </w:t>
      </w:r>
      <w:proofErr w:type="spellStart"/>
      <w:r w:rsidRPr="000E2A98">
        <w:rPr>
          <w:rFonts w:eastAsiaTheme="majorEastAsia" w:cstheme="minorHAnsi"/>
        </w:rPr>
        <w:t>behaviour</w:t>
      </w:r>
      <w:proofErr w:type="spellEnd"/>
      <w:r w:rsidRPr="000E2A98">
        <w:rPr>
          <w:rFonts w:eastAsiaTheme="majorEastAsia" w:cstheme="minorHAnsi"/>
        </w:rPr>
        <w:t>: evidence from Indonesia</w:t>
      </w:r>
      <w:r w:rsidRPr="000E2A98">
        <w:rPr>
          <w:rFonts w:eastAsiaTheme="majorEastAsia" w:cstheme="minorHAnsi"/>
          <w:i/>
          <w:iCs/>
        </w:rPr>
        <w:t>.</w:t>
      </w:r>
      <w:r w:rsidR="00103CAC" w:rsidRPr="009927CE">
        <w:rPr>
          <w:rFonts w:eastAsiaTheme="majorEastAsia" w:cstheme="minorHAnsi"/>
        </w:rPr>
        <w:t>”</w:t>
      </w:r>
      <w:r w:rsidRPr="000E2A98">
        <w:rPr>
          <w:rFonts w:eastAsiaTheme="majorEastAsia" w:cstheme="minorHAnsi"/>
        </w:rPr>
        <w:t xml:space="preserve"> </w:t>
      </w:r>
      <w:r w:rsidRPr="000E2A98">
        <w:rPr>
          <w:rFonts w:eastAsiaTheme="majorEastAsia" w:cstheme="minorHAnsi"/>
          <w:i/>
          <w:iCs/>
        </w:rPr>
        <w:t>Cogent Business &amp; Management</w:t>
      </w:r>
      <w:r w:rsidRPr="000E2A98">
        <w:rPr>
          <w:rFonts w:eastAsiaTheme="majorEastAsia" w:cstheme="minorHAnsi"/>
        </w:rPr>
        <w:t xml:space="preserve"> 9(1). </w:t>
      </w:r>
      <w:hyperlink r:id="rId60" w:history="1">
        <w:r w:rsidRPr="000E2A98">
          <w:rPr>
            <w:rStyle w:val="Hyperlink"/>
            <w:rFonts w:eastAsiaTheme="majorEastAsia" w:cstheme="minorHAnsi"/>
            <w:color w:val="auto"/>
          </w:rPr>
          <w:t>https://doi.org/10.1080/23311975.2022.2111844</w:t>
        </w:r>
      </w:hyperlink>
      <w:r w:rsidRPr="000E2A98">
        <w:rPr>
          <w:rFonts w:eastAsiaTheme="majorEastAsia" w:cstheme="minorHAnsi"/>
        </w:rPr>
        <w:t xml:space="preserve"> </w:t>
      </w:r>
    </w:p>
    <w:p w14:paraId="42F4902E" w14:textId="59517E85" w:rsidR="00525612" w:rsidRPr="000E2A98" w:rsidRDefault="00525612" w:rsidP="000B25E6">
      <w:pPr>
        <w:rPr>
          <w:rFonts w:eastAsiaTheme="majorEastAsia" w:cstheme="minorHAnsi"/>
        </w:rPr>
      </w:pPr>
      <w:proofErr w:type="spellStart"/>
      <w:r w:rsidRPr="000E2A98">
        <w:rPr>
          <w:rFonts w:eastAsiaTheme="majorEastAsia" w:cstheme="minorHAnsi"/>
        </w:rPr>
        <w:t>Nuryani</w:t>
      </w:r>
      <w:proofErr w:type="spellEnd"/>
      <w:r w:rsidRPr="000E2A98">
        <w:rPr>
          <w:rFonts w:eastAsiaTheme="majorEastAsia" w:cstheme="minorHAnsi"/>
        </w:rPr>
        <w:t xml:space="preserve">, N., T.J.R. </w:t>
      </w:r>
      <w:proofErr w:type="spellStart"/>
      <w:r w:rsidRPr="000E2A98">
        <w:rPr>
          <w:rFonts w:eastAsiaTheme="majorEastAsia" w:cstheme="minorHAnsi"/>
        </w:rPr>
        <w:t>Sitinjak</w:t>
      </w:r>
      <w:proofErr w:type="spellEnd"/>
      <w:r w:rsidRPr="000E2A98">
        <w:rPr>
          <w:rFonts w:eastAsiaTheme="majorEastAsia" w:cstheme="minorHAnsi"/>
        </w:rPr>
        <w:t xml:space="preserve">, and Z. Lavinia. 2022. </w:t>
      </w:r>
      <w:r w:rsidR="00103CAC" w:rsidRPr="009927CE">
        <w:rPr>
          <w:rFonts w:eastAsiaTheme="majorEastAsia" w:cstheme="minorHAnsi"/>
        </w:rPr>
        <w:t>“</w:t>
      </w:r>
      <w:r w:rsidRPr="000E2A98">
        <w:rPr>
          <w:rFonts w:eastAsiaTheme="majorEastAsia" w:cstheme="minorHAnsi"/>
        </w:rPr>
        <w:t>The impact of corporate income tax and tax holiday policy on direct foreign investment in Indonesia.</w:t>
      </w:r>
      <w:r w:rsidR="00103CAC" w:rsidRPr="009927CE">
        <w:rPr>
          <w:rFonts w:eastAsiaTheme="majorEastAsia" w:cstheme="minorHAnsi"/>
        </w:rPr>
        <w:t>”</w:t>
      </w:r>
      <w:r w:rsidRPr="000E2A98">
        <w:rPr>
          <w:rFonts w:eastAsiaTheme="majorEastAsia" w:cstheme="minorHAnsi"/>
        </w:rPr>
        <w:t xml:space="preserve"> </w:t>
      </w:r>
      <w:r w:rsidRPr="000E2A98">
        <w:rPr>
          <w:rFonts w:eastAsiaTheme="majorEastAsia" w:cstheme="minorHAnsi"/>
          <w:i/>
          <w:iCs/>
        </w:rPr>
        <w:t>International Journal of Social Science</w:t>
      </w:r>
      <w:r w:rsidR="00DC509C" w:rsidRPr="009927CE">
        <w:rPr>
          <w:rFonts w:eastAsiaTheme="majorEastAsia" w:cstheme="minorHAnsi"/>
          <w:i/>
          <w:iCs/>
        </w:rPr>
        <w:t xml:space="preserve"> </w:t>
      </w:r>
      <w:r w:rsidR="00DC509C" w:rsidRPr="000E2A98">
        <w:rPr>
          <w:rFonts w:eastAsiaTheme="majorEastAsia" w:cstheme="minorHAnsi"/>
        </w:rPr>
        <w:t xml:space="preserve">1(6): </w:t>
      </w:r>
      <w:r w:rsidR="00DC509C" w:rsidRPr="009927CE">
        <w:rPr>
          <w:rFonts w:eastAsiaTheme="majorEastAsia" w:cstheme="minorHAnsi"/>
        </w:rPr>
        <w:t>1009-1016</w:t>
      </w:r>
      <w:r w:rsidRPr="000E2A98">
        <w:rPr>
          <w:rFonts w:eastAsiaTheme="majorEastAsia" w:cstheme="minorHAnsi"/>
        </w:rPr>
        <w:t xml:space="preserve">. </w:t>
      </w:r>
    </w:p>
    <w:p w14:paraId="3B4C063C" w14:textId="45D31EDC" w:rsidR="00525612" w:rsidRPr="000E2A98" w:rsidRDefault="0038545B" w:rsidP="000B25E6">
      <w:pPr>
        <w:rPr>
          <w:rFonts w:eastAsiaTheme="majorEastAsia" w:cstheme="minorHAnsi"/>
        </w:rPr>
      </w:pPr>
      <w:proofErr w:type="spellStart"/>
      <w:r w:rsidRPr="001D3FB8">
        <w:rPr>
          <w:rFonts w:eastAsiaTheme="majorEastAsia" w:cstheme="minorHAnsi"/>
        </w:rPr>
        <w:lastRenderedPageBreak/>
        <w:t>Organisation</w:t>
      </w:r>
      <w:proofErr w:type="spellEnd"/>
      <w:r w:rsidRPr="001D3FB8">
        <w:rPr>
          <w:rFonts w:eastAsiaTheme="majorEastAsia" w:cstheme="minorHAnsi"/>
        </w:rPr>
        <w:t xml:space="preserve"> for Economic Co-operation and Development (</w:t>
      </w:r>
      <w:r w:rsidR="00525612" w:rsidRPr="000E2A98">
        <w:rPr>
          <w:rFonts w:eastAsiaTheme="majorEastAsia" w:cstheme="minorHAnsi"/>
        </w:rPr>
        <w:t>OECD</w:t>
      </w:r>
      <w:r w:rsidRPr="001D3FB8">
        <w:rPr>
          <w:rFonts w:eastAsiaTheme="majorEastAsia" w:cstheme="minorHAnsi"/>
        </w:rPr>
        <w:t>)</w:t>
      </w:r>
      <w:r w:rsidR="00525612" w:rsidRPr="000E2A98">
        <w:rPr>
          <w:rFonts w:eastAsiaTheme="majorEastAsia" w:cstheme="minorHAnsi"/>
        </w:rPr>
        <w:t xml:space="preserve">. 2010. </w:t>
      </w:r>
      <w:r w:rsidR="00525612" w:rsidRPr="000E2A98">
        <w:rPr>
          <w:rFonts w:eastAsiaTheme="majorEastAsia" w:cstheme="minorHAnsi"/>
          <w:i/>
          <w:iCs/>
        </w:rPr>
        <w:t>Guidance Note: Guidance for the Standard Audit File – Tax Version 2.0.</w:t>
      </w:r>
      <w:r w:rsidR="00525612" w:rsidRPr="000E2A98">
        <w:rPr>
          <w:rFonts w:eastAsiaTheme="majorEastAsia" w:cstheme="minorHAnsi"/>
        </w:rPr>
        <w:t xml:space="preserve"> Prepared by the Forum on Tax Administration. </w:t>
      </w:r>
    </w:p>
    <w:p w14:paraId="6E97F73F" w14:textId="41A06065" w:rsidR="00525612" w:rsidRPr="000E2A98" w:rsidRDefault="000536E5" w:rsidP="000B25E6">
      <w:pPr>
        <w:rPr>
          <w:rFonts w:eastAsiaTheme="majorEastAsia" w:cstheme="minorHAnsi"/>
          <w:u w:val="single"/>
        </w:rPr>
      </w:pPr>
      <w:r w:rsidRPr="009927CE">
        <w:rPr>
          <w:rFonts w:eastAsiaTheme="majorEastAsia" w:cstheme="minorHAnsi"/>
        </w:rPr>
        <w:t>———</w:t>
      </w:r>
      <w:r w:rsidR="00525612" w:rsidRPr="000E2A98">
        <w:rPr>
          <w:rFonts w:eastAsiaTheme="majorEastAsia" w:cstheme="minorHAnsi"/>
        </w:rPr>
        <w:t xml:space="preserve">. 2018. </w:t>
      </w:r>
      <w:r w:rsidRPr="000E2A98">
        <w:t>SME and Entrepreneurship Policy in Indonesia</w:t>
      </w:r>
      <w:r w:rsidRPr="009927CE">
        <w:rPr>
          <w:rFonts w:eastAsiaTheme="majorEastAsia" w:cstheme="minorHAnsi"/>
          <w:i/>
          <w:iCs/>
        </w:rPr>
        <w:t xml:space="preserve"> 2018. </w:t>
      </w:r>
      <w:r w:rsidRPr="009927CE">
        <w:rPr>
          <w:rFonts w:eastAsiaTheme="majorEastAsia" w:cstheme="minorHAnsi"/>
        </w:rPr>
        <w:t>OECD Studies on SMEs and Entrepreneurship. Paris: OECD.</w:t>
      </w:r>
    </w:p>
    <w:p w14:paraId="5401BEEA" w14:textId="111F0CC8" w:rsidR="00044DD6" w:rsidRPr="00555B03" w:rsidRDefault="00044DD6" w:rsidP="000B25E6">
      <w:pPr>
        <w:rPr>
          <w:rFonts w:eastAsiaTheme="majorEastAsia" w:cstheme="minorHAnsi"/>
        </w:rPr>
      </w:pPr>
      <w:r w:rsidRPr="00555B03">
        <w:rPr>
          <w:rFonts w:eastAsiaTheme="majorEastAsia" w:cstheme="minorHAnsi"/>
        </w:rPr>
        <w:t>———. 202</w:t>
      </w:r>
      <w:r>
        <w:rPr>
          <w:rFonts w:eastAsiaTheme="majorEastAsia" w:cstheme="minorHAnsi"/>
        </w:rPr>
        <w:t>0</w:t>
      </w:r>
      <w:r w:rsidRPr="00555B03">
        <w:rPr>
          <w:rFonts w:eastAsiaTheme="majorEastAsia" w:cstheme="minorHAnsi"/>
        </w:rPr>
        <w:t xml:space="preserve">a. </w:t>
      </w:r>
      <w:r w:rsidRPr="002245FC">
        <w:rPr>
          <w:rFonts w:eastAsiaTheme="majorEastAsia" w:cstheme="minorHAnsi"/>
          <w:i/>
        </w:rPr>
        <w:t>Corporate Tax Statistics</w:t>
      </w:r>
      <w:r w:rsidR="005D4988" w:rsidRPr="002245FC">
        <w:rPr>
          <w:rFonts w:eastAsiaTheme="majorEastAsia" w:cstheme="minorHAnsi"/>
          <w:i/>
        </w:rPr>
        <w:t>, Second Edition</w:t>
      </w:r>
      <w:r w:rsidRPr="002245FC">
        <w:rPr>
          <w:rFonts w:eastAsiaTheme="majorEastAsia" w:cstheme="minorHAnsi"/>
          <w:i/>
        </w:rPr>
        <w:t>.</w:t>
      </w:r>
      <w:r w:rsidRPr="00555B03">
        <w:rPr>
          <w:rFonts w:eastAsiaTheme="majorEastAsia" w:cstheme="minorHAnsi"/>
        </w:rPr>
        <w:t xml:space="preserve"> </w:t>
      </w:r>
      <w:r w:rsidR="00F07269" w:rsidRPr="00F07269">
        <w:t xml:space="preserve">OECD Publishing, Paris, </w:t>
      </w:r>
      <w:hyperlink r:id="rId61" w:history="1">
        <w:r w:rsidR="00F07269" w:rsidRPr="006B039F">
          <w:rPr>
            <w:rStyle w:val="Hyperlink"/>
          </w:rPr>
          <w:t>https://doi.org/10.1787/ff4d4ce8-en</w:t>
        </w:r>
      </w:hyperlink>
    </w:p>
    <w:p w14:paraId="1627E600" w14:textId="5037DCAE" w:rsidR="00525612" w:rsidRPr="000E2A98" w:rsidRDefault="009927CE" w:rsidP="000B25E6">
      <w:pPr>
        <w:rPr>
          <w:rFonts w:eastAsiaTheme="majorEastAsia" w:cstheme="minorHAnsi"/>
        </w:rPr>
      </w:pPr>
      <w:r w:rsidRPr="000B3D76">
        <w:rPr>
          <w:rFonts w:eastAsiaTheme="majorEastAsia" w:cstheme="minorHAnsi"/>
        </w:rPr>
        <w:t>———</w:t>
      </w:r>
      <w:r w:rsidR="00525612" w:rsidRPr="000E2A98">
        <w:rPr>
          <w:rFonts w:eastAsiaTheme="majorEastAsia" w:cstheme="minorHAnsi"/>
        </w:rPr>
        <w:t xml:space="preserve">. 2020b. </w:t>
      </w:r>
      <w:r w:rsidR="00525612" w:rsidRPr="000E2A98">
        <w:rPr>
          <w:rFonts w:eastAsiaTheme="majorEastAsia" w:cstheme="minorHAnsi"/>
          <w:i/>
        </w:rPr>
        <w:t>OECD Investment Policy Reviews: Indonesia 2020</w:t>
      </w:r>
      <w:r w:rsidR="00525612" w:rsidRPr="000E2A98">
        <w:rPr>
          <w:rFonts w:eastAsiaTheme="majorEastAsia" w:cstheme="minorHAnsi"/>
        </w:rPr>
        <w:t xml:space="preserve">. Chapter 6: Investment promotion and facilitation in Indonesia. </w:t>
      </w:r>
      <w:r w:rsidRPr="009927CE">
        <w:rPr>
          <w:rFonts w:eastAsiaTheme="majorEastAsia" w:cstheme="minorHAnsi"/>
        </w:rPr>
        <w:t>Paris: OECD.</w:t>
      </w:r>
    </w:p>
    <w:p w14:paraId="13AF4899" w14:textId="6212150F" w:rsidR="00525612" w:rsidRPr="000E2A98" w:rsidRDefault="0038545B" w:rsidP="000B25E6">
      <w:pPr>
        <w:rPr>
          <w:rFonts w:eastAsiaTheme="majorEastAsia" w:cstheme="minorHAnsi"/>
          <w:i/>
          <w:iCs/>
        </w:rPr>
      </w:pPr>
      <w:r w:rsidRPr="009927CE">
        <w:rPr>
          <w:rFonts w:eastAsiaTheme="majorEastAsia" w:cstheme="minorHAnsi"/>
        </w:rPr>
        <w:t>———</w:t>
      </w:r>
      <w:r w:rsidR="00525612" w:rsidRPr="000E2A98">
        <w:rPr>
          <w:rFonts w:eastAsiaTheme="majorEastAsia" w:cstheme="minorHAnsi"/>
        </w:rPr>
        <w:t xml:space="preserve">. 2022. </w:t>
      </w:r>
      <w:r w:rsidR="00525612" w:rsidRPr="00723E73">
        <w:rPr>
          <w:rFonts w:eastAsiaTheme="majorEastAsia" w:cstheme="minorHAnsi"/>
          <w:i/>
          <w:iCs/>
        </w:rPr>
        <w:t>Consumption Tax Trends</w:t>
      </w:r>
      <w:r w:rsidRPr="00723E73">
        <w:rPr>
          <w:rFonts w:eastAsiaTheme="majorEastAsia" w:cstheme="minorHAnsi"/>
          <w:i/>
          <w:iCs/>
        </w:rPr>
        <w:t xml:space="preserve"> 2022: VAT/GST and Excise, Core Design Features and Trends</w:t>
      </w:r>
      <w:r w:rsidR="00525612" w:rsidRPr="00723E73">
        <w:rPr>
          <w:rFonts w:eastAsiaTheme="majorEastAsia" w:cstheme="minorHAnsi"/>
          <w:i/>
          <w:iCs/>
        </w:rPr>
        <w:t>.</w:t>
      </w:r>
      <w:r w:rsidRPr="009927CE">
        <w:rPr>
          <w:rFonts w:eastAsiaTheme="majorEastAsia" w:cstheme="minorHAnsi"/>
        </w:rPr>
        <w:t xml:space="preserve"> Paris: OECD.</w:t>
      </w:r>
      <w:r w:rsidR="00723E73">
        <w:rPr>
          <w:rFonts w:eastAsiaTheme="majorEastAsia" w:cstheme="minorHAnsi"/>
        </w:rPr>
        <w:t xml:space="preserve"> </w:t>
      </w:r>
      <w:hyperlink r:id="rId62" w:history="1">
        <w:r w:rsidR="00723E73" w:rsidRPr="006B039F">
          <w:rPr>
            <w:rStyle w:val="Hyperlink"/>
            <w:rFonts w:eastAsiaTheme="majorEastAsia" w:cstheme="minorHAnsi"/>
          </w:rPr>
          <w:t>https://doi.org/10.1787/6525a942-en</w:t>
        </w:r>
      </w:hyperlink>
      <w:r w:rsidR="00723E73">
        <w:rPr>
          <w:rFonts w:eastAsiaTheme="majorEastAsia" w:cstheme="minorHAnsi"/>
        </w:rPr>
        <w:t xml:space="preserve"> </w:t>
      </w:r>
    </w:p>
    <w:p w14:paraId="2BFBFB9D" w14:textId="009437AE" w:rsidR="005B6A76" w:rsidRDefault="005B6A76" w:rsidP="000B25E6">
      <w:bookmarkStart w:id="75" w:name="_Hlk179818967"/>
      <w:r w:rsidRPr="00555B03">
        <w:rPr>
          <w:rFonts w:eastAsiaTheme="majorEastAsia" w:cstheme="minorHAnsi"/>
        </w:rPr>
        <w:t>———. 2023</w:t>
      </w:r>
      <w:r w:rsidR="00005F67">
        <w:rPr>
          <w:rFonts w:eastAsiaTheme="majorEastAsia" w:cstheme="minorHAnsi"/>
        </w:rPr>
        <w:t>a</w:t>
      </w:r>
      <w:r w:rsidRPr="00555B03">
        <w:rPr>
          <w:rFonts w:eastAsiaTheme="majorEastAsia" w:cstheme="minorHAnsi"/>
        </w:rPr>
        <w:t xml:space="preserve">. </w:t>
      </w:r>
      <w:r w:rsidRPr="00555B03">
        <w:rPr>
          <w:rFonts w:eastAsiaTheme="majorEastAsia" w:cstheme="minorHAnsi"/>
          <w:iCs/>
        </w:rPr>
        <w:t>Corporate Tax Statistics: Statutory corporate income tax rates, 2023.</w:t>
      </w:r>
      <w:r w:rsidRPr="00555B03">
        <w:rPr>
          <w:rFonts w:eastAsiaTheme="majorEastAsia" w:cstheme="minorHAnsi"/>
        </w:rPr>
        <w:t xml:space="preserve"> </w:t>
      </w:r>
      <w:hyperlink r:id="rId63" w:history="1">
        <w:r w:rsidR="00432A50" w:rsidRPr="006B039F">
          <w:rPr>
            <w:rStyle w:val="Hyperlink"/>
          </w:rPr>
          <w:t>https://doi.org/10.1787/983f251a-en</w:t>
        </w:r>
      </w:hyperlink>
      <w:r w:rsidR="00F80A53">
        <w:t xml:space="preserve"> </w:t>
      </w:r>
    </w:p>
    <w:p w14:paraId="57885E5B" w14:textId="0AE41F6D" w:rsidR="00C94DF5" w:rsidRPr="00555B03" w:rsidRDefault="00C94DF5" w:rsidP="00005F67">
      <w:pPr>
        <w:ind w:left="720" w:hanging="720"/>
        <w:rPr>
          <w:rFonts w:eastAsiaTheme="majorEastAsia" w:cstheme="minorHAnsi"/>
        </w:rPr>
      </w:pPr>
      <w:r w:rsidRPr="00555B03">
        <w:rPr>
          <w:rFonts w:eastAsiaTheme="majorEastAsia" w:cstheme="minorHAnsi"/>
        </w:rPr>
        <w:t>———.</w:t>
      </w:r>
      <w:r w:rsidRPr="00C94DF5">
        <w:rPr>
          <w:rFonts w:eastAsiaTheme="majorEastAsia" w:cstheme="minorHAnsi"/>
        </w:rPr>
        <w:t>202</w:t>
      </w:r>
      <w:r>
        <w:rPr>
          <w:rFonts w:eastAsiaTheme="majorEastAsia" w:cstheme="minorHAnsi"/>
        </w:rPr>
        <w:t>3</w:t>
      </w:r>
      <w:r w:rsidR="00005F67">
        <w:rPr>
          <w:rFonts w:eastAsiaTheme="majorEastAsia" w:cstheme="minorHAnsi"/>
        </w:rPr>
        <w:t>b</w:t>
      </w:r>
      <w:r>
        <w:rPr>
          <w:rFonts w:eastAsiaTheme="majorEastAsia" w:cstheme="minorHAnsi"/>
        </w:rPr>
        <w:t>.</w:t>
      </w:r>
      <w:r w:rsidRPr="00C94DF5">
        <w:rPr>
          <w:rFonts w:eastAsiaTheme="majorEastAsia" w:cstheme="minorHAnsi"/>
        </w:rPr>
        <w:t xml:space="preserve"> Data warehouse</w:t>
      </w:r>
      <w:r>
        <w:rPr>
          <w:rFonts w:eastAsiaTheme="majorEastAsia" w:cstheme="minorHAnsi"/>
        </w:rPr>
        <w:t>.</w:t>
      </w:r>
      <w:r w:rsidRPr="00C94DF5">
        <w:rPr>
          <w:rFonts w:eastAsiaTheme="majorEastAsia" w:cstheme="minorHAnsi"/>
        </w:rPr>
        <w:t xml:space="preserve"> </w:t>
      </w:r>
      <w:proofErr w:type="spellStart"/>
      <w:r w:rsidRPr="00C94DF5">
        <w:rPr>
          <w:rFonts w:eastAsiaTheme="majorEastAsia" w:cstheme="minorHAnsi"/>
        </w:rPr>
        <w:t>OECD.Stat</w:t>
      </w:r>
      <w:proofErr w:type="spellEnd"/>
      <w:r w:rsidRPr="00C94DF5">
        <w:rPr>
          <w:rFonts w:eastAsiaTheme="majorEastAsia" w:cstheme="minorHAnsi"/>
        </w:rPr>
        <w:t xml:space="preserve"> (database)</w:t>
      </w:r>
      <w:r>
        <w:rPr>
          <w:rFonts w:eastAsiaTheme="majorEastAsia" w:cstheme="minorHAnsi"/>
        </w:rPr>
        <w:t>.</w:t>
      </w:r>
      <w:r w:rsidRPr="00C94DF5">
        <w:rPr>
          <w:rFonts w:eastAsiaTheme="majorEastAsia" w:cstheme="minorHAnsi"/>
        </w:rPr>
        <w:t xml:space="preserve"> </w:t>
      </w:r>
      <w:hyperlink r:id="rId64" w:history="1">
        <w:r w:rsidR="00F62647" w:rsidRPr="006B039F">
          <w:rPr>
            <w:rStyle w:val="Hyperlink"/>
            <w:rFonts w:eastAsiaTheme="majorEastAsia" w:cstheme="minorHAnsi"/>
          </w:rPr>
          <w:t>https://doi.org/10.1787/data-00900-en</w:t>
        </w:r>
      </w:hyperlink>
      <w:r w:rsidR="00F62647">
        <w:t xml:space="preserve">. Accessed June 2023. </w:t>
      </w:r>
    </w:p>
    <w:bookmarkEnd w:id="75"/>
    <w:p w14:paraId="4B148B40" w14:textId="16F09C86" w:rsidR="00944AA7" w:rsidRDefault="00525612" w:rsidP="000B25E6">
      <w:pPr>
        <w:rPr>
          <w:rFonts w:eastAsiaTheme="majorEastAsia" w:cstheme="minorHAnsi"/>
        </w:rPr>
      </w:pPr>
      <w:r w:rsidRPr="000E2A98">
        <w:rPr>
          <w:rFonts w:eastAsiaTheme="majorEastAsia" w:cstheme="minorHAnsi"/>
        </w:rPr>
        <w:t xml:space="preserve">PricewaterhouseCoopers. 2015. </w:t>
      </w:r>
      <w:r w:rsidRPr="000E2A98">
        <w:rPr>
          <w:rFonts w:eastAsiaTheme="majorEastAsia" w:cstheme="minorHAnsi"/>
          <w:i/>
          <w:iCs/>
        </w:rPr>
        <w:t>Choosing your course: Corporate taxation of the shipping industry around the globe.</w:t>
      </w:r>
      <w:r w:rsidRPr="000E2A98">
        <w:rPr>
          <w:rFonts w:eastAsiaTheme="majorEastAsia" w:cstheme="minorHAnsi"/>
        </w:rPr>
        <w:t xml:space="preserve"> </w:t>
      </w:r>
      <w:hyperlink r:id="rId65" w:history="1">
        <w:r w:rsidR="00E55507" w:rsidRPr="006B039F">
          <w:rPr>
            <w:rStyle w:val="Hyperlink"/>
            <w:rFonts w:eastAsiaTheme="majorEastAsia" w:cstheme="minorHAnsi"/>
          </w:rPr>
          <w:t>https://www.pwc.es/es/publicaciones/transporte/pwc-choosing-your-course.pdf</w:t>
        </w:r>
      </w:hyperlink>
      <w:r w:rsidR="00E55507">
        <w:rPr>
          <w:rFonts w:eastAsiaTheme="majorEastAsia" w:cstheme="minorHAnsi"/>
        </w:rPr>
        <w:t xml:space="preserve"> </w:t>
      </w:r>
    </w:p>
    <w:p w14:paraId="461FE825" w14:textId="3FE937D2" w:rsidR="003424FA" w:rsidRPr="003424FA" w:rsidRDefault="007A023A" w:rsidP="000B25E6">
      <w:pPr>
        <w:rPr>
          <w:rFonts w:eastAsiaTheme="majorEastAsia" w:cstheme="minorHAnsi"/>
        </w:rPr>
      </w:pPr>
      <w:r w:rsidRPr="00555B03">
        <w:rPr>
          <w:rFonts w:eastAsiaTheme="majorEastAsia" w:cstheme="minorHAnsi"/>
        </w:rPr>
        <w:t>———</w:t>
      </w:r>
      <w:r w:rsidR="00E55507" w:rsidRPr="000E2A98">
        <w:rPr>
          <w:rFonts w:eastAsiaTheme="majorEastAsia" w:cstheme="minorHAnsi"/>
        </w:rPr>
        <w:t xml:space="preserve">. </w:t>
      </w:r>
      <w:r w:rsidR="00721FA1">
        <w:rPr>
          <w:rFonts w:eastAsiaTheme="majorEastAsia" w:cstheme="minorHAnsi"/>
        </w:rPr>
        <w:t xml:space="preserve">2023. </w:t>
      </w:r>
      <w:r w:rsidR="003424FA" w:rsidRPr="001E52B0">
        <w:rPr>
          <w:rFonts w:eastAsiaTheme="majorEastAsia" w:cstheme="minorHAnsi"/>
          <w:i/>
          <w:iCs/>
        </w:rPr>
        <w:t>Corporate income tax (CIT) rates</w:t>
      </w:r>
      <w:r w:rsidR="00D4103F" w:rsidRPr="001E52B0">
        <w:rPr>
          <w:rFonts w:eastAsiaTheme="majorEastAsia" w:cstheme="minorHAnsi"/>
          <w:i/>
          <w:iCs/>
        </w:rPr>
        <w:t>, Headline rates for WWTS territories.</w:t>
      </w:r>
      <w:r w:rsidR="00D4103F">
        <w:rPr>
          <w:rFonts w:eastAsiaTheme="majorEastAsia" w:cstheme="minorHAnsi"/>
        </w:rPr>
        <w:t xml:space="preserve"> </w:t>
      </w:r>
      <w:r w:rsidR="001E52B0">
        <w:rPr>
          <w:rFonts w:eastAsiaTheme="majorEastAsia" w:cstheme="minorHAnsi"/>
        </w:rPr>
        <w:t xml:space="preserve">Worldwide Tax Summaries. </w:t>
      </w:r>
      <w:r w:rsidR="00F64E06">
        <w:rPr>
          <w:rFonts w:eastAsiaTheme="majorEastAsia" w:cstheme="minorHAnsi"/>
        </w:rPr>
        <w:t xml:space="preserve">Retrieved June 2023, from </w:t>
      </w:r>
      <w:hyperlink r:id="rId66" w:history="1">
        <w:r w:rsidR="00875737" w:rsidRPr="006B039F">
          <w:rPr>
            <w:rStyle w:val="Hyperlink"/>
            <w:rFonts w:eastAsiaTheme="majorEastAsia" w:cstheme="minorHAnsi"/>
          </w:rPr>
          <w:t>https://taxsummaries.pwc.com/quick-charts/corporate-income-tax-cit-rates</w:t>
        </w:r>
      </w:hyperlink>
      <w:r w:rsidR="00875737">
        <w:rPr>
          <w:rFonts w:eastAsiaTheme="majorEastAsia" w:cstheme="minorHAnsi"/>
        </w:rPr>
        <w:t xml:space="preserve"> </w:t>
      </w:r>
    </w:p>
    <w:p w14:paraId="55ED5346" w14:textId="2606CA1B" w:rsidR="00525612" w:rsidRPr="000E2A98" w:rsidRDefault="00525612" w:rsidP="000B25E6">
      <w:pPr>
        <w:rPr>
          <w:rFonts w:eastAsiaTheme="majorEastAsia" w:cstheme="minorHAnsi"/>
        </w:rPr>
      </w:pPr>
      <w:hyperlink w:history="1"/>
      <w:r w:rsidRPr="000E2A98">
        <w:rPr>
          <w:rFonts w:eastAsiaTheme="majorEastAsia" w:cstheme="minorHAnsi"/>
        </w:rPr>
        <w:t xml:space="preserve">Prichard, W., A. Custers, R. Dom, S. Davenport, and M. Roscitt. 2019. </w:t>
      </w:r>
      <w:r w:rsidRPr="000E2A98">
        <w:rPr>
          <w:rFonts w:eastAsiaTheme="majorEastAsia" w:cstheme="minorHAnsi"/>
          <w:i/>
          <w:iCs/>
        </w:rPr>
        <w:t xml:space="preserve">Innovations in Tax Compliance: Conceptual Framework. </w:t>
      </w:r>
      <w:r w:rsidRPr="000E2A98">
        <w:rPr>
          <w:rFonts w:eastAsiaTheme="majorEastAsia" w:cstheme="minorHAnsi"/>
        </w:rPr>
        <w:t>World Bank Policy Research Working Paper 9032.</w:t>
      </w:r>
    </w:p>
    <w:p w14:paraId="0CA09640" w14:textId="7FA548C5" w:rsidR="00525612" w:rsidRPr="000E2A98" w:rsidRDefault="00525612" w:rsidP="000B25E6">
      <w:pPr>
        <w:rPr>
          <w:rFonts w:eastAsiaTheme="majorEastAsia" w:cstheme="minorHAnsi"/>
        </w:rPr>
      </w:pPr>
      <w:r w:rsidRPr="000E2A98">
        <w:rPr>
          <w:rFonts w:eastAsiaTheme="majorEastAsia" w:cstheme="minorHAnsi"/>
        </w:rPr>
        <w:t xml:space="preserve">Prospera. 2022. </w:t>
      </w:r>
      <w:r w:rsidRPr="000E2A98">
        <w:rPr>
          <w:rFonts w:eastAsiaTheme="majorEastAsia" w:cstheme="minorHAnsi"/>
          <w:i/>
          <w:iCs/>
        </w:rPr>
        <w:t>Reforming the Tax on Business Income.</w:t>
      </w:r>
      <w:r w:rsidRPr="000E2A98">
        <w:rPr>
          <w:rFonts w:eastAsiaTheme="majorEastAsia" w:cstheme="minorHAnsi"/>
        </w:rPr>
        <w:t xml:space="preserve"> Mimeo</w:t>
      </w:r>
      <w:r w:rsidR="009927CE" w:rsidRPr="009927CE">
        <w:rPr>
          <w:rFonts w:eastAsiaTheme="majorEastAsia" w:cstheme="minorHAnsi"/>
        </w:rPr>
        <w:t>.</w:t>
      </w:r>
    </w:p>
    <w:p w14:paraId="07B0C55C" w14:textId="13D76893" w:rsidR="00525612" w:rsidRPr="000E2A98" w:rsidRDefault="00525612" w:rsidP="000B25E6">
      <w:pPr>
        <w:rPr>
          <w:rFonts w:eastAsiaTheme="majorEastAsia" w:cstheme="minorHAnsi"/>
        </w:rPr>
      </w:pPr>
      <w:r w:rsidRPr="000E2A98">
        <w:rPr>
          <w:rFonts w:eastAsiaTheme="majorEastAsia" w:cstheme="minorHAnsi"/>
        </w:rPr>
        <w:t xml:space="preserve">Rothenberg, A.D., S. Bazzi, S. Nataraj, and A. Chari. 2017. </w:t>
      </w:r>
      <w:r w:rsidRPr="000E2A98">
        <w:rPr>
          <w:rFonts w:eastAsiaTheme="majorEastAsia" w:cstheme="minorHAnsi"/>
          <w:i/>
          <w:iCs/>
        </w:rPr>
        <w:t>When Regional Policies Fail: An Evaluation of Indonesia’s Integrated Economic Development Zones.</w:t>
      </w:r>
    </w:p>
    <w:p w14:paraId="71F2329F" w14:textId="77777777" w:rsidR="00F737CB" w:rsidRPr="00356C22" w:rsidRDefault="00F737CB" w:rsidP="000B25E6">
      <w:pPr>
        <w:rPr>
          <w:rFonts w:eastAsiaTheme="majorEastAsia" w:cstheme="minorHAnsi"/>
          <w:color w:val="2F5496" w:themeColor="accent1" w:themeShade="BF"/>
          <w:sz w:val="24"/>
          <w:szCs w:val="24"/>
        </w:rPr>
      </w:pPr>
      <w:r w:rsidRPr="001B7C52">
        <w:rPr>
          <w:rFonts w:eastAsiaTheme="majorEastAsia" w:cstheme="minorHAnsi"/>
        </w:rPr>
        <w:t>Qian</w:t>
      </w:r>
      <w:r>
        <w:rPr>
          <w:rFonts w:eastAsiaTheme="majorEastAsia" w:cstheme="minorHAnsi"/>
        </w:rPr>
        <w:t xml:space="preserve">, R. and G. </w:t>
      </w:r>
      <w:r w:rsidRPr="001B7C52">
        <w:rPr>
          <w:rFonts w:eastAsiaTheme="majorEastAsia" w:cstheme="minorHAnsi"/>
        </w:rPr>
        <w:t>Poniatowski</w:t>
      </w:r>
      <w:r>
        <w:rPr>
          <w:rFonts w:eastAsiaTheme="majorEastAsia" w:cstheme="minorHAnsi"/>
        </w:rPr>
        <w:t>. 2024</w:t>
      </w:r>
      <w:r w:rsidRPr="00F737CB">
        <w:rPr>
          <w:rFonts w:eastAsiaTheme="majorEastAsia" w:cstheme="minorHAnsi"/>
        </w:rPr>
        <w:t xml:space="preserve">. </w:t>
      </w:r>
      <w:r w:rsidRPr="00F737CB">
        <w:rPr>
          <w:rFonts w:eastAsiaTheme="majorEastAsia" w:cstheme="minorHAnsi"/>
          <w:i/>
          <w:iCs/>
        </w:rPr>
        <w:t>Estimating VAT and CIT Gaps in Indonesia.</w:t>
      </w:r>
      <w:r w:rsidRPr="00F737CB">
        <w:rPr>
          <w:rFonts w:eastAsiaTheme="majorEastAsia" w:cstheme="minorHAnsi"/>
        </w:rPr>
        <w:t xml:space="preserve"> </w:t>
      </w:r>
      <w:r>
        <w:rPr>
          <w:rFonts w:eastAsiaTheme="majorEastAsia" w:cstheme="minorHAnsi"/>
        </w:rPr>
        <w:t xml:space="preserve">Prosperity Insight No. </w:t>
      </w:r>
      <w:r w:rsidRPr="00382BB0">
        <w:rPr>
          <w:rFonts w:eastAsiaTheme="majorEastAsia" w:cstheme="minorHAnsi"/>
          <w:highlight w:val="yellow"/>
        </w:rPr>
        <w:t>XXXX</w:t>
      </w:r>
      <w:r>
        <w:rPr>
          <w:rFonts w:eastAsiaTheme="majorEastAsia" w:cstheme="minorHAnsi"/>
        </w:rPr>
        <w:t xml:space="preserve">. </w:t>
      </w:r>
      <w:r w:rsidRPr="00F737CB">
        <w:rPr>
          <w:rFonts w:eastAsiaTheme="majorEastAsia" w:cstheme="minorHAnsi"/>
        </w:rPr>
        <w:t xml:space="preserve">World Bank. </w:t>
      </w:r>
    </w:p>
    <w:p w14:paraId="238FFF10" w14:textId="77777777" w:rsidR="00525612" w:rsidRPr="000E2A98" w:rsidRDefault="00525612" w:rsidP="000B25E6">
      <w:pPr>
        <w:rPr>
          <w:rFonts w:eastAsiaTheme="majorEastAsia" w:cstheme="minorHAnsi"/>
          <w:i/>
        </w:rPr>
      </w:pPr>
      <w:proofErr w:type="spellStart"/>
      <w:r w:rsidRPr="000E2A98">
        <w:rPr>
          <w:rFonts w:eastAsiaTheme="majorEastAsia" w:cstheme="minorHAnsi"/>
        </w:rPr>
        <w:t>Saputro</w:t>
      </w:r>
      <w:proofErr w:type="spellEnd"/>
      <w:r w:rsidRPr="000E2A98">
        <w:rPr>
          <w:rFonts w:eastAsiaTheme="majorEastAsia" w:cstheme="minorHAnsi"/>
        </w:rPr>
        <w:t xml:space="preserve">, H. 2020. </w:t>
      </w:r>
      <w:r w:rsidRPr="000E2A98">
        <w:rPr>
          <w:rFonts w:eastAsiaTheme="majorEastAsia" w:cstheme="minorHAnsi"/>
          <w:i/>
        </w:rPr>
        <w:t>How Do Small Taxpayers Respond to Tax Simplification: Evidence from the Indonesian Turnover Tax Reform.</w:t>
      </w:r>
    </w:p>
    <w:p w14:paraId="6638DBD5" w14:textId="18F4EA5C" w:rsidR="00525612" w:rsidRPr="000E2A98" w:rsidRDefault="00525612" w:rsidP="000B25E6">
      <w:pPr>
        <w:rPr>
          <w:rFonts w:eastAsiaTheme="majorEastAsia" w:cstheme="minorHAnsi"/>
        </w:rPr>
      </w:pPr>
      <w:proofErr w:type="spellStart"/>
      <w:r w:rsidRPr="000E2A98">
        <w:rPr>
          <w:rFonts w:eastAsiaTheme="majorEastAsia" w:cstheme="minorHAnsi"/>
        </w:rPr>
        <w:t>Satyadini</w:t>
      </w:r>
      <w:proofErr w:type="spellEnd"/>
      <w:r w:rsidRPr="000E2A98">
        <w:rPr>
          <w:rFonts w:eastAsiaTheme="majorEastAsia" w:cstheme="minorHAnsi"/>
        </w:rPr>
        <w:t xml:space="preserve">, A. and A. Rosid. 2023. </w:t>
      </w:r>
      <w:r w:rsidR="000B38D2" w:rsidRPr="009927CE">
        <w:rPr>
          <w:rFonts w:eastAsiaTheme="majorEastAsia" w:cstheme="minorHAnsi"/>
        </w:rPr>
        <w:t>“</w:t>
      </w:r>
      <w:r w:rsidRPr="000E2A98">
        <w:rPr>
          <w:rFonts w:eastAsiaTheme="majorEastAsia" w:cstheme="minorHAnsi"/>
        </w:rPr>
        <w:t xml:space="preserve">Does Tax Simplification Motivate Small Businesses to </w:t>
      </w:r>
      <w:r w:rsidR="000B38D2" w:rsidRPr="000B3D76">
        <w:rPr>
          <w:rFonts w:eastAsiaTheme="majorEastAsia" w:cstheme="minorHAnsi"/>
        </w:rPr>
        <w:t>b</w:t>
      </w:r>
      <w:r w:rsidRPr="000E2A98">
        <w:rPr>
          <w:rFonts w:eastAsiaTheme="majorEastAsia" w:cstheme="minorHAnsi"/>
        </w:rPr>
        <w:t>e More Compliant? Evidence from a Regression Discontinuity in Indonesia</w:t>
      </w:r>
      <w:r w:rsidR="000B38D2" w:rsidRPr="009927CE">
        <w:rPr>
          <w:rFonts w:eastAsiaTheme="majorEastAsia" w:cstheme="minorHAnsi"/>
        </w:rPr>
        <w:t>.”</w:t>
      </w:r>
      <w:r w:rsidRPr="000E2A98">
        <w:rPr>
          <w:rFonts w:eastAsiaTheme="majorEastAsia" w:cstheme="minorHAnsi"/>
        </w:rPr>
        <w:t xml:space="preserve"> </w:t>
      </w:r>
      <w:r w:rsidRPr="000E2A98">
        <w:rPr>
          <w:rFonts w:eastAsiaTheme="majorEastAsia" w:cstheme="minorHAnsi"/>
          <w:i/>
          <w:iCs/>
        </w:rPr>
        <w:t>Bulletin of Indonesian Economic Studies</w:t>
      </w:r>
      <w:r w:rsidRPr="000E2A98">
        <w:rPr>
          <w:rFonts w:eastAsiaTheme="majorEastAsia" w:cstheme="minorHAnsi"/>
        </w:rPr>
        <w:t xml:space="preserve"> </w:t>
      </w:r>
      <w:r w:rsidR="000B38D2" w:rsidRPr="009927CE">
        <w:rPr>
          <w:rFonts w:eastAsiaTheme="majorEastAsia" w:cstheme="minorHAnsi"/>
        </w:rPr>
        <w:t>60(2): 217-238.</w:t>
      </w:r>
    </w:p>
    <w:p w14:paraId="2E565E1C" w14:textId="17ACD792" w:rsidR="00525612" w:rsidRPr="000E2A98" w:rsidRDefault="00525612" w:rsidP="000B25E6">
      <w:pPr>
        <w:rPr>
          <w:rFonts w:eastAsiaTheme="majorEastAsia" w:cstheme="minorHAnsi"/>
        </w:rPr>
      </w:pPr>
      <w:r w:rsidRPr="000E2A98">
        <w:rPr>
          <w:rFonts w:eastAsiaTheme="majorEastAsia" w:cstheme="minorHAnsi"/>
        </w:rPr>
        <w:t>Statista. 202</w:t>
      </w:r>
      <w:r w:rsidR="000B38D2" w:rsidRPr="009927CE">
        <w:rPr>
          <w:rFonts w:eastAsiaTheme="majorEastAsia" w:cstheme="minorHAnsi"/>
        </w:rPr>
        <w:t>4</w:t>
      </w:r>
      <w:r w:rsidRPr="000E2A98">
        <w:rPr>
          <w:rFonts w:eastAsiaTheme="majorEastAsia" w:cstheme="minorHAnsi"/>
        </w:rPr>
        <w:t xml:space="preserve">. </w:t>
      </w:r>
      <w:r w:rsidRPr="000E2A98">
        <w:rPr>
          <w:rFonts w:eastAsiaTheme="majorEastAsia" w:cstheme="minorHAnsi"/>
          <w:i/>
          <w:iCs/>
        </w:rPr>
        <w:t xml:space="preserve">Average EBIT margins of main container carriers from the first quarter of 2014 to the </w:t>
      </w:r>
      <w:r w:rsidR="000B38D2" w:rsidRPr="009927CE">
        <w:rPr>
          <w:rFonts w:eastAsiaTheme="majorEastAsia" w:cstheme="minorHAnsi"/>
          <w:i/>
          <w:iCs/>
        </w:rPr>
        <w:t>fourth</w:t>
      </w:r>
      <w:r w:rsidRPr="000E2A98">
        <w:rPr>
          <w:rFonts w:eastAsiaTheme="majorEastAsia" w:cstheme="minorHAnsi"/>
          <w:i/>
          <w:iCs/>
        </w:rPr>
        <w:t xml:space="preserve"> quarter of 202</w:t>
      </w:r>
      <w:r w:rsidR="000B38D2" w:rsidRPr="009927CE">
        <w:rPr>
          <w:rFonts w:eastAsiaTheme="majorEastAsia" w:cstheme="minorHAnsi"/>
          <w:i/>
          <w:iCs/>
        </w:rPr>
        <w:t>3</w:t>
      </w:r>
      <w:r w:rsidRPr="000E2A98">
        <w:rPr>
          <w:rFonts w:eastAsiaTheme="majorEastAsia" w:cstheme="minorHAnsi"/>
          <w:i/>
          <w:iCs/>
        </w:rPr>
        <w:t>.</w:t>
      </w:r>
      <w:r w:rsidRPr="000E2A98">
        <w:rPr>
          <w:rFonts w:eastAsiaTheme="majorEastAsia" w:cstheme="minorHAnsi"/>
        </w:rPr>
        <w:t xml:space="preserve"> </w:t>
      </w:r>
      <w:hyperlink r:id="rId67">
        <w:r w:rsidRPr="000E2A98">
          <w:rPr>
            <w:rStyle w:val="Hyperlink"/>
            <w:rFonts w:eastAsiaTheme="majorEastAsia" w:cstheme="minorHAnsi"/>
            <w:color w:val="auto"/>
          </w:rPr>
          <w:t>https://www.statista.com/statistics/1263780/ebit-margins-of-container-carriers-by-quarter/</w:t>
        </w:r>
      </w:hyperlink>
      <w:r w:rsidRPr="000E2A98">
        <w:rPr>
          <w:rFonts w:eastAsiaTheme="majorEastAsia" w:cstheme="minorHAnsi"/>
        </w:rPr>
        <w:t xml:space="preserve">  </w:t>
      </w:r>
    </w:p>
    <w:p w14:paraId="426528F2" w14:textId="450F6183" w:rsidR="00525612" w:rsidRPr="000E2A98" w:rsidRDefault="00525612" w:rsidP="000B25E6">
      <w:pPr>
        <w:rPr>
          <w:rFonts w:eastAsiaTheme="majorEastAsia" w:cstheme="minorHAnsi"/>
          <w:i/>
          <w:iCs/>
        </w:rPr>
      </w:pPr>
      <w:r w:rsidRPr="000E2A98">
        <w:rPr>
          <w:rFonts w:eastAsiaTheme="majorEastAsia" w:cstheme="minorHAnsi"/>
        </w:rPr>
        <w:t xml:space="preserve">Tax Foundation. 2022. </w:t>
      </w:r>
      <w:r w:rsidRPr="000E2A98">
        <w:rPr>
          <w:rFonts w:eastAsiaTheme="majorEastAsia" w:cstheme="minorHAnsi"/>
          <w:i/>
          <w:iCs/>
        </w:rPr>
        <w:t xml:space="preserve">Corporate </w:t>
      </w:r>
      <w:r w:rsidR="000B38D2" w:rsidRPr="009927CE">
        <w:rPr>
          <w:rFonts w:eastAsiaTheme="majorEastAsia" w:cstheme="minorHAnsi"/>
          <w:i/>
          <w:iCs/>
        </w:rPr>
        <w:t>T</w:t>
      </w:r>
      <w:r w:rsidRPr="000E2A98">
        <w:rPr>
          <w:rFonts w:eastAsiaTheme="majorEastAsia" w:cstheme="minorHAnsi"/>
          <w:i/>
          <w:iCs/>
        </w:rPr>
        <w:t xml:space="preserve">ax </w:t>
      </w:r>
      <w:r w:rsidR="000B38D2" w:rsidRPr="009927CE">
        <w:rPr>
          <w:rFonts w:eastAsiaTheme="majorEastAsia" w:cstheme="minorHAnsi"/>
          <w:i/>
          <w:iCs/>
        </w:rPr>
        <w:t>R</w:t>
      </w:r>
      <w:r w:rsidRPr="000E2A98">
        <w:rPr>
          <w:rFonts w:eastAsiaTheme="majorEastAsia" w:cstheme="minorHAnsi"/>
          <w:i/>
          <w:iCs/>
        </w:rPr>
        <w:t xml:space="preserve">ates around the </w:t>
      </w:r>
      <w:r w:rsidR="000B38D2" w:rsidRPr="009927CE">
        <w:rPr>
          <w:rFonts w:eastAsiaTheme="majorEastAsia" w:cstheme="minorHAnsi"/>
          <w:i/>
          <w:iCs/>
        </w:rPr>
        <w:t>W</w:t>
      </w:r>
      <w:r w:rsidRPr="000E2A98">
        <w:rPr>
          <w:rFonts w:eastAsiaTheme="majorEastAsia" w:cstheme="minorHAnsi"/>
          <w:i/>
          <w:iCs/>
        </w:rPr>
        <w:t xml:space="preserve">orld, 2022. </w:t>
      </w:r>
      <w:r w:rsidRPr="000E2A98">
        <w:rPr>
          <w:rFonts w:eastAsiaTheme="majorEastAsia" w:cstheme="minorHAnsi"/>
        </w:rPr>
        <w:t>Article and dataset</w:t>
      </w:r>
      <w:r w:rsidR="000B38D2" w:rsidRPr="009927CE">
        <w:rPr>
          <w:rFonts w:eastAsiaTheme="majorEastAsia" w:cstheme="minorHAnsi"/>
        </w:rPr>
        <w:t>.</w:t>
      </w:r>
      <w:r w:rsidRPr="000E2A98">
        <w:rPr>
          <w:rFonts w:eastAsiaTheme="majorEastAsia" w:cstheme="minorHAnsi"/>
        </w:rPr>
        <w:t xml:space="preserve"> </w:t>
      </w:r>
      <w:hyperlink r:id="rId68" w:history="1">
        <w:r w:rsidRPr="000E2A98">
          <w:rPr>
            <w:rStyle w:val="Hyperlink"/>
            <w:rFonts w:eastAsiaTheme="majorEastAsia" w:cstheme="minorHAnsi"/>
            <w:color w:val="auto"/>
          </w:rPr>
          <w:t>https://taxfoundation.org/publications/corporate-tax-rates-around-the-world/</w:t>
        </w:r>
      </w:hyperlink>
      <w:r w:rsidRPr="000E2A98">
        <w:rPr>
          <w:rFonts w:eastAsiaTheme="majorEastAsia" w:cstheme="minorHAnsi"/>
        </w:rPr>
        <w:t xml:space="preserve"> </w:t>
      </w:r>
    </w:p>
    <w:p w14:paraId="3DE09E69" w14:textId="38A8BEFB" w:rsidR="00525612" w:rsidRPr="000E2A98" w:rsidRDefault="00525612" w:rsidP="000B25E6">
      <w:pPr>
        <w:rPr>
          <w:rFonts w:eastAsiaTheme="majorEastAsia" w:cstheme="minorHAnsi"/>
        </w:rPr>
      </w:pPr>
      <w:r w:rsidRPr="000E2A98">
        <w:rPr>
          <w:rFonts w:eastAsiaTheme="majorEastAsia" w:cstheme="minorHAnsi"/>
        </w:rPr>
        <w:t xml:space="preserve">Thomas, A. 2022. </w:t>
      </w:r>
      <w:r w:rsidR="00695C48" w:rsidRPr="009927CE">
        <w:rPr>
          <w:rFonts w:eastAsiaTheme="majorEastAsia" w:cstheme="minorHAnsi"/>
        </w:rPr>
        <w:t>“</w:t>
      </w:r>
      <w:r w:rsidRPr="000E2A98">
        <w:rPr>
          <w:rFonts w:eastAsiaTheme="majorEastAsia" w:cstheme="minorHAnsi"/>
        </w:rPr>
        <w:t>Reassessing the regressivity of the VAT.</w:t>
      </w:r>
      <w:r w:rsidR="00695C48" w:rsidRPr="000B3D76">
        <w:rPr>
          <w:rFonts w:eastAsiaTheme="majorEastAsia" w:cstheme="minorHAnsi"/>
        </w:rPr>
        <w:t>”</w:t>
      </w:r>
      <w:r w:rsidRPr="000E2A98">
        <w:rPr>
          <w:rFonts w:eastAsiaTheme="majorEastAsia" w:cstheme="minorHAnsi"/>
          <w:i/>
          <w:iCs/>
        </w:rPr>
        <w:t xml:space="preserve"> Fiscal Studies</w:t>
      </w:r>
      <w:r w:rsidR="00695C48" w:rsidRPr="000B3D76">
        <w:rPr>
          <w:rFonts w:eastAsiaTheme="majorEastAsia" w:cstheme="minorHAnsi"/>
          <w:i/>
          <w:iCs/>
        </w:rPr>
        <w:t>: The Journal of Applied Public Economics</w:t>
      </w:r>
      <w:r w:rsidRPr="000E2A98">
        <w:rPr>
          <w:rFonts w:eastAsiaTheme="majorEastAsia" w:cstheme="minorHAnsi"/>
        </w:rPr>
        <w:t xml:space="preserve"> 43(1)</w:t>
      </w:r>
      <w:r w:rsidR="00695C48" w:rsidRPr="009927CE">
        <w:rPr>
          <w:rFonts w:eastAsiaTheme="majorEastAsia" w:cstheme="minorHAnsi"/>
        </w:rPr>
        <w:t>: 23-38</w:t>
      </w:r>
      <w:r w:rsidRPr="000E2A98">
        <w:rPr>
          <w:rFonts w:eastAsiaTheme="majorEastAsia" w:cstheme="minorHAnsi"/>
        </w:rPr>
        <w:t>.</w:t>
      </w:r>
    </w:p>
    <w:p w14:paraId="6D29FB75" w14:textId="5A4ADD6B" w:rsidR="00525612" w:rsidRPr="000E2A98" w:rsidRDefault="00525612" w:rsidP="000B25E6">
      <w:pPr>
        <w:rPr>
          <w:rFonts w:eastAsiaTheme="majorEastAsia" w:cstheme="minorHAnsi"/>
        </w:rPr>
      </w:pPr>
      <w:r w:rsidRPr="000E2A98">
        <w:rPr>
          <w:rFonts w:eastAsiaTheme="majorEastAsia" w:cstheme="minorHAnsi"/>
        </w:rPr>
        <w:t xml:space="preserve">Tovi, T. 2022. </w:t>
      </w:r>
      <w:proofErr w:type="spellStart"/>
      <w:r w:rsidRPr="000E2A98">
        <w:rPr>
          <w:rFonts w:eastAsiaTheme="majorEastAsia" w:cstheme="minorHAnsi"/>
          <w:i/>
          <w:iCs/>
        </w:rPr>
        <w:t>Pengaruh</w:t>
      </w:r>
      <w:proofErr w:type="spellEnd"/>
      <w:r w:rsidRPr="000E2A98">
        <w:rPr>
          <w:rFonts w:eastAsiaTheme="majorEastAsia" w:cstheme="minorHAnsi"/>
          <w:i/>
          <w:iCs/>
        </w:rPr>
        <w:t xml:space="preserve"> </w:t>
      </w:r>
      <w:proofErr w:type="spellStart"/>
      <w:r w:rsidR="00142D3F" w:rsidRPr="000B3D76">
        <w:rPr>
          <w:rFonts w:eastAsiaTheme="majorEastAsia" w:cstheme="minorHAnsi"/>
          <w:i/>
          <w:iCs/>
        </w:rPr>
        <w:t>K</w:t>
      </w:r>
      <w:r w:rsidRPr="000E2A98">
        <w:rPr>
          <w:rFonts w:eastAsiaTheme="majorEastAsia" w:cstheme="minorHAnsi"/>
          <w:i/>
          <w:iCs/>
        </w:rPr>
        <w:t>ebijakan</w:t>
      </w:r>
      <w:proofErr w:type="spellEnd"/>
      <w:r w:rsidRPr="000E2A98">
        <w:rPr>
          <w:rFonts w:eastAsiaTheme="majorEastAsia" w:cstheme="minorHAnsi"/>
          <w:i/>
          <w:iCs/>
        </w:rPr>
        <w:t xml:space="preserve"> </w:t>
      </w:r>
      <w:proofErr w:type="spellStart"/>
      <w:r w:rsidR="00142D3F" w:rsidRPr="000B3D76">
        <w:rPr>
          <w:rFonts w:eastAsiaTheme="majorEastAsia" w:cstheme="minorHAnsi"/>
          <w:i/>
          <w:iCs/>
        </w:rPr>
        <w:t>I</w:t>
      </w:r>
      <w:r w:rsidRPr="000E2A98">
        <w:rPr>
          <w:rFonts w:eastAsiaTheme="majorEastAsia" w:cstheme="minorHAnsi"/>
          <w:i/>
          <w:iCs/>
        </w:rPr>
        <w:t>nsentif</w:t>
      </w:r>
      <w:proofErr w:type="spellEnd"/>
      <w:r w:rsidRPr="000E2A98">
        <w:rPr>
          <w:rFonts w:eastAsiaTheme="majorEastAsia" w:cstheme="minorHAnsi"/>
          <w:i/>
          <w:iCs/>
        </w:rPr>
        <w:t xml:space="preserve"> </w:t>
      </w:r>
      <w:r w:rsidR="00142D3F" w:rsidRPr="000B3D76">
        <w:rPr>
          <w:rFonts w:eastAsiaTheme="majorEastAsia" w:cstheme="minorHAnsi"/>
          <w:i/>
          <w:iCs/>
        </w:rPr>
        <w:t>P</w:t>
      </w:r>
      <w:r w:rsidRPr="000E2A98">
        <w:rPr>
          <w:rFonts w:eastAsiaTheme="majorEastAsia" w:cstheme="minorHAnsi"/>
          <w:i/>
          <w:iCs/>
        </w:rPr>
        <w:t>ajak</w:t>
      </w:r>
      <w:r w:rsidR="00142D3F" w:rsidRPr="000B3D76">
        <w:rPr>
          <w:rFonts w:eastAsiaTheme="majorEastAsia" w:cstheme="minorHAnsi"/>
          <w:i/>
          <w:iCs/>
        </w:rPr>
        <w:t xml:space="preserve"> (Tax Holiday)</w:t>
      </w:r>
      <w:r w:rsidRPr="000E2A98">
        <w:rPr>
          <w:rFonts w:eastAsiaTheme="majorEastAsia" w:cstheme="minorHAnsi"/>
          <w:i/>
          <w:iCs/>
        </w:rPr>
        <w:t xml:space="preserve">, </w:t>
      </w:r>
      <w:proofErr w:type="spellStart"/>
      <w:r w:rsidR="00142D3F" w:rsidRPr="000B3D76">
        <w:rPr>
          <w:rFonts w:eastAsiaTheme="majorEastAsia" w:cstheme="minorHAnsi"/>
          <w:i/>
          <w:iCs/>
        </w:rPr>
        <w:t>I</w:t>
      </w:r>
      <w:r w:rsidRPr="000E2A98">
        <w:rPr>
          <w:rFonts w:eastAsiaTheme="majorEastAsia" w:cstheme="minorHAnsi"/>
          <w:i/>
          <w:iCs/>
        </w:rPr>
        <w:t>nflasi</w:t>
      </w:r>
      <w:proofErr w:type="spellEnd"/>
      <w:r w:rsidRPr="000E2A98">
        <w:rPr>
          <w:rFonts w:eastAsiaTheme="majorEastAsia" w:cstheme="minorHAnsi"/>
          <w:i/>
          <w:iCs/>
        </w:rPr>
        <w:t xml:space="preserve">, </w:t>
      </w:r>
      <w:r w:rsidR="00142D3F" w:rsidRPr="000B3D76">
        <w:rPr>
          <w:rFonts w:eastAsiaTheme="majorEastAsia" w:cstheme="minorHAnsi"/>
          <w:i/>
          <w:iCs/>
        </w:rPr>
        <w:t>K</w:t>
      </w:r>
      <w:r w:rsidRPr="000E2A98">
        <w:rPr>
          <w:rFonts w:eastAsiaTheme="majorEastAsia" w:cstheme="minorHAnsi"/>
          <w:i/>
          <w:iCs/>
        </w:rPr>
        <w:t xml:space="preserve">urs, dan PDB </w:t>
      </w:r>
      <w:proofErr w:type="spellStart"/>
      <w:r w:rsidR="00142D3F" w:rsidRPr="000B3D76">
        <w:rPr>
          <w:rFonts w:eastAsiaTheme="majorEastAsia" w:cstheme="minorHAnsi"/>
          <w:i/>
          <w:iCs/>
        </w:rPr>
        <w:t>T</w:t>
      </w:r>
      <w:r w:rsidRPr="000E2A98">
        <w:rPr>
          <w:rFonts w:eastAsiaTheme="majorEastAsia" w:cstheme="minorHAnsi"/>
          <w:i/>
          <w:iCs/>
        </w:rPr>
        <w:t>erhadap</w:t>
      </w:r>
      <w:proofErr w:type="spellEnd"/>
      <w:r w:rsidRPr="000E2A98">
        <w:rPr>
          <w:rFonts w:eastAsiaTheme="majorEastAsia" w:cstheme="minorHAnsi"/>
          <w:i/>
          <w:iCs/>
        </w:rPr>
        <w:t xml:space="preserve"> </w:t>
      </w:r>
      <w:proofErr w:type="spellStart"/>
      <w:r w:rsidR="00142D3F" w:rsidRPr="000B3D76">
        <w:rPr>
          <w:rFonts w:eastAsiaTheme="majorEastAsia" w:cstheme="minorHAnsi"/>
          <w:i/>
          <w:iCs/>
        </w:rPr>
        <w:t>P</w:t>
      </w:r>
      <w:r w:rsidRPr="000E2A98">
        <w:rPr>
          <w:rFonts w:eastAsiaTheme="majorEastAsia" w:cstheme="minorHAnsi"/>
          <w:i/>
          <w:iCs/>
        </w:rPr>
        <w:t>enanaman</w:t>
      </w:r>
      <w:proofErr w:type="spellEnd"/>
      <w:r w:rsidRPr="000E2A98">
        <w:rPr>
          <w:rFonts w:eastAsiaTheme="majorEastAsia" w:cstheme="minorHAnsi"/>
          <w:i/>
          <w:iCs/>
        </w:rPr>
        <w:t xml:space="preserve"> </w:t>
      </w:r>
      <w:r w:rsidR="00142D3F" w:rsidRPr="000B3D76">
        <w:rPr>
          <w:rFonts w:eastAsiaTheme="majorEastAsia" w:cstheme="minorHAnsi"/>
          <w:i/>
          <w:iCs/>
        </w:rPr>
        <w:t>M</w:t>
      </w:r>
      <w:r w:rsidRPr="000E2A98">
        <w:rPr>
          <w:rFonts w:eastAsiaTheme="majorEastAsia" w:cstheme="minorHAnsi"/>
          <w:i/>
          <w:iCs/>
        </w:rPr>
        <w:t xml:space="preserve">odal </w:t>
      </w:r>
      <w:r w:rsidR="00142D3F" w:rsidRPr="000B3D76">
        <w:rPr>
          <w:rFonts w:eastAsiaTheme="majorEastAsia" w:cstheme="minorHAnsi"/>
          <w:i/>
          <w:iCs/>
        </w:rPr>
        <w:t>A</w:t>
      </w:r>
      <w:r w:rsidRPr="000E2A98">
        <w:rPr>
          <w:rFonts w:eastAsiaTheme="majorEastAsia" w:cstheme="minorHAnsi"/>
          <w:i/>
          <w:iCs/>
        </w:rPr>
        <w:t>sing di Indonesia.</w:t>
      </w:r>
      <w:r w:rsidRPr="000E2A98">
        <w:rPr>
          <w:rFonts w:eastAsiaTheme="majorEastAsia" w:cstheme="minorHAnsi"/>
        </w:rPr>
        <w:t xml:space="preserve"> </w:t>
      </w:r>
      <w:proofErr w:type="spellStart"/>
      <w:r w:rsidRPr="000E2A98">
        <w:rPr>
          <w:rFonts w:eastAsiaTheme="majorEastAsia" w:cstheme="minorHAnsi"/>
        </w:rPr>
        <w:t>Skripsi</w:t>
      </w:r>
      <w:proofErr w:type="spellEnd"/>
      <w:r w:rsidR="00142D3F" w:rsidRPr="009927CE">
        <w:rPr>
          <w:rFonts w:eastAsiaTheme="majorEastAsia" w:cstheme="minorHAnsi"/>
        </w:rPr>
        <w:t xml:space="preserve"> submitted to Universitas </w:t>
      </w:r>
      <w:proofErr w:type="spellStart"/>
      <w:r w:rsidR="00142D3F" w:rsidRPr="009927CE">
        <w:rPr>
          <w:rFonts w:eastAsiaTheme="majorEastAsia" w:cstheme="minorHAnsi"/>
        </w:rPr>
        <w:t>Diponegoro</w:t>
      </w:r>
      <w:proofErr w:type="spellEnd"/>
      <w:r w:rsidR="00142D3F" w:rsidRPr="009927CE">
        <w:rPr>
          <w:rFonts w:eastAsiaTheme="majorEastAsia" w:cstheme="minorHAnsi"/>
        </w:rPr>
        <w:t>, Semarang</w:t>
      </w:r>
      <w:r w:rsidRPr="000E2A98">
        <w:rPr>
          <w:rFonts w:eastAsiaTheme="majorEastAsia" w:cstheme="minorHAnsi"/>
        </w:rPr>
        <w:t xml:space="preserve">. </w:t>
      </w:r>
    </w:p>
    <w:p w14:paraId="7EA0A51F" w14:textId="352DA7E8" w:rsidR="00525612" w:rsidRPr="000E2A98" w:rsidRDefault="00525612" w:rsidP="000B25E6">
      <w:pPr>
        <w:rPr>
          <w:rFonts w:eastAsiaTheme="majorEastAsia" w:cstheme="minorHAnsi"/>
        </w:rPr>
      </w:pPr>
      <w:r w:rsidRPr="000E2A98">
        <w:rPr>
          <w:rFonts w:eastAsiaTheme="majorEastAsia" w:cstheme="minorHAnsi"/>
        </w:rPr>
        <w:lastRenderedPageBreak/>
        <w:t xml:space="preserve">Van Parys, S. and S. James. 2010. </w:t>
      </w:r>
      <w:r w:rsidR="00142D3F" w:rsidRPr="009927CE">
        <w:rPr>
          <w:rFonts w:eastAsiaTheme="majorEastAsia" w:cstheme="minorHAnsi"/>
        </w:rPr>
        <w:t>“</w:t>
      </w:r>
      <w:r w:rsidRPr="000E2A98">
        <w:rPr>
          <w:rFonts w:eastAsiaTheme="majorEastAsia" w:cstheme="minorHAnsi"/>
          <w:iCs/>
        </w:rPr>
        <w:t>The effectiveness of tax incentives in attracting investment: panel data evidence from the CFA Franc zone.</w:t>
      </w:r>
      <w:r w:rsidR="00142D3F" w:rsidRPr="009927CE">
        <w:rPr>
          <w:rFonts w:eastAsiaTheme="majorEastAsia" w:cstheme="minorHAnsi"/>
        </w:rPr>
        <w:t>”</w:t>
      </w:r>
      <w:r w:rsidRPr="000E2A98">
        <w:rPr>
          <w:rFonts w:eastAsiaTheme="majorEastAsia" w:cstheme="minorHAnsi"/>
        </w:rPr>
        <w:t xml:space="preserve"> </w:t>
      </w:r>
      <w:r w:rsidRPr="000E2A98">
        <w:rPr>
          <w:rFonts w:eastAsiaTheme="majorEastAsia" w:cstheme="minorHAnsi"/>
          <w:i/>
          <w:iCs/>
        </w:rPr>
        <w:t>International Tax and Public Finance</w:t>
      </w:r>
      <w:r w:rsidRPr="000E2A98">
        <w:rPr>
          <w:rFonts w:eastAsiaTheme="majorEastAsia" w:cstheme="minorHAnsi"/>
        </w:rPr>
        <w:t xml:space="preserve"> 17(4)</w:t>
      </w:r>
      <w:r w:rsidR="00142D3F" w:rsidRPr="009927CE">
        <w:rPr>
          <w:rFonts w:eastAsiaTheme="majorEastAsia" w:cstheme="minorHAnsi"/>
        </w:rPr>
        <w:t>: 400-429</w:t>
      </w:r>
      <w:r w:rsidRPr="000E2A98">
        <w:rPr>
          <w:rFonts w:eastAsiaTheme="majorEastAsia" w:cstheme="minorHAnsi"/>
        </w:rPr>
        <w:t>.</w:t>
      </w:r>
    </w:p>
    <w:p w14:paraId="73EB8C92" w14:textId="0FBABB68" w:rsidR="00525612" w:rsidRPr="000E2A98" w:rsidRDefault="00525612" w:rsidP="000B25E6">
      <w:pPr>
        <w:rPr>
          <w:rFonts w:eastAsiaTheme="majorEastAsia" w:cstheme="minorHAnsi"/>
        </w:rPr>
      </w:pPr>
      <w:r w:rsidRPr="000E2A98">
        <w:rPr>
          <w:rFonts w:eastAsiaTheme="majorEastAsia" w:cstheme="minorHAnsi"/>
        </w:rPr>
        <w:t>Wicaksono, T.Y., and C. Mangunsong. 202</w:t>
      </w:r>
      <w:r w:rsidR="00142D3F" w:rsidRPr="009927CE">
        <w:rPr>
          <w:rFonts w:eastAsiaTheme="majorEastAsia" w:cstheme="minorHAnsi"/>
        </w:rPr>
        <w:t>3</w:t>
      </w:r>
      <w:r w:rsidRPr="000E2A98">
        <w:rPr>
          <w:rFonts w:eastAsiaTheme="majorEastAsia" w:cstheme="minorHAnsi"/>
        </w:rPr>
        <w:t xml:space="preserve">. </w:t>
      </w:r>
      <w:r w:rsidR="00142D3F" w:rsidRPr="009927CE">
        <w:rPr>
          <w:rFonts w:eastAsiaTheme="majorEastAsia" w:cstheme="minorHAnsi"/>
        </w:rPr>
        <w:t>“</w:t>
      </w:r>
      <w:r w:rsidRPr="000E2A98">
        <w:rPr>
          <w:rFonts w:eastAsiaTheme="majorEastAsia" w:cstheme="minorHAnsi"/>
          <w:iCs/>
        </w:rPr>
        <w:t>Export</w:t>
      </w:r>
      <w:r w:rsidR="00142D3F" w:rsidRPr="000B3D76">
        <w:rPr>
          <w:rFonts w:eastAsiaTheme="majorEastAsia" w:cstheme="minorHAnsi"/>
          <w:iCs/>
        </w:rPr>
        <w:t xml:space="preserve"> </w:t>
      </w:r>
      <w:r w:rsidRPr="000E2A98">
        <w:rPr>
          <w:rFonts w:eastAsiaTheme="majorEastAsia" w:cstheme="minorHAnsi"/>
          <w:iCs/>
        </w:rPr>
        <w:t>Promotion Policies and the Performance of Firms: Evidence from Bonded Zones in Indonesia.</w:t>
      </w:r>
      <w:r w:rsidR="00142D3F" w:rsidRPr="009927CE">
        <w:rPr>
          <w:rFonts w:eastAsiaTheme="majorEastAsia" w:cstheme="minorHAnsi"/>
          <w:iCs/>
        </w:rPr>
        <w:t>”</w:t>
      </w:r>
      <w:r w:rsidRPr="000E2A98">
        <w:rPr>
          <w:rFonts w:eastAsiaTheme="majorEastAsia" w:cstheme="minorHAnsi"/>
        </w:rPr>
        <w:t xml:space="preserve"> </w:t>
      </w:r>
      <w:r w:rsidRPr="000E2A98">
        <w:rPr>
          <w:rFonts w:eastAsiaTheme="majorEastAsia" w:cstheme="minorHAnsi"/>
          <w:i/>
          <w:iCs/>
        </w:rPr>
        <w:t>Bulletin of Indonesian Economic Studies</w:t>
      </w:r>
      <w:r w:rsidRPr="000E2A98">
        <w:rPr>
          <w:rFonts w:eastAsiaTheme="majorEastAsia" w:cstheme="minorHAnsi"/>
        </w:rPr>
        <w:t xml:space="preserve"> 59(1</w:t>
      </w:r>
      <w:r w:rsidR="00142D3F" w:rsidRPr="009927CE">
        <w:rPr>
          <w:rFonts w:eastAsiaTheme="majorEastAsia" w:cstheme="minorHAnsi"/>
        </w:rPr>
        <w:t xml:space="preserve">): </w:t>
      </w:r>
      <w:r w:rsidRPr="000E2A98">
        <w:rPr>
          <w:rFonts w:eastAsiaTheme="majorEastAsia" w:cstheme="minorHAnsi"/>
        </w:rPr>
        <w:t xml:space="preserve">61-89. </w:t>
      </w:r>
    </w:p>
    <w:p w14:paraId="2E7CB60D" w14:textId="509074B9" w:rsidR="00525612" w:rsidRDefault="00525612" w:rsidP="000B25E6">
      <w:pPr>
        <w:rPr>
          <w:rFonts w:eastAsiaTheme="majorEastAsia" w:cstheme="minorHAnsi"/>
        </w:rPr>
      </w:pPr>
      <w:r w:rsidRPr="000E2A98">
        <w:rPr>
          <w:rFonts w:eastAsiaTheme="majorEastAsia" w:cstheme="minorHAnsi"/>
        </w:rPr>
        <w:t xml:space="preserve">World Bank. 2020. </w:t>
      </w:r>
      <w:r w:rsidRPr="000E2A98">
        <w:rPr>
          <w:rFonts w:eastAsiaTheme="majorEastAsia" w:cstheme="minorHAnsi"/>
          <w:i/>
          <w:iCs/>
        </w:rPr>
        <w:t xml:space="preserve">Applying </w:t>
      </w:r>
      <w:r w:rsidR="00142D3F" w:rsidRPr="009927CE">
        <w:rPr>
          <w:rFonts w:eastAsiaTheme="majorEastAsia" w:cstheme="minorHAnsi"/>
          <w:i/>
          <w:iCs/>
        </w:rPr>
        <w:t>B</w:t>
      </w:r>
      <w:r w:rsidRPr="000E2A98">
        <w:rPr>
          <w:rFonts w:eastAsiaTheme="majorEastAsia" w:cstheme="minorHAnsi"/>
          <w:i/>
          <w:iCs/>
        </w:rPr>
        <w:t xml:space="preserve">ehavioral </w:t>
      </w:r>
      <w:r w:rsidR="00142D3F" w:rsidRPr="009927CE">
        <w:rPr>
          <w:rFonts w:eastAsiaTheme="majorEastAsia" w:cstheme="minorHAnsi"/>
          <w:i/>
          <w:iCs/>
        </w:rPr>
        <w:t>I</w:t>
      </w:r>
      <w:r w:rsidRPr="000E2A98">
        <w:rPr>
          <w:rFonts w:eastAsiaTheme="majorEastAsia" w:cstheme="minorHAnsi"/>
          <w:i/>
          <w:iCs/>
        </w:rPr>
        <w:t xml:space="preserve">nsights to </w:t>
      </w:r>
      <w:r w:rsidR="00142D3F" w:rsidRPr="009927CE">
        <w:rPr>
          <w:rFonts w:eastAsiaTheme="majorEastAsia" w:cstheme="minorHAnsi"/>
          <w:i/>
          <w:iCs/>
        </w:rPr>
        <w:t>P</w:t>
      </w:r>
      <w:r w:rsidRPr="000E2A98">
        <w:rPr>
          <w:rFonts w:eastAsiaTheme="majorEastAsia" w:cstheme="minorHAnsi"/>
          <w:i/>
          <w:iCs/>
        </w:rPr>
        <w:t xml:space="preserve">romote SME </w:t>
      </w:r>
      <w:r w:rsidR="00142D3F" w:rsidRPr="009927CE">
        <w:rPr>
          <w:rFonts w:eastAsiaTheme="majorEastAsia" w:cstheme="minorHAnsi"/>
          <w:i/>
          <w:iCs/>
        </w:rPr>
        <w:t>T</w:t>
      </w:r>
      <w:r w:rsidRPr="000E2A98">
        <w:rPr>
          <w:rFonts w:eastAsiaTheme="majorEastAsia" w:cstheme="minorHAnsi"/>
          <w:i/>
          <w:iCs/>
        </w:rPr>
        <w:t xml:space="preserve">ax </w:t>
      </w:r>
      <w:r w:rsidR="00142D3F" w:rsidRPr="009927CE">
        <w:rPr>
          <w:rFonts w:eastAsiaTheme="majorEastAsia" w:cstheme="minorHAnsi"/>
          <w:i/>
          <w:iCs/>
        </w:rPr>
        <w:t>C</w:t>
      </w:r>
      <w:r w:rsidRPr="000E2A98">
        <w:rPr>
          <w:rFonts w:eastAsiaTheme="majorEastAsia" w:cstheme="minorHAnsi"/>
          <w:i/>
          <w:iCs/>
        </w:rPr>
        <w:t xml:space="preserve">ompliance in Indonesia. </w:t>
      </w:r>
      <w:r w:rsidRPr="000E2A98">
        <w:rPr>
          <w:rFonts w:eastAsiaTheme="majorEastAsia" w:cstheme="minorHAnsi"/>
        </w:rPr>
        <w:t>Activity Report.</w:t>
      </w:r>
    </w:p>
    <w:p w14:paraId="3E9D7A92" w14:textId="7A6F4168" w:rsidR="003F0855" w:rsidRPr="00356C22" w:rsidRDefault="00060E80" w:rsidP="000B25E6">
      <w:pPr>
        <w:rPr>
          <w:rFonts w:eastAsiaTheme="majorEastAsia" w:cstheme="minorHAnsi"/>
          <w:color w:val="2F5496" w:themeColor="accent1" w:themeShade="BF"/>
          <w:sz w:val="24"/>
          <w:szCs w:val="24"/>
        </w:rPr>
      </w:pPr>
      <w:r w:rsidRPr="00B05BC0">
        <w:rPr>
          <w:rFonts w:eastAsiaTheme="majorEastAsia" w:cstheme="minorHAnsi"/>
        </w:rPr>
        <w:t xml:space="preserve">World Bank. </w:t>
      </w:r>
      <w:r w:rsidR="00C11D0B">
        <w:rPr>
          <w:rFonts w:eastAsiaTheme="majorEastAsia" w:cstheme="minorHAnsi"/>
        </w:rPr>
        <w:t>2023</w:t>
      </w:r>
      <w:r w:rsidRPr="00B05BC0">
        <w:rPr>
          <w:rFonts w:eastAsiaTheme="majorEastAsia" w:cstheme="minorHAnsi"/>
        </w:rPr>
        <w:t xml:space="preserve">. </w:t>
      </w:r>
      <w:r w:rsidR="00C11D0B" w:rsidRPr="000E2A98">
        <w:rPr>
          <w:rFonts w:eastAsiaTheme="majorEastAsia" w:cstheme="minorHAnsi"/>
          <w:i/>
          <w:iCs/>
        </w:rPr>
        <w:t>Indonesia</w:t>
      </w:r>
      <w:r w:rsidR="00C11D0B">
        <w:rPr>
          <w:rFonts w:eastAsiaTheme="majorEastAsia" w:cstheme="minorHAnsi"/>
        </w:rPr>
        <w:t xml:space="preserve"> </w:t>
      </w:r>
      <w:r w:rsidR="00BD59AC">
        <w:rPr>
          <w:rFonts w:eastAsiaTheme="majorEastAsia" w:cstheme="minorHAnsi"/>
          <w:i/>
          <w:iCs/>
        </w:rPr>
        <w:t xml:space="preserve">Poverty Assessment: </w:t>
      </w:r>
      <w:r w:rsidR="00C11D0B">
        <w:rPr>
          <w:rFonts w:eastAsiaTheme="majorEastAsia" w:cstheme="minorHAnsi"/>
          <w:i/>
          <w:iCs/>
        </w:rPr>
        <w:t>Pathways towards Economic Security</w:t>
      </w:r>
      <w:r w:rsidRPr="00B05BC0">
        <w:rPr>
          <w:rFonts w:eastAsiaTheme="majorEastAsia" w:cstheme="minorHAnsi"/>
          <w:i/>
          <w:iCs/>
        </w:rPr>
        <w:t xml:space="preserve">. </w:t>
      </w:r>
      <w:r w:rsidR="00995194">
        <w:rPr>
          <w:rFonts w:eastAsiaTheme="majorEastAsia" w:cstheme="minorHAnsi"/>
        </w:rPr>
        <w:t>Washington, DC: World Bank</w:t>
      </w:r>
      <w:r w:rsidRPr="00B05BC0">
        <w:rPr>
          <w:rFonts w:eastAsiaTheme="majorEastAsia" w:cstheme="minorHAnsi"/>
        </w:rPr>
        <w:t>.</w:t>
      </w:r>
      <w:r w:rsidR="00995194">
        <w:rPr>
          <w:rFonts w:eastAsiaTheme="majorEastAsia" w:cstheme="minorHAnsi"/>
        </w:rPr>
        <w:t xml:space="preserve"> </w:t>
      </w:r>
      <w:r w:rsidR="00995194" w:rsidRPr="000E2A98">
        <w:rPr>
          <w:rFonts w:eastAsiaTheme="majorEastAsia" w:cstheme="minorHAnsi"/>
          <w:u w:val="single"/>
        </w:rPr>
        <w:t>https://www.worldbank.org/en/country/indonesia/publication/indonesia-poverty-assessment</w:t>
      </w:r>
    </w:p>
    <w:sectPr w:rsidR="003F0855" w:rsidRPr="00356C22" w:rsidSect="00EB5F2B">
      <w:footerReference w:type="even" r:id="rId69"/>
      <w:footerReference w:type="default" r:id="rId70"/>
      <w:footerReference w:type="first" r:id="rId71"/>
      <w:pgSz w:w="12240" w:h="15840"/>
      <w:pgMar w:top="1440" w:right="1440" w:bottom="1440" w:left="1440" w:header="720" w:footer="720" w:gutter="0"/>
      <w:pgNumType w:fmt="upperRoman"/>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AD79D" w14:textId="77777777" w:rsidR="0025306B" w:rsidRDefault="0025306B" w:rsidP="00B80F8E">
      <w:pPr>
        <w:spacing w:after="0"/>
      </w:pPr>
      <w:r>
        <w:separator/>
      </w:r>
    </w:p>
  </w:endnote>
  <w:endnote w:type="continuationSeparator" w:id="0">
    <w:p w14:paraId="2AAE61C5" w14:textId="77777777" w:rsidR="0025306B" w:rsidRDefault="0025306B" w:rsidP="00B80F8E">
      <w:pPr>
        <w:spacing w:after="0"/>
      </w:pPr>
      <w:r>
        <w:continuationSeparator/>
      </w:r>
    </w:p>
  </w:endnote>
  <w:endnote w:type="continuationNotice" w:id="1">
    <w:p w14:paraId="60FD0C27" w14:textId="77777777" w:rsidR="0025306B" w:rsidRDefault="00253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skoola Pota">
    <w:charset w:val="00"/>
    <w:family w:val="swiss"/>
    <w:pitch w:val="variable"/>
    <w:sig w:usb0="00000003" w:usb1="00000000" w:usb2="00000200" w:usb3="00000000" w:csb0="00000001" w:csb1="00000000"/>
  </w:font>
  <w:font w:name="DengXian Light">
    <w:altName w:val="等线 Light"/>
    <w:charset w:val="86"/>
    <w:family w:val="auto"/>
    <w:pitch w:val="variable"/>
    <w:sig w:usb0="A00002BF" w:usb1="38CF7CFA" w:usb2="00000016" w:usb3="00000000" w:csb0="0004000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MR1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D0F10" w14:textId="02B4DC3C" w:rsidR="00962564" w:rsidRDefault="00962564">
    <w:pPr>
      <w:pStyle w:val="Footer"/>
    </w:pPr>
    <w:r>
      <w:rPr>
        <w:noProof/>
      </w:rPr>
      <mc:AlternateContent>
        <mc:Choice Requires="wps">
          <w:drawing>
            <wp:anchor distT="0" distB="0" distL="0" distR="0" simplePos="0" relativeHeight="251659264" behindDoc="0" locked="0" layoutInCell="1" allowOverlap="1" wp14:anchorId="6F71A36A" wp14:editId="42664957">
              <wp:simplePos x="635" y="635"/>
              <wp:positionH relativeFrom="page">
                <wp:align>right</wp:align>
              </wp:positionH>
              <wp:positionV relativeFrom="page">
                <wp:align>bottom</wp:align>
              </wp:positionV>
              <wp:extent cx="1106805" cy="345440"/>
              <wp:effectExtent l="0" t="0" r="0" b="0"/>
              <wp:wrapNone/>
              <wp:docPr id="1452215260"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F0AB925" w14:textId="196DA359"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F71A36A" id="_x0000_t202" coordsize="21600,21600" o:spt="202" path="m,l,21600r21600,l21600,xe">
              <v:stroke joinstyle="miter"/>
              <v:path gradientshapeok="t" o:connecttype="rect"/>
            </v:shapetype>
            <v:shape id="Text Box 2" o:spid="_x0000_s1033" type="#_x0000_t202" alt="Official Use Only" style="position:absolute;left:0;text-align:left;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textbox style="mso-fit-shape-to-text:t" inset="0,0,20pt,15pt">
                <w:txbxContent>
                  <w:p w14:paraId="3F0AB925" w14:textId="196DA359"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E1F99" w14:textId="3B4AC71E" w:rsidR="00962564" w:rsidRDefault="00962564">
    <w:pPr>
      <w:pStyle w:val="Footer"/>
    </w:pPr>
    <w:r>
      <w:rPr>
        <w:noProof/>
      </w:rPr>
      <mc:AlternateContent>
        <mc:Choice Requires="wps">
          <w:drawing>
            <wp:anchor distT="0" distB="0" distL="0" distR="0" simplePos="0" relativeHeight="251668480" behindDoc="0" locked="0" layoutInCell="1" allowOverlap="1" wp14:anchorId="3EC5A649" wp14:editId="5CE7A820">
              <wp:simplePos x="635" y="635"/>
              <wp:positionH relativeFrom="page">
                <wp:align>right</wp:align>
              </wp:positionH>
              <wp:positionV relativeFrom="page">
                <wp:align>bottom</wp:align>
              </wp:positionV>
              <wp:extent cx="1106805" cy="345440"/>
              <wp:effectExtent l="0" t="0" r="0" b="0"/>
              <wp:wrapNone/>
              <wp:docPr id="1214601942" name="Text Box 1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8DEBD30" w14:textId="540CA18B"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EC5A649" id="_x0000_t202" coordsize="21600,21600" o:spt="202" path="m,l,21600r21600,l21600,xe">
              <v:stroke joinstyle="miter"/>
              <v:path gradientshapeok="t" o:connecttype="rect"/>
            </v:shapetype>
            <v:shape id="Text Box 11" o:spid="_x0000_s1042" type="#_x0000_t202" alt="Official Use Only" style="position:absolute;left:0;text-align:left;margin-left:35.95pt;margin-top:0;width:87.15pt;height:27.2pt;z-index:25166848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m+oo&#10;VBQCAAAiBAAADgAAAAAAAAAAAAAAAAAuAgAAZHJzL2Uyb0RvYy54bWxQSwECLQAUAAYACAAAACEA&#10;IKLDy9sAAAAEAQAADwAAAAAAAAAAAAAAAABuBAAAZHJzL2Rvd25yZXYueG1sUEsFBgAAAAAEAAQA&#10;8wAAAHYFAAAAAA==&#10;" filled="f" stroked="f">
              <v:textbox style="mso-fit-shape-to-text:t" inset="0,0,20pt,15pt">
                <w:txbxContent>
                  <w:p w14:paraId="38DEBD30" w14:textId="540CA18B"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E0174" w14:textId="0203D47F" w:rsidR="00962564" w:rsidRDefault="00962564">
    <w:pPr>
      <w:pStyle w:val="Footer"/>
    </w:pPr>
    <w:r>
      <w:rPr>
        <w:noProof/>
      </w:rPr>
      <mc:AlternateContent>
        <mc:Choice Requires="wps">
          <w:drawing>
            <wp:anchor distT="0" distB="0" distL="0" distR="0" simplePos="0" relativeHeight="251669504" behindDoc="0" locked="0" layoutInCell="1" allowOverlap="1" wp14:anchorId="67FBB56C" wp14:editId="09C7D796">
              <wp:simplePos x="635" y="635"/>
              <wp:positionH relativeFrom="page">
                <wp:align>right</wp:align>
              </wp:positionH>
              <wp:positionV relativeFrom="page">
                <wp:align>bottom</wp:align>
              </wp:positionV>
              <wp:extent cx="1106805" cy="345440"/>
              <wp:effectExtent l="0" t="0" r="0" b="0"/>
              <wp:wrapNone/>
              <wp:docPr id="1987181725" name="Text Box 1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19197E64" w14:textId="02127B21"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7FBB56C" id="_x0000_t202" coordsize="21600,21600" o:spt="202" path="m,l,21600r21600,l21600,xe">
              <v:stroke joinstyle="miter"/>
              <v:path gradientshapeok="t" o:connecttype="rect"/>
            </v:shapetype>
            <v:shape id="_x0000_s1043" type="#_x0000_t202" alt="Official Use Only" style="position:absolute;left:0;text-align:left;margin-left:35.95pt;margin-top:0;width:87.15pt;height:27.2pt;z-index:25166950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" filled="f" stroked="f">
              <v:textbox style="mso-fit-shape-to-text:t" inset="0,0,20pt,15pt">
                <w:txbxContent>
                  <w:p w14:paraId="19197E64" w14:textId="02127B21"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9C34B" w14:textId="63F3ACA1" w:rsidR="002375EF" w:rsidRDefault="00962564" w:rsidP="0046438C">
    <w:pPr>
      <w:pStyle w:val="Footer"/>
      <w:jc w:val="right"/>
    </w:pPr>
    <w:r>
      <w:rPr>
        <w:noProof/>
      </w:rPr>
      <mc:AlternateContent>
        <mc:Choice Requires="wps">
          <w:drawing>
            <wp:anchor distT="0" distB="0" distL="0" distR="0" simplePos="0" relativeHeight="251667456" behindDoc="0" locked="0" layoutInCell="1" allowOverlap="1" wp14:anchorId="16328B9C" wp14:editId="4B76D2B5">
              <wp:simplePos x="635" y="635"/>
              <wp:positionH relativeFrom="page">
                <wp:align>right</wp:align>
              </wp:positionH>
              <wp:positionV relativeFrom="page">
                <wp:align>bottom</wp:align>
              </wp:positionV>
              <wp:extent cx="1106805" cy="345440"/>
              <wp:effectExtent l="0" t="0" r="0" b="0"/>
              <wp:wrapNone/>
              <wp:docPr id="1492483278" name="Text Box 10"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518024D3" w14:textId="3C11A212"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6328B9C" id="_x0000_t202" coordsize="21600,21600" o:spt="202" path="m,l,21600r21600,l21600,xe">
              <v:stroke joinstyle="miter"/>
              <v:path gradientshapeok="t" o:connecttype="rect"/>
            </v:shapetype>
            <v:shape id="Text Box 10" o:spid="_x0000_s1044" type="#_x0000_t202" alt="Official Use Only" style="position:absolute;left:0;text-align:left;margin-left:35.95pt;margin-top:0;width:87.15pt;height:27.2pt;z-index:25166745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I5KFAIAACM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VZxkmH8L1ZHWQjgx7p1cNdR7LXx4EUgU0yYk&#10;2/BMhzbQlRzOFmc14I+/+WM+IU9RzjqSTMktaZoz880SI1Fdg4HJmMymeU7ubbqN7/JZvNl9+wCk&#10;xjE9DCeTSV4MZjA1QvtGql7GbhQSVlLPkm8H8yGcBEyvQqrlMiWRmpwIa7txMpaOoEVEX/s3ge4M&#10;eyDCnmAQlSjeoX/KjX96t9wH4iBREwE+oXnGnZSYGDu/mij1X+8p6/q2Fz8B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43iO&#10;ShQCAAAjBAAADgAAAAAAAAAAAAAAAAAuAgAAZHJzL2Uyb0RvYy54bWxQSwECLQAUAAYACAAAACEA&#10;IKLDy9sAAAAEAQAADwAAAAAAAAAAAAAAAABuBAAAZHJzL2Rvd25yZXYueG1sUEsFBgAAAAAEAAQA&#10;8wAAAHYFAAAAAA==&#10;" filled="f" stroked="f">
              <v:textbox style="mso-fit-shape-to-text:t" inset="0,0,20pt,15pt">
                <w:txbxContent>
                  <w:p w14:paraId="518024D3" w14:textId="3C11A212"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EEE52" w14:textId="68F2C901" w:rsidR="006A78A3" w:rsidRDefault="00962564">
    <w:pPr>
      <w:pStyle w:val="Footer"/>
      <w:jc w:val="right"/>
    </w:pPr>
    <w:r>
      <w:rPr>
        <w:noProof/>
      </w:rPr>
      <mc:AlternateContent>
        <mc:Choice Requires="wps">
          <w:drawing>
            <wp:anchor distT="0" distB="0" distL="0" distR="0" simplePos="0" relativeHeight="251660288" behindDoc="0" locked="0" layoutInCell="1" allowOverlap="1" wp14:anchorId="4516293E" wp14:editId="5655535C">
              <wp:simplePos x="635" y="869315"/>
              <wp:positionH relativeFrom="page">
                <wp:align>right</wp:align>
              </wp:positionH>
              <wp:positionV relativeFrom="page">
                <wp:align>bottom</wp:align>
              </wp:positionV>
              <wp:extent cx="1106805" cy="345440"/>
              <wp:effectExtent l="0" t="0" r="0" b="0"/>
              <wp:wrapNone/>
              <wp:docPr id="1963973804"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4FEAA74C" w14:textId="7820E273"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516293E" id="_x0000_t202" coordsize="21600,21600" o:spt="202" path="m,l,21600r21600,l21600,xe">
              <v:stroke joinstyle="miter"/>
              <v:path gradientshapeok="t" o:connecttype="rect"/>
            </v:shapetype>
            <v:shape id="Text Box 3" o:spid="_x0000_s1034" type="#_x0000_t202" alt="Official Use Only" style="position:absolute;left:0;text-align:left;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" filled="f" stroked="f">
              <v:textbox style="mso-fit-shape-to-text:t" inset="0,0,20pt,15pt">
                <w:txbxContent>
                  <w:p w14:paraId="4FEAA74C" w14:textId="7820E273"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sdt>
    <w:sdtPr>
      <w:id w:val="-503118964"/>
      <w:docPartObj>
        <w:docPartGallery w:val="Page Numbers (Bottom of Page)"/>
        <w:docPartUnique/>
      </w:docPartObj>
    </w:sdtPr>
    <w:sdtEndPr>
      <w:rPr>
        <w:noProof/>
      </w:rPr>
    </w:sdtEndPr>
    <w:sdtContent>
      <w:p w14:paraId="32A75FA6" w14:textId="77777777" w:rsidR="006A78A3" w:rsidRDefault="006A78A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7DEB490" w14:textId="77777777" w:rsidR="0096352E" w:rsidRDefault="009635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4EC4" w14:textId="167869BA" w:rsidR="00DB778E" w:rsidRDefault="00962564">
    <w:pPr>
      <w:pStyle w:val="Footer"/>
      <w:jc w:val="right"/>
    </w:pPr>
    <w:r>
      <w:rPr>
        <w:noProof/>
      </w:rPr>
      <mc:AlternateContent>
        <mc:Choice Requires="wps">
          <w:drawing>
            <wp:anchor distT="0" distB="0" distL="0" distR="0" simplePos="0" relativeHeight="251658240" behindDoc="0" locked="0" layoutInCell="1" allowOverlap="1" wp14:anchorId="247CCADB" wp14:editId="5F955C78">
              <wp:simplePos x="635" y="635"/>
              <wp:positionH relativeFrom="page">
                <wp:align>right</wp:align>
              </wp:positionH>
              <wp:positionV relativeFrom="page">
                <wp:align>bottom</wp:align>
              </wp:positionV>
              <wp:extent cx="1106805" cy="345440"/>
              <wp:effectExtent l="0" t="0" r="0" b="0"/>
              <wp:wrapNone/>
              <wp:docPr id="2001346715"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A1CD6BA" w14:textId="3F668E1D"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47CCADB" id="_x0000_t202" coordsize="21600,21600" o:spt="202" path="m,l,21600r21600,l21600,xe">
              <v:stroke joinstyle="miter"/>
              <v:path gradientshapeok="t" o:connecttype="rect"/>
            </v:shapetype>
            <v:shape id="Text Box 1" o:spid="_x0000_s1035" type="#_x0000_t202" alt="Official Use Only" style="position:absolute;left:0;text-align:left;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vGJ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Vcknw/hbqI60FcKJcO/kqqHWa+HDi0BimBYh&#10;1YZnOrSBruRwtjirAX/8zR/zCXiKctaRYkpuSdKcmW+WCIniGgxMxmQ2zXNyb9NtfJfP4s3u2wcg&#10;MY7pXTiZTPJiMIOpEdo3EvUydqOQsJJ6lnw7mA/hpF96FFItlymJxOREWNuNk7F0xCwC+tq/CXRn&#10;1APx9QSDpkTxDvxTbvzTu+U+EAWJmYjvCc0z7CTERNj50USl/3pPWdenvfgJ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zBbx&#10;iRQCAAAiBAAADgAAAAAAAAAAAAAAAAAuAgAAZHJzL2Uyb0RvYy54bWxQSwECLQAUAAYACAAAACEA&#10;IKLDy9sAAAAEAQAADwAAAAAAAAAAAAAAAABuBAAAZHJzL2Rvd25yZXYueG1sUEsFBgAAAAAEAAQA&#10;8wAAAHYFAAAAAA==&#10;" filled="f" stroked="f">
              <v:textbox style="mso-fit-shape-to-text:t" inset="0,0,20pt,15pt">
                <w:txbxContent>
                  <w:p w14:paraId="7A1CD6BA" w14:textId="3F668E1D"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sdt>
    <w:sdtPr>
      <w:id w:val="-1834978020"/>
      <w:docPartObj>
        <w:docPartGallery w:val="Page Numbers (Bottom of Page)"/>
        <w:docPartUnique/>
      </w:docPartObj>
    </w:sdtPr>
    <w:sdtEndPr>
      <w:rPr>
        <w:noProof/>
      </w:rPr>
    </w:sdtEndPr>
    <w:sdtContent>
      <w:p w14:paraId="6D6BE317" w14:textId="77777777" w:rsidR="00DB778E" w:rsidRDefault="00DB778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923F201" w14:textId="4896F219" w:rsidR="00F4040F" w:rsidRDefault="00F404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E9502" w14:textId="0E431E45" w:rsidR="00962564" w:rsidRDefault="00962564">
    <w:pPr>
      <w:pStyle w:val="Footer"/>
    </w:pPr>
    <w:r>
      <w:rPr>
        <w:noProof/>
      </w:rPr>
      <mc:AlternateContent>
        <mc:Choice Requires="wps">
          <w:drawing>
            <wp:anchor distT="0" distB="0" distL="0" distR="0" simplePos="0" relativeHeight="251662336" behindDoc="0" locked="0" layoutInCell="1" allowOverlap="1" wp14:anchorId="3FECEF32" wp14:editId="3A7BB04B">
              <wp:simplePos x="635" y="635"/>
              <wp:positionH relativeFrom="page">
                <wp:align>right</wp:align>
              </wp:positionH>
              <wp:positionV relativeFrom="page">
                <wp:align>bottom</wp:align>
              </wp:positionV>
              <wp:extent cx="1106805" cy="345440"/>
              <wp:effectExtent l="0" t="0" r="0" b="0"/>
              <wp:wrapNone/>
              <wp:docPr id="865942560" name="Text Box 5"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CEDE2BE" w14:textId="0D205869"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ECEF32" id="_x0000_t202" coordsize="21600,21600" o:spt="202" path="m,l,21600r21600,l21600,xe">
              <v:stroke joinstyle="miter"/>
              <v:path gradientshapeok="t" o:connecttype="rect"/>
            </v:shapetype>
            <v:shape id="_x0000_s1036" type="#_x0000_t202" alt="Official Use Only" style="position:absolute;left:0;text-align:left;margin-left:35.95pt;margin-top:0;width:87.15pt;height:27.2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XAB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FTUfxt9CdaStEE6EeydXDbVeCx9eBBLDtAip&#10;NjzToQ10JYezxVkN+ONv/phPwFOUs44UU3JLkubMfLNESBTXYGAyJrNpnpN7m27ju3wWb3bfPgCJ&#10;cUzvwslkkheDGUyN0L6RqJexG4WEldSz5NvBfAgn/dKjkGq5TEkkJifC2m6cjKUjZhHQ1/5NoDuj&#10;HoivJxg0JYp34J9y45/eLfeBKEjMRHxPaJ5hJyEmws6PJir913vKuj7txU8A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PJlw&#10;ARQCAAAiBAAADgAAAAAAAAAAAAAAAAAuAgAAZHJzL2Uyb0RvYy54bWxQSwECLQAUAAYACAAAACEA&#10;IKLDy9sAAAAEAQAADwAAAAAAAAAAAAAAAABuBAAAZHJzL2Rvd25yZXYueG1sUEsFBgAAAAAEAAQA&#10;8wAAAHYFAAAAAA==&#10;" filled="f" stroked="f">
              <v:textbox style="mso-fit-shape-to-text:t" inset="0,0,20pt,15pt">
                <w:txbxContent>
                  <w:p w14:paraId="3CEDE2BE" w14:textId="0D205869"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6BA50" w14:textId="2FB2558A" w:rsidR="00962564" w:rsidRDefault="00962564">
    <w:pPr>
      <w:pStyle w:val="Footer"/>
    </w:pPr>
    <w:r>
      <w:rPr>
        <w:noProof/>
      </w:rPr>
      <mc:AlternateContent>
        <mc:Choice Requires="wps">
          <w:drawing>
            <wp:anchor distT="0" distB="0" distL="0" distR="0" simplePos="0" relativeHeight="251663360" behindDoc="0" locked="0" layoutInCell="1" allowOverlap="1" wp14:anchorId="6788539D" wp14:editId="0A0F7982">
              <wp:simplePos x="635" y="635"/>
              <wp:positionH relativeFrom="page">
                <wp:align>right</wp:align>
              </wp:positionH>
              <wp:positionV relativeFrom="page">
                <wp:align>bottom</wp:align>
              </wp:positionV>
              <wp:extent cx="1106805" cy="345440"/>
              <wp:effectExtent l="0" t="0" r="0" b="0"/>
              <wp:wrapNone/>
              <wp:docPr id="640881971" name="Text Box 6"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31F86AC" w14:textId="1B7E6CD2"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788539D" id="_x0000_t202" coordsize="21600,21600" o:spt="202" path="m,l,21600r21600,l21600,xe">
              <v:stroke joinstyle="miter"/>
              <v:path gradientshapeok="t" o:connecttype="rect"/>
            </v:shapetype>
            <v:shape id="Text Box 6" o:spid="_x0000_s1037" type="#_x0000_t202" alt="Official Use Only" style="position:absolute;left:0;text-align:left;margin-left:35.95pt;margin-top:0;width:87.15pt;height:27.2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bjoW&#10;DBQCAAAiBAAADgAAAAAAAAAAAAAAAAAuAgAAZHJzL2Uyb0RvYy54bWxQSwECLQAUAAYACAAAACEA&#10;IKLDy9sAAAAEAQAADwAAAAAAAAAAAAAAAABuBAAAZHJzL2Rvd25yZXYueG1sUEsFBgAAAAAEAAQA&#10;8wAAAHYFAAAAAA==&#10;" filled="f" stroked="f">
              <v:textbox style="mso-fit-shape-to-text:t" inset="0,0,20pt,15pt">
                <w:txbxContent>
                  <w:p w14:paraId="731F86AC" w14:textId="1B7E6CD2"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9E5A3" w14:textId="1CC537CE" w:rsidR="00732016" w:rsidRDefault="00962564">
    <w:pPr>
      <w:pStyle w:val="Footer"/>
      <w:jc w:val="right"/>
    </w:pPr>
    <w:r>
      <w:rPr>
        <w:noProof/>
      </w:rPr>
      <mc:AlternateContent>
        <mc:Choice Requires="wps">
          <w:drawing>
            <wp:anchor distT="0" distB="0" distL="0" distR="0" simplePos="0" relativeHeight="251661312" behindDoc="0" locked="0" layoutInCell="1" allowOverlap="1" wp14:anchorId="54FAAD3B" wp14:editId="012FEEC9">
              <wp:simplePos x="635" y="635"/>
              <wp:positionH relativeFrom="page">
                <wp:align>right</wp:align>
              </wp:positionH>
              <wp:positionV relativeFrom="page">
                <wp:align>bottom</wp:align>
              </wp:positionV>
              <wp:extent cx="1106805" cy="345440"/>
              <wp:effectExtent l="0" t="0" r="0" b="0"/>
              <wp:wrapNone/>
              <wp:docPr id="1601629156" name="Text Box 4"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365F48A" w14:textId="29634034"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4FAAD3B" id="_x0000_t202" coordsize="21600,21600" o:spt="202" path="m,l,21600r21600,l21600,xe">
              <v:stroke joinstyle="miter"/>
              <v:path gradientshapeok="t" o:connecttype="rect"/>
            </v:shapetype>
            <v:shape id="Text Box 4" o:spid="_x0000_s1038" type="#_x0000_t202" alt="Official Use Only" style="position:absolute;left:0;text-align:left;margin-left:35.95pt;margin-top:0;width:87.15pt;height:27.2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nrWX&#10;hBQCAAAiBAAADgAAAAAAAAAAAAAAAAAuAgAAZHJzL2Uyb0RvYy54bWxQSwECLQAUAAYACAAAACEA&#10;IKLDy9sAAAAEAQAADwAAAAAAAAAAAAAAAABuBAAAZHJzL2Rvd25yZXYueG1sUEsFBgAAAAAEAAQA&#10;8wAAAHYFAAAAAA==&#10;" filled="f" stroked="f">
              <v:textbox style="mso-fit-shape-to-text:t" inset="0,0,20pt,15pt">
                <w:txbxContent>
                  <w:p w14:paraId="7365F48A" w14:textId="29634034"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sdt>
    <w:sdtPr>
      <w:id w:val="-424571298"/>
      <w:docPartObj>
        <w:docPartGallery w:val="Page Numbers (Bottom of Page)"/>
        <w:docPartUnique/>
      </w:docPartObj>
    </w:sdtPr>
    <w:sdtEndPr>
      <w:rPr>
        <w:noProof/>
      </w:rPr>
    </w:sdtEndPr>
    <w:sdtContent>
      <w:p w14:paraId="02632E03" w14:textId="77777777" w:rsidR="00732016" w:rsidRDefault="0073201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3FC95B" w14:textId="3DD57D16" w:rsidR="0046438C" w:rsidRDefault="0046438C" w:rsidP="0046438C">
    <w:pPr>
      <w:pStyle w:val="Foote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949FF" w14:textId="3E7A9D82" w:rsidR="00962564" w:rsidRDefault="00962564">
    <w:pPr>
      <w:pStyle w:val="Footer"/>
    </w:pPr>
    <w:r>
      <w:rPr>
        <w:noProof/>
      </w:rPr>
      <mc:AlternateContent>
        <mc:Choice Requires="wps">
          <w:drawing>
            <wp:anchor distT="0" distB="0" distL="0" distR="0" simplePos="0" relativeHeight="251665408" behindDoc="0" locked="0" layoutInCell="1" allowOverlap="1" wp14:anchorId="00F94ABD" wp14:editId="6BD55A5B">
              <wp:simplePos x="635" y="635"/>
              <wp:positionH relativeFrom="page">
                <wp:align>right</wp:align>
              </wp:positionH>
              <wp:positionV relativeFrom="page">
                <wp:align>bottom</wp:align>
              </wp:positionV>
              <wp:extent cx="1106805" cy="345440"/>
              <wp:effectExtent l="0" t="0" r="0" b="0"/>
              <wp:wrapNone/>
              <wp:docPr id="312988403" name="Text Box 8"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DA3913C" w14:textId="77077054"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0F94ABD" id="_x0000_t202" coordsize="21600,21600" o:spt="202" path="m,l,21600r21600,l21600,xe">
              <v:stroke joinstyle="miter"/>
              <v:path gradientshapeok="t" o:connecttype="rect"/>
            </v:shapetype>
            <v:shape id="_x0000_s1039" type="#_x0000_t202" alt="Official Use Only" style="position:absolute;left:0;text-align:left;margin-left:35.95pt;margin-top:0;width:87.15pt;height:27.2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zyNk&#10;xhQCAAAiBAAADgAAAAAAAAAAAAAAAAAuAgAAZHJzL2Uyb0RvYy54bWxQSwECLQAUAAYACAAAACEA&#10;IKLDy9sAAAAEAQAADwAAAAAAAAAAAAAAAABuBAAAZHJzL2Rvd25yZXYueG1sUEsFBgAAAAAEAAQA&#10;8wAAAHYFAAAAAA==&#10;" filled="f" stroked="f">
              <v:textbox style="mso-fit-shape-to-text:t" inset="0,0,20pt,15pt">
                <w:txbxContent>
                  <w:p w14:paraId="2DA3913C" w14:textId="77077054"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B035" w14:textId="3728F3EC" w:rsidR="002E0AE5" w:rsidRDefault="00962564">
    <w:pPr>
      <w:pStyle w:val="Footer"/>
      <w:jc w:val="right"/>
    </w:pPr>
    <w:r>
      <w:rPr>
        <w:noProof/>
      </w:rPr>
      <mc:AlternateContent>
        <mc:Choice Requires="wps">
          <w:drawing>
            <wp:anchor distT="0" distB="0" distL="0" distR="0" simplePos="0" relativeHeight="251666432" behindDoc="0" locked="0" layoutInCell="1" allowOverlap="1" wp14:anchorId="392273C9" wp14:editId="4086690E">
              <wp:simplePos x="635" y="635"/>
              <wp:positionH relativeFrom="page">
                <wp:align>right</wp:align>
              </wp:positionH>
              <wp:positionV relativeFrom="page">
                <wp:align>bottom</wp:align>
              </wp:positionV>
              <wp:extent cx="1106805" cy="345440"/>
              <wp:effectExtent l="0" t="0" r="0" b="0"/>
              <wp:wrapNone/>
              <wp:docPr id="1292088693" name="Text Box 9"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42F86F59" w14:textId="4FD48485"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92273C9" id="_x0000_t202" coordsize="21600,21600" o:spt="202" path="m,l,21600r21600,l21600,xe">
              <v:stroke joinstyle="miter"/>
              <v:path gradientshapeok="t" o:connecttype="rect"/>
            </v:shapetype>
            <v:shape id="Text Box 9" o:spid="_x0000_s1040" type="#_x0000_t202" alt="Official Use Only" style="position:absolute;left:0;text-align:left;margin-left:35.95pt;margin-top:0;width:87.15pt;height:27.2pt;z-index:25166643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" filled="f" stroked="f">
              <v:textbox style="mso-fit-shape-to-text:t" inset="0,0,20pt,15pt">
                <w:txbxContent>
                  <w:p w14:paraId="42F86F59" w14:textId="4FD48485"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sdt>
    <w:sdtPr>
      <w:id w:val="-47071146"/>
      <w:docPartObj>
        <w:docPartGallery w:val="Page Numbers (Bottom of Page)"/>
        <w:docPartUnique/>
      </w:docPartObj>
    </w:sdtPr>
    <w:sdtEndPr>
      <w:rPr>
        <w:noProof/>
      </w:rPr>
    </w:sdtEndPr>
    <w:sdtContent>
      <w:p w14:paraId="23E8AE40" w14:textId="77777777" w:rsidR="002E0AE5" w:rsidRDefault="002E0AE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09D517" w14:textId="77777777" w:rsidR="002E0AE5" w:rsidRDefault="002E0AE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A33A" w14:textId="6348BC4A" w:rsidR="00962564" w:rsidRDefault="00962564">
    <w:pPr>
      <w:pStyle w:val="Footer"/>
    </w:pPr>
    <w:r>
      <w:rPr>
        <w:noProof/>
      </w:rPr>
      <mc:AlternateContent>
        <mc:Choice Requires="wps">
          <w:drawing>
            <wp:anchor distT="0" distB="0" distL="0" distR="0" simplePos="0" relativeHeight="251664384" behindDoc="0" locked="0" layoutInCell="1" allowOverlap="1" wp14:anchorId="786C4E54" wp14:editId="16A90E16">
              <wp:simplePos x="635" y="635"/>
              <wp:positionH relativeFrom="page">
                <wp:align>right</wp:align>
              </wp:positionH>
              <wp:positionV relativeFrom="page">
                <wp:align>bottom</wp:align>
              </wp:positionV>
              <wp:extent cx="1106805" cy="345440"/>
              <wp:effectExtent l="0" t="0" r="0" b="0"/>
              <wp:wrapNone/>
              <wp:docPr id="425028342" name="Text Box 7"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F4672CE" w14:textId="4CAF4E48"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86C4E54" id="_x0000_t202" coordsize="21600,21600" o:spt="202" path="m,l,21600r21600,l21600,xe">
              <v:stroke joinstyle="miter"/>
              <v:path gradientshapeok="t" o:connecttype="rect"/>
            </v:shapetype>
            <v:shape id="Text Box 7" o:spid="_x0000_s1041" type="#_x0000_t202" alt="Official Use Only" style="position:absolute;left:0;text-align:left;margin-left:35.95pt;margin-top:0;width:87.15pt;height:27.2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nc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Vclvh/G3UB1pK4QT4d7JVUOt18KHF4HEMC1C&#10;qg3PdGgDXcnhbHFWA/74mz/mE/AU5awjxZTckqQ5M98sERLFNRiYjMlsmufk3qbb+C6fxZvdtw9A&#10;YhzTu3AymeTFYAZTI7RvJOpl7EYhYSX1LPl2MB/CSb/0KKRaLlMSicmJsLYbJ2PpiFkE9LV/E+jO&#10;qAfi6wkGTYniHfin3Pind8t9IAoSMxHfE5pn2EmIibDzo4lK//Wesq5Pe/ET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a2Wp&#10;3BQCAAAiBAAADgAAAAAAAAAAAAAAAAAuAgAAZHJzL2Uyb0RvYy54bWxQSwECLQAUAAYACAAAACEA&#10;IKLDy9sAAAAEAQAADwAAAAAAAAAAAAAAAABuBAAAZHJzL2Rvd25yZXYueG1sUEsFBgAAAAAEAAQA&#10;8wAAAHYFAAAAAA==&#10;" filled="f" stroked="f">
              <v:textbox style="mso-fit-shape-to-text:t" inset="0,0,20pt,15pt">
                <w:txbxContent>
                  <w:p w14:paraId="7F4672CE" w14:textId="4CAF4E48" w:rsidR="00962564" w:rsidRPr="00962564" w:rsidRDefault="00962564" w:rsidP="00962564">
                    <w:pPr>
                      <w:spacing w:after="0"/>
                      <w:rPr>
                        <w:rFonts w:ascii="Calibri" w:eastAsia="Calibri" w:hAnsi="Calibri" w:cs="Calibri"/>
                        <w:noProof/>
                        <w:color w:val="000000"/>
                        <w:sz w:val="20"/>
                        <w:szCs w:val="20"/>
                      </w:rPr>
                    </w:pPr>
                    <w:r w:rsidRPr="00962564">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86A22" w14:textId="77777777" w:rsidR="0025306B" w:rsidRDefault="0025306B" w:rsidP="00B80F8E">
      <w:pPr>
        <w:spacing w:after="0"/>
      </w:pPr>
      <w:r>
        <w:separator/>
      </w:r>
    </w:p>
  </w:footnote>
  <w:footnote w:type="continuationSeparator" w:id="0">
    <w:p w14:paraId="6CE91CAD" w14:textId="77777777" w:rsidR="0025306B" w:rsidRDefault="0025306B" w:rsidP="00B80F8E">
      <w:pPr>
        <w:spacing w:after="0"/>
      </w:pPr>
      <w:r>
        <w:continuationSeparator/>
      </w:r>
    </w:p>
  </w:footnote>
  <w:footnote w:type="continuationNotice" w:id="1">
    <w:p w14:paraId="3B794E7E" w14:textId="77777777" w:rsidR="0025306B" w:rsidRDefault="0025306B">
      <w:pPr>
        <w:spacing w:after="0"/>
      </w:pPr>
    </w:p>
  </w:footnote>
  <w:footnote w:id="2">
    <w:p w14:paraId="7916710C" w14:textId="5428B815" w:rsidR="00E05065" w:rsidRPr="00737249" w:rsidRDefault="00E05065" w:rsidP="00737249">
      <w:pPr>
        <w:pStyle w:val="FootnoteText"/>
        <w:jc w:val="both"/>
        <w:rPr>
          <w:sz w:val="18"/>
          <w:szCs w:val="18"/>
        </w:rPr>
      </w:pPr>
      <w:r w:rsidRPr="00737249">
        <w:rPr>
          <w:rStyle w:val="FootnoteReference"/>
          <w:sz w:val="18"/>
          <w:szCs w:val="18"/>
        </w:rPr>
        <w:footnoteRef/>
      </w:r>
      <w:r w:rsidRPr="00737249">
        <w:rPr>
          <w:sz w:val="18"/>
          <w:szCs w:val="18"/>
        </w:rPr>
        <w:t xml:space="preserve"> Although the tax is on business value-added, the tax burden is ultimately levied upon the final consumer in the value chain, with all intermediary businesses in principle able to claim back any tax they pay on inputs. </w:t>
      </w:r>
    </w:p>
  </w:footnote>
  <w:footnote w:id="3">
    <w:p w14:paraId="27295169" w14:textId="505CB4E2" w:rsidR="00F21B36" w:rsidRPr="00C346D0" w:rsidRDefault="00F21B36" w:rsidP="00737249">
      <w:pPr>
        <w:pStyle w:val="FootnoteText"/>
        <w:jc w:val="both"/>
        <w:rPr>
          <w:sz w:val="18"/>
          <w:szCs w:val="18"/>
        </w:rPr>
      </w:pPr>
      <w:r w:rsidRPr="00C346D0">
        <w:rPr>
          <w:rStyle w:val="FootnoteReference"/>
          <w:sz w:val="18"/>
          <w:szCs w:val="18"/>
        </w:rPr>
        <w:footnoteRef/>
      </w:r>
      <w:r w:rsidRPr="00C346D0">
        <w:rPr>
          <w:sz w:val="18"/>
          <w:szCs w:val="18"/>
        </w:rPr>
        <w:t xml:space="preserve"> Based on a cross-country stochastic frontier analysis</w:t>
      </w:r>
      <w:r w:rsidR="009078CC">
        <w:rPr>
          <w:sz w:val="18"/>
          <w:szCs w:val="18"/>
        </w:rPr>
        <w:t xml:space="preserve">, </w:t>
      </w:r>
      <w:r w:rsidR="000D3E45">
        <w:rPr>
          <w:sz w:val="18"/>
          <w:szCs w:val="18"/>
        </w:rPr>
        <w:t xml:space="preserve">employing the following </w:t>
      </w:r>
      <w:r w:rsidR="009078CC">
        <w:rPr>
          <w:sz w:val="18"/>
          <w:szCs w:val="18"/>
        </w:rPr>
        <w:t>explanatory variables</w:t>
      </w:r>
      <w:r w:rsidR="000D3E45">
        <w:rPr>
          <w:sz w:val="18"/>
          <w:szCs w:val="18"/>
        </w:rPr>
        <w:t xml:space="preserve">: </w:t>
      </w:r>
      <w:r w:rsidR="000D3E45" w:rsidRPr="000D3E45">
        <w:rPr>
          <w:sz w:val="18"/>
          <w:szCs w:val="18"/>
        </w:rPr>
        <w:t xml:space="preserve">GDP per capita (constant 2010 US$); </w:t>
      </w:r>
      <w:proofErr w:type="spellStart"/>
      <w:r w:rsidR="000D3E45">
        <w:rPr>
          <w:sz w:val="18"/>
          <w:szCs w:val="18"/>
        </w:rPr>
        <w:t>n</w:t>
      </w:r>
      <w:r w:rsidR="000D3E45" w:rsidRPr="000D3E45">
        <w:rPr>
          <w:sz w:val="18"/>
          <w:szCs w:val="18"/>
        </w:rPr>
        <w:t>onagriculture</w:t>
      </w:r>
      <w:proofErr w:type="spellEnd"/>
      <w:r w:rsidR="000D3E45" w:rsidRPr="000D3E45">
        <w:rPr>
          <w:sz w:val="18"/>
          <w:szCs w:val="18"/>
        </w:rPr>
        <w:t xml:space="preserve"> (% of GDP); </w:t>
      </w:r>
      <w:r w:rsidR="000D3E45">
        <w:rPr>
          <w:sz w:val="18"/>
          <w:szCs w:val="18"/>
        </w:rPr>
        <w:t>u</w:t>
      </w:r>
      <w:r w:rsidR="000D3E45" w:rsidRPr="000D3E45">
        <w:rPr>
          <w:sz w:val="18"/>
          <w:szCs w:val="18"/>
        </w:rPr>
        <w:t xml:space="preserve">rban population (% of total population); </w:t>
      </w:r>
      <w:r w:rsidR="000D3E45">
        <w:rPr>
          <w:sz w:val="18"/>
          <w:szCs w:val="18"/>
        </w:rPr>
        <w:t>a</w:t>
      </w:r>
      <w:r w:rsidR="000D3E45" w:rsidRPr="000D3E45">
        <w:rPr>
          <w:sz w:val="18"/>
          <w:szCs w:val="18"/>
        </w:rPr>
        <w:t xml:space="preserve">ge dependency ratio (% of working-age population); </w:t>
      </w:r>
      <w:r w:rsidR="000D3E45">
        <w:rPr>
          <w:sz w:val="18"/>
          <w:szCs w:val="18"/>
        </w:rPr>
        <w:t>e</w:t>
      </w:r>
      <w:r w:rsidR="000D3E45" w:rsidRPr="000D3E45">
        <w:rPr>
          <w:sz w:val="18"/>
          <w:szCs w:val="18"/>
        </w:rPr>
        <w:t xml:space="preserve">xport + </w:t>
      </w:r>
      <w:r w:rsidR="000D3E45">
        <w:rPr>
          <w:sz w:val="18"/>
          <w:szCs w:val="18"/>
        </w:rPr>
        <w:t>i</w:t>
      </w:r>
      <w:r w:rsidR="000D3E45" w:rsidRPr="000D3E45">
        <w:rPr>
          <w:sz w:val="18"/>
          <w:szCs w:val="18"/>
        </w:rPr>
        <w:t xml:space="preserve">mports of goods and services (% of GDP); </w:t>
      </w:r>
      <w:r w:rsidR="000D3E45">
        <w:rPr>
          <w:sz w:val="18"/>
          <w:szCs w:val="18"/>
        </w:rPr>
        <w:t>s</w:t>
      </w:r>
      <w:r w:rsidR="000D3E45" w:rsidRPr="000D3E45">
        <w:rPr>
          <w:sz w:val="18"/>
          <w:szCs w:val="18"/>
        </w:rPr>
        <w:t xml:space="preserve">elf-employed, total (% of total employment); World Bank income classification; </w:t>
      </w:r>
      <w:r w:rsidR="000D3E45">
        <w:rPr>
          <w:sz w:val="18"/>
          <w:szCs w:val="18"/>
        </w:rPr>
        <w:t>p</w:t>
      </w:r>
      <w:r w:rsidR="000D3E45" w:rsidRPr="000D3E45">
        <w:rPr>
          <w:sz w:val="18"/>
          <w:szCs w:val="18"/>
        </w:rPr>
        <w:t xml:space="preserve">opulation, total; </w:t>
      </w:r>
      <w:r w:rsidR="000D3E45">
        <w:rPr>
          <w:sz w:val="18"/>
          <w:szCs w:val="18"/>
        </w:rPr>
        <w:t>and t</w:t>
      </w:r>
      <w:r w:rsidR="000D3E45" w:rsidRPr="000D3E45">
        <w:rPr>
          <w:sz w:val="18"/>
          <w:szCs w:val="18"/>
        </w:rPr>
        <w:t>otal natural resources rents (% of GDP)</w:t>
      </w:r>
      <w:r w:rsidR="000D3E45">
        <w:rPr>
          <w:sz w:val="18"/>
          <w:szCs w:val="18"/>
        </w:rPr>
        <w:t xml:space="preserve">. </w:t>
      </w:r>
      <w:r w:rsidRPr="00C346D0">
        <w:rPr>
          <w:sz w:val="18"/>
          <w:szCs w:val="18"/>
        </w:rPr>
        <w:t xml:space="preserve"> </w:t>
      </w:r>
    </w:p>
  </w:footnote>
  <w:footnote w:id="4">
    <w:p w14:paraId="27405651" w14:textId="13DA56C0" w:rsidR="00BB3E03" w:rsidRPr="003C032C" w:rsidRDefault="00BB3E03" w:rsidP="00737249">
      <w:pPr>
        <w:pStyle w:val="FootnoteText"/>
        <w:jc w:val="both"/>
        <w:rPr>
          <w:sz w:val="18"/>
          <w:szCs w:val="18"/>
        </w:rPr>
      </w:pPr>
      <w:r w:rsidRPr="003C032C">
        <w:rPr>
          <w:rStyle w:val="FootnoteReference"/>
          <w:sz w:val="18"/>
          <w:szCs w:val="18"/>
        </w:rPr>
        <w:footnoteRef/>
      </w:r>
      <w:r w:rsidRPr="003C032C">
        <w:rPr>
          <w:sz w:val="18"/>
          <w:szCs w:val="18"/>
        </w:rPr>
        <w:t xml:space="preserve"> Including extractives sector taxes.</w:t>
      </w:r>
    </w:p>
  </w:footnote>
  <w:footnote w:id="5">
    <w:p w14:paraId="1FBA39D4" w14:textId="1DD85295" w:rsidR="008779C8" w:rsidRDefault="008779C8" w:rsidP="00737249">
      <w:pPr>
        <w:pStyle w:val="FootnoteText"/>
        <w:jc w:val="both"/>
      </w:pPr>
      <w:r w:rsidRPr="0023040F">
        <w:rPr>
          <w:rStyle w:val="FootnoteReference"/>
          <w:sz w:val="18"/>
          <w:szCs w:val="18"/>
        </w:rPr>
        <w:footnoteRef/>
      </w:r>
      <w:r w:rsidRPr="0023040F">
        <w:rPr>
          <w:sz w:val="18"/>
          <w:szCs w:val="18"/>
        </w:rPr>
        <w:t xml:space="preserve"> </w:t>
      </w:r>
      <w:r w:rsidR="0074344E" w:rsidRPr="0023040F">
        <w:rPr>
          <w:sz w:val="18"/>
          <w:szCs w:val="18"/>
        </w:rPr>
        <w:t xml:space="preserve">Indonesia’s estimated </w:t>
      </w:r>
      <w:r w:rsidR="0075103B" w:rsidRPr="0023040F">
        <w:rPr>
          <w:sz w:val="18"/>
          <w:szCs w:val="18"/>
        </w:rPr>
        <w:t xml:space="preserve">7 percentage point gap </w:t>
      </w:r>
      <w:r w:rsidR="009422A9" w:rsidRPr="0023040F">
        <w:rPr>
          <w:sz w:val="18"/>
          <w:szCs w:val="18"/>
        </w:rPr>
        <w:t>with tax potential</w:t>
      </w:r>
      <w:r w:rsidR="00DA4AC1" w:rsidRPr="0023040F">
        <w:rPr>
          <w:sz w:val="18"/>
          <w:szCs w:val="18"/>
        </w:rPr>
        <w:t xml:space="preserve"> (noted in the opening paragraph) should be distinguished from the </w:t>
      </w:r>
      <w:r w:rsidR="009422A9" w:rsidRPr="0023040F">
        <w:rPr>
          <w:sz w:val="18"/>
          <w:szCs w:val="18"/>
        </w:rPr>
        <w:t xml:space="preserve">6.5 percent of GDP </w:t>
      </w:r>
      <w:r w:rsidR="00DA4AC1" w:rsidRPr="0023040F">
        <w:rPr>
          <w:sz w:val="18"/>
          <w:szCs w:val="18"/>
        </w:rPr>
        <w:t xml:space="preserve">combined </w:t>
      </w:r>
      <w:r w:rsidR="009422A9" w:rsidRPr="0023040F">
        <w:rPr>
          <w:sz w:val="18"/>
          <w:szCs w:val="18"/>
        </w:rPr>
        <w:t xml:space="preserve">policy and compliance gap </w:t>
      </w:r>
      <w:r w:rsidR="00DA4AC1" w:rsidRPr="0023040F">
        <w:rPr>
          <w:sz w:val="18"/>
          <w:szCs w:val="18"/>
        </w:rPr>
        <w:t xml:space="preserve">estimated </w:t>
      </w:r>
      <w:r w:rsidR="009422A9" w:rsidRPr="0023040F">
        <w:rPr>
          <w:sz w:val="18"/>
          <w:szCs w:val="18"/>
        </w:rPr>
        <w:t xml:space="preserve">for the CIT and VAT. </w:t>
      </w:r>
      <w:r w:rsidR="008C0EA7" w:rsidRPr="0023040F">
        <w:rPr>
          <w:sz w:val="18"/>
          <w:szCs w:val="18"/>
        </w:rPr>
        <w:t xml:space="preserve">These rely on different frameworks. </w:t>
      </w:r>
      <w:r w:rsidR="00C93C6C" w:rsidRPr="0023040F">
        <w:rPr>
          <w:sz w:val="18"/>
          <w:szCs w:val="18"/>
        </w:rPr>
        <w:t xml:space="preserve">Fully </w:t>
      </w:r>
      <w:r w:rsidR="00BC45C3" w:rsidRPr="0023040F">
        <w:rPr>
          <w:sz w:val="18"/>
          <w:szCs w:val="18"/>
        </w:rPr>
        <w:t xml:space="preserve">eliminating the </w:t>
      </w:r>
      <w:r w:rsidR="008F058D">
        <w:rPr>
          <w:sz w:val="18"/>
          <w:szCs w:val="18"/>
        </w:rPr>
        <w:t xml:space="preserve">latter </w:t>
      </w:r>
      <w:r w:rsidR="00BC45C3" w:rsidRPr="0023040F">
        <w:rPr>
          <w:sz w:val="18"/>
          <w:szCs w:val="18"/>
        </w:rPr>
        <w:t xml:space="preserve">policy and compliance gaps </w:t>
      </w:r>
      <w:r w:rsidR="00B05589" w:rsidRPr="0023040F">
        <w:rPr>
          <w:sz w:val="18"/>
          <w:szCs w:val="18"/>
        </w:rPr>
        <w:t xml:space="preserve">and clawing back the full 6.5 percent should be considered </w:t>
      </w:r>
      <w:r w:rsidR="00C93C6C" w:rsidRPr="0023040F">
        <w:rPr>
          <w:sz w:val="18"/>
          <w:szCs w:val="18"/>
        </w:rPr>
        <w:t>impractical</w:t>
      </w:r>
      <w:r w:rsidR="00BC45C3" w:rsidRPr="0023040F">
        <w:rPr>
          <w:sz w:val="18"/>
          <w:szCs w:val="18"/>
        </w:rPr>
        <w:t xml:space="preserve">, as all countries have some </w:t>
      </w:r>
      <w:r w:rsidR="0044298B" w:rsidRPr="0023040F">
        <w:rPr>
          <w:sz w:val="18"/>
          <w:szCs w:val="18"/>
        </w:rPr>
        <w:t xml:space="preserve">level of </w:t>
      </w:r>
      <w:r w:rsidR="00BC45C3" w:rsidRPr="0023040F">
        <w:rPr>
          <w:sz w:val="18"/>
          <w:szCs w:val="18"/>
        </w:rPr>
        <w:t>taxpayer noncompliance</w:t>
      </w:r>
      <w:r w:rsidR="0044298B" w:rsidRPr="0023040F">
        <w:rPr>
          <w:sz w:val="18"/>
          <w:szCs w:val="18"/>
        </w:rPr>
        <w:t xml:space="preserve"> and tax expenditures</w:t>
      </w:r>
      <w:r w:rsidR="00BC45C3" w:rsidRPr="0023040F">
        <w:rPr>
          <w:sz w:val="18"/>
          <w:szCs w:val="18"/>
        </w:rPr>
        <w:t xml:space="preserve">. By contrast, </w:t>
      </w:r>
      <w:r w:rsidR="0044298B" w:rsidRPr="0023040F">
        <w:rPr>
          <w:sz w:val="18"/>
          <w:szCs w:val="18"/>
        </w:rPr>
        <w:t xml:space="preserve">the </w:t>
      </w:r>
      <w:r w:rsidR="00DA4AC1" w:rsidRPr="0023040F">
        <w:rPr>
          <w:sz w:val="18"/>
          <w:szCs w:val="18"/>
        </w:rPr>
        <w:t xml:space="preserve">former result </w:t>
      </w:r>
      <w:r w:rsidR="00397B13" w:rsidRPr="0023040F">
        <w:rPr>
          <w:sz w:val="18"/>
          <w:szCs w:val="18"/>
        </w:rPr>
        <w:t xml:space="preserve">refers to </w:t>
      </w:r>
      <w:r w:rsidR="00384682" w:rsidRPr="0023040F">
        <w:rPr>
          <w:sz w:val="18"/>
          <w:szCs w:val="18"/>
        </w:rPr>
        <w:t xml:space="preserve">how much more tax revenue Indonesia ought to be able to collect, given its various structural factors, </w:t>
      </w:r>
      <w:r w:rsidR="00397B13" w:rsidRPr="0023040F">
        <w:rPr>
          <w:sz w:val="18"/>
          <w:szCs w:val="18"/>
        </w:rPr>
        <w:t xml:space="preserve">when </w:t>
      </w:r>
      <w:r w:rsidR="00D02CD6" w:rsidRPr="0023040F">
        <w:rPr>
          <w:sz w:val="18"/>
          <w:szCs w:val="18"/>
        </w:rPr>
        <w:t>benchmark</w:t>
      </w:r>
      <w:r w:rsidR="008F058D">
        <w:rPr>
          <w:sz w:val="18"/>
          <w:szCs w:val="18"/>
        </w:rPr>
        <w:t>ed</w:t>
      </w:r>
      <w:r w:rsidR="00D02CD6" w:rsidRPr="0023040F">
        <w:rPr>
          <w:sz w:val="18"/>
          <w:szCs w:val="18"/>
        </w:rPr>
        <w:t xml:space="preserve"> against </w:t>
      </w:r>
      <w:r w:rsidR="00397B13" w:rsidRPr="0023040F">
        <w:rPr>
          <w:sz w:val="18"/>
          <w:szCs w:val="18"/>
        </w:rPr>
        <w:t xml:space="preserve">how other countries </w:t>
      </w:r>
      <w:r w:rsidR="00A60747" w:rsidRPr="0023040F">
        <w:rPr>
          <w:sz w:val="18"/>
          <w:szCs w:val="18"/>
        </w:rPr>
        <w:t xml:space="preserve">are performing. </w:t>
      </w:r>
      <w:r w:rsidR="0044298B" w:rsidRPr="0023040F">
        <w:rPr>
          <w:sz w:val="18"/>
          <w:szCs w:val="18"/>
        </w:rPr>
        <w:t>In principle, o</w:t>
      </w:r>
      <w:r w:rsidR="00A60747" w:rsidRPr="0023040F">
        <w:rPr>
          <w:sz w:val="18"/>
          <w:szCs w:val="18"/>
        </w:rPr>
        <w:t xml:space="preserve">ne could conceive of closing this tax revenue gap </w:t>
      </w:r>
      <w:r w:rsidR="0044298B" w:rsidRPr="0023040F">
        <w:rPr>
          <w:sz w:val="18"/>
          <w:szCs w:val="18"/>
        </w:rPr>
        <w:t xml:space="preserve">even </w:t>
      </w:r>
      <w:r w:rsidR="00A60747" w:rsidRPr="0023040F">
        <w:rPr>
          <w:sz w:val="18"/>
          <w:szCs w:val="18"/>
        </w:rPr>
        <w:t xml:space="preserve">without fully closing </w:t>
      </w:r>
      <w:r w:rsidR="00D02CD6" w:rsidRPr="0023040F">
        <w:rPr>
          <w:sz w:val="18"/>
          <w:szCs w:val="18"/>
        </w:rPr>
        <w:t xml:space="preserve">all </w:t>
      </w:r>
      <w:r w:rsidR="00A60747" w:rsidRPr="0023040F">
        <w:rPr>
          <w:sz w:val="18"/>
          <w:szCs w:val="18"/>
        </w:rPr>
        <w:t>policy and compliance gaps</w:t>
      </w:r>
      <w:r w:rsidR="00D02CD6" w:rsidRPr="0023040F">
        <w:rPr>
          <w:sz w:val="18"/>
          <w:szCs w:val="18"/>
        </w:rPr>
        <w:t xml:space="preserve">, since even the best performing benchmark countries </w:t>
      </w:r>
      <w:r w:rsidR="00335356" w:rsidRPr="0023040F">
        <w:rPr>
          <w:sz w:val="18"/>
          <w:szCs w:val="18"/>
        </w:rPr>
        <w:t xml:space="preserve">manage </w:t>
      </w:r>
      <w:r w:rsidR="00086F25">
        <w:rPr>
          <w:sz w:val="18"/>
          <w:szCs w:val="18"/>
        </w:rPr>
        <w:t xml:space="preserve">to achieve </w:t>
      </w:r>
      <w:r w:rsidR="00335356" w:rsidRPr="0023040F">
        <w:rPr>
          <w:sz w:val="18"/>
          <w:szCs w:val="18"/>
        </w:rPr>
        <w:t>their higher revenues in the presence of these gaps</w:t>
      </w:r>
      <w:r w:rsidR="00D02CD6" w:rsidRPr="0023040F">
        <w:rPr>
          <w:sz w:val="18"/>
          <w:szCs w:val="18"/>
        </w:rPr>
        <w:t xml:space="preserve">. </w:t>
      </w:r>
    </w:p>
  </w:footnote>
  <w:footnote w:id="6">
    <w:p w14:paraId="6A4501E1" w14:textId="5F793B7A" w:rsidR="007C121D" w:rsidRPr="0023040F" w:rsidRDefault="007C121D" w:rsidP="00737249">
      <w:pPr>
        <w:pStyle w:val="FootnoteText"/>
        <w:jc w:val="both"/>
        <w:rPr>
          <w:sz w:val="18"/>
          <w:szCs w:val="18"/>
        </w:rPr>
      </w:pPr>
      <w:r w:rsidRPr="0023040F">
        <w:rPr>
          <w:rStyle w:val="FootnoteReference"/>
          <w:sz w:val="18"/>
          <w:szCs w:val="18"/>
        </w:rPr>
        <w:footnoteRef/>
      </w:r>
      <w:r w:rsidRPr="0023040F">
        <w:rPr>
          <w:sz w:val="18"/>
          <w:szCs w:val="18"/>
        </w:rPr>
        <w:t xml:space="preserve"> </w:t>
      </w:r>
      <w:r w:rsidR="00EE36BE" w:rsidRPr="0023040F">
        <w:rPr>
          <w:sz w:val="18"/>
          <w:szCs w:val="18"/>
        </w:rPr>
        <w:t xml:space="preserve">While there are many possible options of comparator peers, </w:t>
      </w:r>
      <w:r w:rsidR="00E13169" w:rsidRPr="0023040F">
        <w:rPr>
          <w:sz w:val="18"/>
          <w:szCs w:val="18"/>
        </w:rPr>
        <w:t>Southeast Asian economies have been selected as the main comparator</w:t>
      </w:r>
      <w:r w:rsidR="00EE36BE" w:rsidRPr="0023040F">
        <w:rPr>
          <w:sz w:val="18"/>
          <w:szCs w:val="18"/>
        </w:rPr>
        <w:t xml:space="preserve"> cohort </w:t>
      </w:r>
      <w:r w:rsidR="00E13169" w:rsidRPr="0023040F">
        <w:rPr>
          <w:sz w:val="18"/>
          <w:szCs w:val="18"/>
        </w:rPr>
        <w:t xml:space="preserve">for this paper. </w:t>
      </w:r>
      <w:r w:rsidR="00355B25" w:rsidRPr="0023040F">
        <w:rPr>
          <w:sz w:val="18"/>
          <w:szCs w:val="18"/>
        </w:rPr>
        <w:t xml:space="preserve">This is considered acceptable given that </w:t>
      </w:r>
      <w:r w:rsidR="00703AFF" w:rsidRPr="0023040F">
        <w:rPr>
          <w:sz w:val="18"/>
          <w:szCs w:val="18"/>
        </w:rPr>
        <w:t xml:space="preserve">the authorities do </w:t>
      </w:r>
      <w:r w:rsidR="00CB210F" w:rsidRPr="0023040F">
        <w:rPr>
          <w:sz w:val="18"/>
          <w:szCs w:val="18"/>
        </w:rPr>
        <w:t>draw comparisons with regional peers such as the Philippines and Viet</w:t>
      </w:r>
      <w:r w:rsidR="00EB52B8">
        <w:rPr>
          <w:sz w:val="18"/>
          <w:szCs w:val="18"/>
        </w:rPr>
        <w:t xml:space="preserve"> N</w:t>
      </w:r>
      <w:r w:rsidR="00CB210F" w:rsidRPr="0023040F">
        <w:rPr>
          <w:sz w:val="18"/>
          <w:szCs w:val="18"/>
        </w:rPr>
        <w:t xml:space="preserve">am, and </w:t>
      </w:r>
      <w:r w:rsidR="00EE36BE" w:rsidRPr="0023040F">
        <w:rPr>
          <w:sz w:val="18"/>
          <w:szCs w:val="18"/>
        </w:rPr>
        <w:t xml:space="preserve">even </w:t>
      </w:r>
      <w:r w:rsidR="00CB210F" w:rsidRPr="0023040F">
        <w:rPr>
          <w:sz w:val="18"/>
          <w:szCs w:val="18"/>
        </w:rPr>
        <w:t xml:space="preserve">occasionally </w:t>
      </w:r>
      <w:r w:rsidR="00EE36BE" w:rsidRPr="0023040F">
        <w:rPr>
          <w:sz w:val="18"/>
          <w:szCs w:val="18"/>
        </w:rPr>
        <w:t>to Singapore and Malaysia</w:t>
      </w:r>
      <w:r w:rsidR="00451DF0" w:rsidRPr="0023040F">
        <w:rPr>
          <w:sz w:val="18"/>
          <w:szCs w:val="18"/>
        </w:rPr>
        <w:t>, when discussing the tax regime</w:t>
      </w:r>
      <w:r w:rsidR="00EE36BE" w:rsidRPr="0023040F">
        <w:rPr>
          <w:sz w:val="18"/>
          <w:szCs w:val="18"/>
        </w:rPr>
        <w:t>.</w:t>
      </w:r>
      <w:r w:rsidR="00451DF0" w:rsidRPr="0023040F">
        <w:rPr>
          <w:sz w:val="18"/>
          <w:szCs w:val="18"/>
        </w:rPr>
        <w:t xml:space="preserve"> On occasion, the paper also uses other </w:t>
      </w:r>
      <w:r w:rsidRPr="0023040F">
        <w:rPr>
          <w:sz w:val="18"/>
          <w:szCs w:val="18"/>
        </w:rPr>
        <w:t xml:space="preserve">country examples </w:t>
      </w:r>
      <w:proofErr w:type="gramStart"/>
      <w:r w:rsidRPr="0023040F">
        <w:rPr>
          <w:sz w:val="18"/>
          <w:szCs w:val="18"/>
        </w:rPr>
        <w:t>where</w:t>
      </w:r>
      <w:proofErr w:type="gramEnd"/>
      <w:r w:rsidRPr="0023040F">
        <w:rPr>
          <w:sz w:val="18"/>
          <w:szCs w:val="18"/>
        </w:rPr>
        <w:t xml:space="preserve"> </w:t>
      </w:r>
      <w:r w:rsidR="00214588" w:rsidRPr="0023040F">
        <w:rPr>
          <w:sz w:val="18"/>
          <w:szCs w:val="18"/>
        </w:rPr>
        <w:t xml:space="preserve">useful or </w:t>
      </w:r>
      <w:r w:rsidRPr="0023040F">
        <w:rPr>
          <w:sz w:val="18"/>
          <w:szCs w:val="18"/>
        </w:rPr>
        <w:t xml:space="preserve">illustrative. </w:t>
      </w:r>
    </w:p>
  </w:footnote>
  <w:footnote w:id="7">
    <w:p w14:paraId="382400CF" w14:textId="0400468A" w:rsidR="005212E1" w:rsidRPr="0023040F" w:rsidRDefault="005212E1" w:rsidP="00737249">
      <w:pPr>
        <w:pStyle w:val="FootnoteText"/>
        <w:jc w:val="both"/>
        <w:rPr>
          <w:sz w:val="18"/>
          <w:szCs w:val="18"/>
        </w:rPr>
      </w:pPr>
      <w:r w:rsidRPr="0023040F">
        <w:rPr>
          <w:rStyle w:val="FootnoteReference"/>
          <w:sz w:val="18"/>
          <w:szCs w:val="18"/>
        </w:rPr>
        <w:footnoteRef/>
      </w:r>
      <w:r w:rsidRPr="0023040F">
        <w:rPr>
          <w:sz w:val="18"/>
          <w:szCs w:val="18"/>
        </w:rPr>
        <w:t xml:space="preserve"> </w:t>
      </w:r>
      <w:r w:rsidR="0053150C" w:rsidRPr="0023040F">
        <w:rPr>
          <w:sz w:val="18"/>
          <w:szCs w:val="18"/>
        </w:rPr>
        <w:t xml:space="preserve">It is </w:t>
      </w:r>
      <w:r w:rsidR="009D77C4" w:rsidRPr="0023040F">
        <w:rPr>
          <w:sz w:val="18"/>
          <w:szCs w:val="18"/>
        </w:rPr>
        <w:t xml:space="preserve">relatively </w:t>
      </w:r>
      <w:r w:rsidR="0053150C" w:rsidRPr="0023040F">
        <w:rPr>
          <w:sz w:val="18"/>
          <w:szCs w:val="18"/>
        </w:rPr>
        <w:t>more efficient in that</w:t>
      </w:r>
      <w:r w:rsidRPr="0023040F">
        <w:rPr>
          <w:sz w:val="18"/>
          <w:szCs w:val="18"/>
        </w:rPr>
        <w:t xml:space="preserve">, in general, CIT generates less deadweight loss </w:t>
      </w:r>
      <w:r w:rsidR="00FB1886">
        <w:rPr>
          <w:sz w:val="18"/>
          <w:szCs w:val="18"/>
        </w:rPr>
        <w:t xml:space="preserve">(economic distortions) </w:t>
      </w:r>
      <w:r w:rsidRPr="0023040F">
        <w:rPr>
          <w:sz w:val="18"/>
          <w:szCs w:val="18"/>
        </w:rPr>
        <w:t>than the other</w:t>
      </w:r>
      <w:r w:rsidR="0099033B">
        <w:rPr>
          <w:sz w:val="18"/>
          <w:szCs w:val="18"/>
        </w:rPr>
        <w:t>s</w:t>
      </w:r>
      <w:r w:rsidRPr="0023040F">
        <w:rPr>
          <w:sz w:val="18"/>
          <w:szCs w:val="18"/>
        </w:rPr>
        <w:t xml:space="preserve">. </w:t>
      </w:r>
    </w:p>
  </w:footnote>
  <w:footnote w:id="8">
    <w:p w14:paraId="4AE2544B" w14:textId="77777777"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VAT does not distort the production side of the economy while excise and carbon taxes’ distortions are welfare-enhancing, as they internalize externalities.</w:t>
      </w:r>
    </w:p>
  </w:footnote>
  <w:footnote w:id="9">
    <w:p w14:paraId="67C8AB91" w14:textId="6F6C819B"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In some other countries, the CIT regime also allows for loss carryback which can act as an automatic stabilizer. Loss carryback provisions allow companies to offset current losses against past profits</w:t>
      </w:r>
      <w:r w:rsidR="00971A82">
        <w:rPr>
          <w:rFonts w:cstheme="minorHAnsi"/>
          <w:sz w:val="18"/>
          <w:szCs w:val="18"/>
        </w:rPr>
        <w:t>–</w:t>
      </w:r>
      <w:r w:rsidRPr="00087806">
        <w:rPr>
          <w:sz w:val="18"/>
          <w:szCs w:val="18"/>
        </w:rPr>
        <w:t xml:space="preserve">potentially generating tax refunds or credits that provide immediate cash flow assistance. </w:t>
      </w:r>
    </w:p>
  </w:footnote>
  <w:footnote w:id="10">
    <w:p w14:paraId="186AD037" w14:textId="66603997"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The 1925 Corporate Tax Ordinance remained the core basis for corporate taxation until 1983. Over more than half a century, it became riddled by hundreds of amendments, regulations, and decrees–offering special incentives and privileges to subsets of the tax base–such that it was considered confusing even by tax administrators (</w:t>
      </w:r>
      <w:proofErr w:type="spellStart"/>
      <w:r w:rsidRPr="00087806">
        <w:rPr>
          <w:sz w:val="18"/>
          <w:szCs w:val="18"/>
        </w:rPr>
        <w:t>Karyadi</w:t>
      </w:r>
      <w:proofErr w:type="spellEnd"/>
      <w:r w:rsidRPr="00087806">
        <w:rPr>
          <w:sz w:val="18"/>
          <w:szCs w:val="18"/>
        </w:rPr>
        <w:t xml:space="preserve"> and Darussalam 2017). </w:t>
      </w:r>
    </w:p>
  </w:footnote>
  <w:footnote w:id="11">
    <w:p w14:paraId="54C28F18" w14:textId="26429095"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Indirect taxes represented </w:t>
      </w:r>
      <w:r w:rsidR="00CB262B">
        <w:rPr>
          <w:sz w:val="18"/>
          <w:szCs w:val="18"/>
        </w:rPr>
        <w:t>about</w:t>
      </w:r>
      <w:r w:rsidRPr="00087806">
        <w:rPr>
          <w:sz w:val="18"/>
          <w:szCs w:val="18"/>
        </w:rPr>
        <w:t xml:space="preserve"> 80 percent of total taxes in 1966. Amid the commodities boom, this fell to </w:t>
      </w:r>
      <w:r w:rsidR="00CB262B">
        <w:rPr>
          <w:sz w:val="18"/>
          <w:szCs w:val="18"/>
        </w:rPr>
        <w:t>about</w:t>
      </w:r>
      <w:r w:rsidRPr="00087806">
        <w:rPr>
          <w:sz w:val="18"/>
          <w:szCs w:val="18"/>
        </w:rPr>
        <w:t xml:space="preserve"> 25 percent in </w:t>
      </w:r>
      <w:proofErr w:type="gramStart"/>
      <w:r w:rsidRPr="00087806">
        <w:rPr>
          <w:sz w:val="18"/>
          <w:szCs w:val="18"/>
        </w:rPr>
        <w:t>1977-78, but</w:t>
      </w:r>
      <w:proofErr w:type="gramEnd"/>
      <w:r w:rsidRPr="00087806">
        <w:rPr>
          <w:sz w:val="18"/>
          <w:szCs w:val="18"/>
        </w:rPr>
        <w:t xml:space="preserve"> was still </w:t>
      </w:r>
      <w:r w:rsidR="00CB262B">
        <w:rPr>
          <w:sz w:val="18"/>
          <w:szCs w:val="18"/>
        </w:rPr>
        <w:t>about</w:t>
      </w:r>
      <w:r w:rsidRPr="00087806">
        <w:rPr>
          <w:sz w:val="18"/>
          <w:szCs w:val="18"/>
        </w:rPr>
        <w:t xml:space="preserve"> 76 percent of nonoil taxes (Heij 2001: p.234; Gillis 1984: p.224). </w:t>
      </w:r>
    </w:p>
  </w:footnote>
  <w:footnote w:id="12">
    <w:p w14:paraId="46F85FA3" w14:textId="12A8A103"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By </w:t>
      </w:r>
      <w:r w:rsidR="00CB262B">
        <w:rPr>
          <w:sz w:val="18"/>
          <w:szCs w:val="18"/>
        </w:rPr>
        <w:t>about</w:t>
      </w:r>
      <w:r w:rsidRPr="00087806">
        <w:rPr>
          <w:sz w:val="18"/>
          <w:szCs w:val="18"/>
        </w:rPr>
        <w:t xml:space="preserve"> the start of the 1980s, corporate income taxes amounted to less than 1.5 percent of GDP, and personal income taxes amounted to just over 1 percent of GDP (Gillis, 1989: p.80). </w:t>
      </w:r>
    </w:p>
  </w:footnote>
  <w:footnote w:id="13">
    <w:p w14:paraId="4179DAD7" w14:textId="7C25C350"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w:t>
      </w:r>
      <w:r w:rsidR="00A256A8">
        <w:rPr>
          <w:sz w:val="18"/>
          <w:szCs w:val="18"/>
        </w:rPr>
        <w:t>The</w:t>
      </w:r>
      <w:r w:rsidRPr="00087806">
        <w:rPr>
          <w:sz w:val="18"/>
          <w:szCs w:val="18"/>
        </w:rPr>
        <w:t xml:space="preserve"> types of allowable standard deductions still differed</w:t>
      </w:r>
      <w:r w:rsidR="00A256A8">
        <w:rPr>
          <w:sz w:val="18"/>
          <w:szCs w:val="18"/>
        </w:rPr>
        <w:t>, however,</w:t>
      </w:r>
      <w:r w:rsidRPr="00087806">
        <w:rPr>
          <w:sz w:val="18"/>
          <w:szCs w:val="18"/>
        </w:rPr>
        <w:t xml:space="preserve"> between individuals and firms.</w:t>
      </w:r>
    </w:p>
  </w:footnote>
  <w:footnote w:id="14">
    <w:p w14:paraId="2CAF2F60" w14:textId="0858E6E4"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In 1994, it was reduced to 10 percent on the first R</w:t>
      </w:r>
      <w:r w:rsidR="0004266E">
        <w:rPr>
          <w:sz w:val="18"/>
          <w:szCs w:val="18"/>
        </w:rPr>
        <w:t>p</w:t>
      </w:r>
      <w:r w:rsidRPr="00087806">
        <w:rPr>
          <w:sz w:val="18"/>
          <w:szCs w:val="18"/>
        </w:rPr>
        <w:t xml:space="preserve"> 25 million, 15 percent on the next R</w:t>
      </w:r>
      <w:r w:rsidR="0004266E">
        <w:rPr>
          <w:sz w:val="18"/>
          <w:szCs w:val="18"/>
        </w:rPr>
        <w:t>p</w:t>
      </w:r>
      <w:r w:rsidRPr="00087806">
        <w:rPr>
          <w:sz w:val="18"/>
          <w:szCs w:val="18"/>
        </w:rPr>
        <w:t xml:space="preserve"> 25 million, and then 30 percent for all remaining income above R</w:t>
      </w:r>
      <w:r w:rsidR="0004266E">
        <w:rPr>
          <w:sz w:val="18"/>
          <w:szCs w:val="18"/>
        </w:rPr>
        <w:t>p</w:t>
      </w:r>
      <w:r w:rsidRPr="00087806">
        <w:rPr>
          <w:sz w:val="18"/>
          <w:szCs w:val="18"/>
        </w:rPr>
        <w:t xml:space="preserve"> 50 million.</w:t>
      </w:r>
    </w:p>
  </w:footnote>
  <w:footnote w:id="15">
    <w:p w14:paraId="7A8D38A6" w14:textId="232B36DB"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Deemed net profit rates offer eligible businesses a simpler method </w:t>
      </w:r>
      <w:r w:rsidR="002B24F6">
        <w:rPr>
          <w:sz w:val="18"/>
          <w:szCs w:val="18"/>
        </w:rPr>
        <w:t xml:space="preserve">to </w:t>
      </w:r>
      <w:r w:rsidRPr="00087806">
        <w:rPr>
          <w:sz w:val="18"/>
          <w:szCs w:val="18"/>
        </w:rPr>
        <w:t>calculat</w:t>
      </w:r>
      <w:r w:rsidR="002B24F6">
        <w:rPr>
          <w:sz w:val="18"/>
          <w:szCs w:val="18"/>
        </w:rPr>
        <w:t>e</w:t>
      </w:r>
      <w:r w:rsidRPr="00087806">
        <w:rPr>
          <w:sz w:val="18"/>
          <w:szCs w:val="18"/>
        </w:rPr>
        <w:t xml:space="preserve"> taxable income. Instead of carefully go</w:t>
      </w:r>
      <w:r w:rsidR="0001635A">
        <w:rPr>
          <w:sz w:val="18"/>
          <w:szCs w:val="18"/>
        </w:rPr>
        <w:t>ing</w:t>
      </w:r>
      <w:r w:rsidRPr="00087806">
        <w:rPr>
          <w:sz w:val="18"/>
          <w:szCs w:val="18"/>
        </w:rPr>
        <w:t xml:space="preserve"> through their accounts and the tax law to determine eligible tax deductions and adjustments, they can multiply their business turnover by the deemed net profit rate to arrive at taxable income. This is then taxed at the applicable CIT rate. </w:t>
      </w:r>
    </w:p>
  </w:footnote>
  <w:footnote w:id="16">
    <w:p w14:paraId="23F8C442" w14:textId="5A895E18" w:rsidR="008A0246" w:rsidRPr="00087806" w:rsidRDefault="008A0246" w:rsidP="00737249">
      <w:pPr>
        <w:pStyle w:val="FootnoteText"/>
        <w:jc w:val="both"/>
        <w:rPr>
          <w:sz w:val="18"/>
          <w:szCs w:val="18"/>
        </w:rPr>
      </w:pPr>
      <w:r w:rsidRPr="00087806">
        <w:rPr>
          <w:rStyle w:val="FootnoteReference"/>
          <w:sz w:val="18"/>
          <w:szCs w:val="18"/>
        </w:rPr>
        <w:footnoteRef/>
      </w:r>
      <w:r w:rsidRPr="00087806">
        <w:rPr>
          <w:sz w:val="18"/>
          <w:szCs w:val="18"/>
        </w:rPr>
        <w:t xml:space="preserve"> </w:t>
      </w:r>
      <w:r w:rsidR="00F50954">
        <w:rPr>
          <w:sz w:val="18"/>
          <w:szCs w:val="18"/>
        </w:rPr>
        <w:t>Government Regulation No.</w:t>
      </w:r>
      <w:r w:rsidRPr="00087806">
        <w:rPr>
          <w:sz w:val="18"/>
          <w:szCs w:val="18"/>
        </w:rPr>
        <w:t xml:space="preserve"> 46</w:t>
      </w:r>
      <w:r w:rsidR="00F50954">
        <w:rPr>
          <w:sz w:val="18"/>
          <w:szCs w:val="18"/>
        </w:rPr>
        <w:t>/</w:t>
      </w:r>
      <w:r w:rsidRPr="00087806">
        <w:rPr>
          <w:sz w:val="18"/>
          <w:szCs w:val="18"/>
        </w:rPr>
        <w:t xml:space="preserve">2013. </w:t>
      </w:r>
    </w:p>
  </w:footnote>
  <w:footnote w:id="17">
    <w:p w14:paraId="198DD678" w14:textId="2B487BAE" w:rsidR="008A0246" w:rsidRPr="00087806" w:rsidRDefault="008A0246" w:rsidP="00737249">
      <w:pPr>
        <w:pStyle w:val="FootnoteText"/>
        <w:jc w:val="both"/>
        <w:rPr>
          <w:sz w:val="18"/>
          <w:szCs w:val="18"/>
        </w:rPr>
      </w:pPr>
      <w:r w:rsidRPr="00087806">
        <w:rPr>
          <w:rStyle w:val="FootnoteReference"/>
          <w:sz w:val="18"/>
          <w:szCs w:val="18"/>
        </w:rPr>
        <w:footnoteRef/>
      </w:r>
      <w:r w:rsidRPr="00087806">
        <w:rPr>
          <w:sz w:val="18"/>
          <w:szCs w:val="18"/>
        </w:rPr>
        <w:t xml:space="preserve"> This threshold covers only 50,000 firms, compared with more than 400,000 firms previously registered under a much lower threshold of R</w:t>
      </w:r>
      <w:r w:rsidR="0004266E">
        <w:rPr>
          <w:sz w:val="18"/>
          <w:szCs w:val="18"/>
        </w:rPr>
        <w:t>p</w:t>
      </w:r>
      <w:r w:rsidRPr="00087806">
        <w:rPr>
          <w:sz w:val="18"/>
          <w:szCs w:val="18"/>
        </w:rPr>
        <w:t xml:space="preserve"> 600 million (IMF 2018).</w:t>
      </w:r>
    </w:p>
  </w:footnote>
  <w:footnote w:id="18">
    <w:p w14:paraId="71697FCD" w14:textId="0783C8CE" w:rsidR="008A0246" w:rsidRPr="00087806" w:rsidRDefault="008A0246" w:rsidP="00737249">
      <w:pPr>
        <w:pStyle w:val="FootnoteText"/>
        <w:jc w:val="both"/>
        <w:rPr>
          <w:sz w:val="18"/>
          <w:szCs w:val="18"/>
        </w:rPr>
      </w:pPr>
      <w:r w:rsidRPr="00087806">
        <w:rPr>
          <w:rStyle w:val="FootnoteReference"/>
          <w:sz w:val="18"/>
          <w:szCs w:val="18"/>
        </w:rPr>
        <w:footnoteRef/>
      </w:r>
      <w:r w:rsidRPr="00087806">
        <w:rPr>
          <w:sz w:val="18"/>
          <w:szCs w:val="18"/>
        </w:rPr>
        <w:t xml:space="preserve"> As it turned out, this 1 percent rate was higher than what many firms were already effectively paying under the CIT. It therefore led to bunching of firms </w:t>
      </w:r>
      <w:r w:rsidRPr="00087806">
        <w:rPr>
          <w:i/>
          <w:sz w:val="18"/>
          <w:szCs w:val="18"/>
        </w:rPr>
        <w:t>above</w:t>
      </w:r>
      <w:r w:rsidRPr="00087806">
        <w:rPr>
          <w:sz w:val="18"/>
          <w:szCs w:val="18"/>
        </w:rPr>
        <w:t xml:space="preserve"> the R</w:t>
      </w:r>
      <w:r w:rsidR="0004266E">
        <w:rPr>
          <w:sz w:val="18"/>
          <w:szCs w:val="18"/>
        </w:rPr>
        <w:t>p</w:t>
      </w:r>
      <w:r w:rsidRPr="00087806">
        <w:rPr>
          <w:sz w:val="18"/>
          <w:szCs w:val="18"/>
        </w:rPr>
        <w:t xml:space="preserve"> 4.8 billion threshold (</w:t>
      </w:r>
      <w:proofErr w:type="spellStart"/>
      <w:r w:rsidRPr="00087806">
        <w:rPr>
          <w:sz w:val="18"/>
          <w:szCs w:val="18"/>
        </w:rPr>
        <w:t>Saputro</w:t>
      </w:r>
      <w:proofErr w:type="spellEnd"/>
      <w:r w:rsidRPr="00087806">
        <w:rPr>
          <w:sz w:val="18"/>
          <w:szCs w:val="18"/>
        </w:rPr>
        <w:t xml:space="preserve"> 2020).</w:t>
      </w:r>
    </w:p>
  </w:footnote>
  <w:footnote w:id="19">
    <w:p w14:paraId="17D18126" w14:textId="77777777"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As an example, firms with a minimum stock market listing of 40 percent of company equity, and meeting the other related provisions, would face a CIT rate of 19 percent in 2020. </w:t>
      </w:r>
    </w:p>
  </w:footnote>
  <w:footnote w:id="20">
    <w:p w14:paraId="4D6AF434" w14:textId="77777777"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Including profits, gains, and other forms of income from business activities in Indonesia. </w:t>
      </w:r>
    </w:p>
  </w:footnote>
  <w:footnote w:id="21">
    <w:p w14:paraId="1B274AFB" w14:textId="121DFDEA"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Eligible deductions also include interest, rents, insurance premiums, </w:t>
      </w:r>
      <w:r w:rsidR="00696B27">
        <w:rPr>
          <w:sz w:val="18"/>
          <w:szCs w:val="18"/>
        </w:rPr>
        <w:t>research and development</w:t>
      </w:r>
      <w:r w:rsidRPr="00087806">
        <w:rPr>
          <w:sz w:val="18"/>
          <w:szCs w:val="18"/>
        </w:rPr>
        <w:t xml:space="preserve"> expenditures carried out in Indonesia, scholarships, apprenticeships, training, losses from foreign exchange, and uncollectible debts. </w:t>
      </w:r>
    </w:p>
  </w:footnote>
  <w:footnote w:id="22">
    <w:p w14:paraId="4D743BBA" w14:textId="77777777"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This must be paid before the imported goods are released from the port to the importer. Different rates apply to different types of goods. Businesses based in special economic zones and importing to export are excluded. </w:t>
      </w:r>
    </w:p>
  </w:footnote>
  <w:footnote w:id="23">
    <w:p w14:paraId="27D62556" w14:textId="01079CD4"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Globally, statutory corporate income tax rates averaged 40.1 percent in 1980, unweighted, and 46.5 percent when weighted by GDP (Tax Foundation 2022). </w:t>
      </w:r>
    </w:p>
  </w:footnote>
  <w:footnote w:id="24">
    <w:p w14:paraId="5D632996" w14:textId="48BBC999"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w:t>
      </w:r>
      <w:r w:rsidR="006E1BA3">
        <w:rPr>
          <w:sz w:val="18"/>
          <w:szCs w:val="18"/>
        </w:rPr>
        <w:t>T</w:t>
      </w:r>
      <w:r w:rsidR="00CD7BD2">
        <w:rPr>
          <w:sz w:val="18"/>
          <w:szCs w:val="18"/>
        </w:rPr>
        <w:t xml:space="preserve">o assist with </w:t>
      </w:r>
      <w:r w:rsidR="00643B6A">
        <w:rPr>
          <w:sz w:val="18"/>
          <w:szCs w:val="18"/>
        </w:rPr>
        <w:t xml:space="preserve">cross-country </w:t>
      </w:r>
      <w:r w:rsidRPr="00087806">
        <w:rPr>
          <w:sz w:val="18"/>
          <w:szCs w:val="18"/>
        </w:rPr>
        <w:t xml:space="preserve">comparability, we discuss the sum of all corporate income taxation which includes revenues from the CIT regime as well as that from alternative regimes and special provisions. </w:t>
      </w:r>
      <w:r w:rsidR="006E1BA3">
        <w:rPr>
          <w:sz w:val="18"/>
          <w:szCs w:val="18"/>
        </w:rPr>
        <w:t>F</w:t>
      </w:r>
      <w:r w:rsidR="00CD7BD2">
        <w:rPr>
          <w:sz w:val="18"/>
          <w:szCs w:val="18"/>
        </w:rPr>
        <w:t>or Figures 2.</w:t>
      </w:r>
      <w:r w:rsidR="000F1DC0">
        <w:rPr>
          <w:sz w:val="18"/>
          <w:szCs w:val="18"/>
        </w:rPr>
        <w:t>3</w:t>
      </w:r>
      <w:r w:rsidR="00B42DEF">
        <w:rPr>
          <w:sz w:val="18"/>
          <w:szCs w:val="18"/>
        </w:rPr>
        <w:t>-</w:t>
      </w:r>
      <w:r w:rsidR="00CD7BD2">
        <w:rPr>
          <w:sz w:val="18"/>
          <w:szCs w:val="18"/>
        </w:rPr>
        <w:t>2.</w:t>
      </w:r>
      <w:r w:rsidR="000F1DC0">
        <w:rPr>
          <w:sz w:val="18"/>
          <w:szCs w:val="18"/>
        </w:rPr>
        <w:t>5</w:t>
      </w:r>
      <w:r w:rsidR="00033B13">
        <w:rPr>
          <w:sz w:val="18"/>
          <w:szCs w:val="18"/>
        </w:rPr>
        <w:t xml:space="preserve">, </w:t>
      </w:r>
      <w:r w:rsidR="00163972">
        <w:rPr>
          <w:sz w:val="18"/>
          <w:szCs w:val="18"/>
        </w:rPr>
        <w:t xml:space="preserve">data on </w:t>
      </w:r>
      <w:r w:rsidR="00033B13">
        <w:rPr>
          <w:sz w:val="18"/>
          <w:szCs w:val="18"/>
        </w:rPr>
        <w:t xml:space="preserve">corporate income tax includes revenues from the </w:t>
      </w:r>
      <w:r w:rsidR="00B42DEF">
        <w:rPr>
          <w:sz w:val="18"/>
          <w:szCs w:val="18"/>
        </w:rPr>
        <w:t>AFT</w:t>
      </w:r>
      <w:r w:rsidR="00033B13">
        <w:rPr>
          <w:sz w:val="18"/>
          <w:szCs w:val="18"/>
        </w:rPr>
        <w:t xml:space="preserve">, which this paper </w:t>
      </w:r>
      <w:r w:rsidR="00163972">
        <w:rPr>
          <w:sz w:val="18"/>
          <w:szCs w:val="18"/>
        </w:rPr>
        <w:t xml:space="preserve">separately reviews in Section 3. </w:t>
      </w:r>
      <w:r w:rsidR="00B42DEF">
        <w:rPr>
          <w:sz w:val="18"/>
          <w:szCs w:val="18"/>
        </w:rPr>
        <w:t xml:space="preserve">AFT revenues are less than 10 percent of those from the standard CIT regime. </w:t>
      </w:r>
    </w:p>
  </w:footnote>
  <w:footnote w:id="25">
    <w:p w14:paraId="403F3510" w14:textId="4DB3E4B5"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With corporate tax collections that have ranged between 2.7-3.9 percent of GDP, 3.4-4.5 percent, </w:t>
      </w:r>
      <w:r w:rsidR="006E1BA3">
        <w:rPr>
          <w:sz w:val="18"/>
          <w:szCs w:val="18"/>
        </w:rPr>
        <w:t xml:space="preserve">and </w:t>
      </w:r>
      <w:r w:rsidRPr="00087806">
        <w:rPr>
          <w:sz w:val="18"/>
          <w:szCs w:val="18"/>
        </w:rPr>
        <w:t xml:space="preserve">3.8-6.1 percent, respectively, for available data on these countries between 2002 and 2019. </w:t>
      </w:r>
    </w:p>
  </w:footnote>
  <w:footnote w:id="26">
    <w:p w14:paraId="3302A3BF" w14:textId="2EF6FACB" w:rsidR="00EF37A3" w:rsidRPr="0001635A" w:rsidRDefault="00EF37A3" w:rsidP="00737249">
      <w:pPr>
        <w:pStyle w:val="FootnoteText"/>
        <w:jc w:val="both"/>
        <w:rPr>
          <w:sz w:val="18"/>
          <w:szCs w:val="18"/>
        </w:rPr>
      </w:pPr>
      <w:r w:rsidRPr="0001635A">
        <w:rPr>
          <w:rStyle w:val="FootnoteReference"/>
          <w:sz w:val="18"/>
          <w:szCs w:val="18"/>
        </w:rPr>
        <w:footnoteRef/>
      </w:r>
      <w:r w:rsidRPr="0001635A">
        <w:rPr>
          <w:sz w:val="18"/>
          <w:szCs w:val="18"/>
        </w:rPr>
        <w:t xml:space="preserve"> </w:t>
      </w:r>
      <w:r w:rsidR="006A2CB3" w:rsidRPr="0001635A">
        <w:rPr>
          <w:sz w:val="18"/>
          <w:szCs w:val="18"/>
        </w:rPr>
        <w:t>CIT efficiency is calculated as the CIT</w:t>
      </w:r>
      <w:r w:rsidR="006A2CB3">
        <w:rPr>
          <w:sz w:val="18"/>
          <w:szCs w:val="18"/>
        </w:rPr>
        <w:t xml:space="preserve"> </w:t>
      </w:r>
      <w:r w:rsidR="006A2CB3" w:rsidRPr="0001635A">
        <w:rPr>
          <w:sz w:val="18"/>
          <w:szCs w:val="18"/>
        </w:rPr>
        <w:t xml:space="preserve">revenue-to-GDP ratio divided by the statutory CIT rate and the share of gross operating surplus in total value added. </w:t>
      </w:r>
      <w:r w:rsidR="00FE1709">
        <w:rPr>
          <w:sz w:val="18"/>
          <w:szCs w:val="18"/>
        </w:rPr>
        <w:t xml:space="preserve">The </w:t>
      </w:r>
      <w:r w:rsidR="006A2CB3" w:rsidRPr="0001635A">
        <w:rPr>
          <w:sz w:val="18"/>
          <w:szCs w:val="18"/>
        </w:rPr>
        <w:t xml:space="preserve">GOS </w:t>
      </w:r>
      <w:r w:rsidR="00FE1709">
        <w:rPr>
          <w:sz w:val="18"/>
          <w:szCs w:val="18"/>
        </w:rPr>
        <w:t xml:space="preserve">share </w:t>
      </w:r>
      <w:r w:rsidR="00FB1E59">
        <w:rPr>
          <w:sz w:val="18"/>
          <w:szCs w:val="18"/>
        </w:rPr>
        <w:t xml:space="preserve">is from the years </w:t>
      </w:r>
      <w:r w:rsidR="00926B12">
        <w:rPr>
          <w:sz w:val="18"/>
          <w:szCs w:val="18"/>
        </w:rPr>
        <w:t>2015 (</w:t>
      </w:r>
      <w:r w:rsidR="008E3D2F">
        <w:rPr>
          <w:sz w:val="18"/>
          <w:szCs w:val="18"/>
        </w:rPr>
        <w:t xml:space="preserve">Thailand, </w:t>
      </w:r>
      <w:r w:rsidR="00EA4CC0">
        <w:rPr>
          <w:sz w:val="18"/>
          <w:szCs w:val="18"/>
        </w:rPr>
        <w:t xml:space="preserve">Singapore), </w:t>
      </w:r>
      <w:r w:rsidR="006A2CB3" w:rsidRPr="003F732D">
        <w:rPr>
          <w:sz w:val="18"/>
          <w:szCs w:val="18"/>
        </w:rPr>
        <w:t>2016</w:t>
      </w:r>
      <w:r w:rsidR="00FB1E59">
        <w:rPr>
          <w:sz w:val="18"/>
          <w:szCs w:val="18"/>
        </w:rPr>
        <w:t xml:space="preserve"> (</w:t>
      </w:r>
      <w:r w:rsidR="00EA4CC0">
        <w:rPr>
          <w:sz w:val="18"/>
          <w:szCs w:val="18"/>
        </w:rPr>
        <w:t xml:space="preserve">Indonesia), </w:t>
      </w:r>
      <w:r w:rsidR="00B055B2">
        <w:rPr>
          <w:sz w:val="18"/>
          <w:szCs w:val="18"/>
        </w:rPr>
        <w:t>2018 (Philippines)</w:t>
      </w:r>
      <w:r w:rsidR="00B5443F">
        <w:rPr>
          <w:sz w:val="18"/>
          <w:szCs w:val="18"/>
        </w:rPr>
        <w:t>, and 2019 (Malaysia)</w:t>
      </w:r>
      <w:r w:rsidR="006A2CB3" w:rsidRPr="0001635A">
        <w:rPr>
          <w:sz w:val="18"/>
          <w:szCs w:val="18"/>
        </w:rPr>
        <w:t xml:space="preserve">. </w:t>
      </w:r>
      <w:r w:rsidR="00BB234E" w:rsidRPr="0001635A">
        <w:rPr>
          <w:sz w:val="18"/>
          <w:szCs w:val="18"/>
        </w:rPr>
        <w:t>Methodological differences in the allocation of value-added to capital and labor by countr</w:t>
      </w:r>
      <w:r w:rsidR="00852903" w:rsidRPr="0001635A">
        <w:rPr>
          <w:sz w:val="18"/>
          <w:szCs w:val="18"/>
        </w:rPr>
        <w:t>ies’</w:t>
      </w:r>
      <w:r w:rsidR="00BB234E" w:rsidRPr="0001635A">
        <w:rPr>
          <w:sz w:val="18"/>
          <w:szCs w:val="18"/>
        </w:rPr>
        <w:t xml:space="preserve"> statistical agencies may drive some of the </w:t>
      </w:r>
      <w:r w:rsidR="00A829D8" w:rsidRPr="0001635A">
        <w:rPr>
          <w:sz w:val="18"/>
          <w:szCs w:val="18"/>
        </w:rPr>
        <w:t xml:space="preserve">observed </w:t>
      </w:r>
      <w:r w:rsidR="00BB234E" w:rsidRPr="0001635A">
        <w:rPr>
          <w:sz w:val="18"/>
          <w:szCs w:val="18"/>
        </w:rPr>
        <w:t xml:space="preserve">differences </w:t>
      </w:r>
      <w:r w:rsidR="000E2259">
        <w:rPr>
          <w:sz w:val="18"/>
          <w:szCs w:val="18"/>
        </w:rPr>
        <w:t xml:space="preserve">in </w:t>
      </w:r>
      <w:r w:rsidR="00BB234E" w:rsidRPr="0001635A">
        <w:rPr>
          <w:sz w:val="18"/>
          <w:szCs w:val="18"/>
        </w:rPr>
        <w:t>CIT efficiency</w:t>
      </w:r>
      <w:r w:rsidR="00A829D8" w:rsidRPr="0001635A">
        <w:rPr>
          <w:sz w:val="18"/>
          <w:szCs w:val="18"/>
        </w:rPr>
        <w:t xml:space="preserve">. This is also true of the </w:t>
      </w:r>
      <w:r w:rsidR="00BB234E" w:rsidRPr="0001635A">
        <w:rPr>
          <w:sz w:val="18"/>
          <w:szCs w:val="18"/>
        </w:rPr>
        <w:t xml:space="preserve">CIT to GDP </w:t>
      </w:r>
      <w:r w:rsidR="00A829D8" w:rsidRPr="0001635A">
        <w:rPr>
          <w:sz w:val="18"/>
          <w:szCs w:val="18"/>
        </w:rPr>
        <w:t xml:space="preserve">ratio </w:t>
      </w:r>
      <w:r w:rsidR="00BB234E" w:rsidRPr="0001635A">
        <w:rPr>
          <w:sz w:val="18"/>
          <w:szCs w:val="18"/>
        </w:rPr>
        <w:t xml:space="preserve">discussed earlier. </w:t>
      </w:r>
      <w:r w:rsidR="000E2259">
        <w:rPr>
          <w:sz w:val="18"/>
          <w:szCs w:val="18"/>
        </w:rPr>
        <w:t xml:space="preserve">Despite </w:t>
      </w:r>
      <w:r w:rsidR="00BB234E" w:rsidRPr="0001635A">
        <w:rPr>
          <w:sz w:val="18"/>
          <w:szCs w:val="18"/>
        </w:rPr>
        <w:t>these limitations, the CIT efficiency ratio can provide invaluable insights into the relative magnitude of the CIT compliance and policy gaps across countries.</w:t>
      </w:r>
    </w:p>
  </w:footnote>
  <w:footnote w:id="27">
    <w:p w14:paraId="53E36AEC" w14:textId="77777777"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This paper does not discuss the details of Indonesia’s main resources sector taxation arrangements. </w:t>
      </w:r>
    </w:p>
  </w:footnote>
  <w:footnote w:id="28">
    <w:p w14:paraId="5689BDD8" w14:textId="145610BE"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Permanent establishments are nonresident business entities that the tax law considers as having a taxable presence in Indonesia. These include nonresident entities with a branch, place of management, factory, warehouse, a space for promotion or selling, or any of several types of natural or extractive resource activities in Indonesia. It also includes services provided by agents in Indonesia, and any employee work conducted in Indonesia over more than 60 days in a consecutive 12-month period. </w:t>
      </w:r>
    </w:p>
  </w:footnote>
  <w:footnote w:id="29">
    <w:p w14:paraId="7D44E6B3" w14:textId="77777777"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Including individuals carrying out business activities but not registered as a business. </w:t>
      </w:r>
    </w:p>
  </w:footnote>
  <w:footnote w:id="30">
    <w:p w14:paraId="57535C0F" w14:textId="77777777"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For a discussion of the special schemes and incentives offered to shipping companies around the world, see PricewaterhouseCoopers (2015). </w:t>
      </w:r>
    </w:p>
  </w:footnote>
  <w:footnote w:id="31">
    <w:p w14:paraId="33FF8F2E" w14:textId="3A0CB89D"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w:t>
      </w:r>
      <w:r w:rsidR="006858D7">
        <w:rPr>
          <w:sz w:val="18"/>
          <w:szCs w:val="18"/>
        </w:rPr>
        <w:t>Government Regulation No.</w:t>
      </w:r>
      <w:r w:rsidRPr="00087806">
        <w:rPr>
          <w:sz w:val="18"/>
          <w:szCs w:val="18"/>
        </w:rPr>
        <w:t xml:space="preserve"> 9</w:t>
      </w:r>
      <w:r w:rsidR="006858D7">
        <w:rPr>
          <w:sz w:val="18"/>
          <w:szCs w:val="18"/>
        </w:rPr>
        <w:t>/</w:t>
      </w:r>
      <w:r w:rsidRPr="00087806">
        <w:rPr>
          <w:sz w:val="18"/>
          <w:szCs w:val="18"/>
        </w:rPr>
        <w:t xml:space="preserve">2022. </w:t>
      </w:r>
    </w:p>
  </w:footnote>
  <w:footnote w:id="32">
    <w:p w14:paraId="6E24A87B" w14:textId="4DA9A20D"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Or competency certification for individual entrepreneurs. </w:t>
      </w:r>
      <w:r w:rsidR="00224573">
        <w:rPr>
          <w:sz w:val="18"/>
          <w:szCs w:val="18"/>
        </w:rPr>
        <w:t xml:space="preserve">These formal certifications </w:t>
      </w:r>
      <w:r w:rsidR="00013D59">
        <w:rPr>
          <w:sz w:val="18"/>
          <w:szCs w:val="18"/>
        </w:rPr>
        <w:t xml:space="preserve">of construction sector operators </w:t>
      </w:r>
      <w:r w:rsidR="000C0D8C">
        <w:rPr>
          <w:sz w:val="18"/>
          <w:szCs w:val="18"/>
        </w:rPr>
        <w:t xml:space="preserve">are regulated under the </w:t>
      </w:r>
      <w:r w:rsidR="00EA2663">
        <w:rPr>
          <w:sz w:val="18"/>
          <w:szCs w:val="18"/>
        </w:rPr>
        <w:t>Ministry of Public Works and Housing and the Ministry of Energy and Mineral Resources</w:t>
      </w:r>
      <w:r w:rsidR="00013D59">
        <w:rPr>
          <w:sz w:val="18"/>
          <w:szCs w:val="18"/>
        </w:rPr>
        <w:t xml:space="preserve">. </w:t>
      </w:r>
    </w:p>
  </w:footnote>
  <w:footnote w:id="33">
    <w:p w14:paraId="0F606F8C" w14:textId="77777777" w:rsidR="00130BE0" w:rsidRPr="00087806" w:rsidRDefault="00130BE0" w:rsidP="00737249">
      <w:pPr>
        <w:pStyle w:val="FootnoteText"/>
        <w:jc w:val="both"/>
        <w:rPr>
          <w:sz w:val="18"/>
          <w:szCs w:val="18"/>
        </w:rPr>
      </w:pPr>
      <w:r w:rsidRPr="00087806">
        <w:rPr>
          <w:rStyle w:val="FootnoteReference"/>
          <w:sz w:val="18"/>
          <w:szCs w:val="18"/>
        </w:rPr>
        <w:footnoteRef/>
      </w:r>
      <w:r w:rsidRPr="00087806">
        <w:rPr>
          <w:sz w:val="18"/>
          <w:szCs w:val="18"/>
        </w:rPr>
        <w:t xml:space="preserve"> For instance, uncertified businesses have higher rates, as do larger businesses. Rates are higher for providers of planning and supervisory services relative to providers of construction implementation services. </w:t>
      </w:r>
    </w:p>
  </w:footnote>
  <w:footnote w:id="34">
    <w:p w14:paraId="01A400E4" w14:textId="77777777" w:rsidR="00130BE0" w:rsidRPr="00087806" w:rsidRDefault="00130BE0" w:rsidP="00737249">
      <w:pPr>
        <w:pStyle w:val="FootnoteText"/>
        <w:ind w:left="2160" w:hanging="2160"/>
        <w:jc w:val="both"/>
        <w:rPr>
          <w:sz w:val="18"/>
          <w:szCs w:val="18"/>
        </w:rPr>
      </w:pPr>
      <w:r w:rsidRPr="00087806">
        <w:rPr>
          <w:rStyle w:val="FootnoteReference"/>
          <w:sz w:val="18"/>
          <w:szCs w:val="18"/>
        </w:rPr>
        <w:footnoteRef/>
      </w:r>
      <w:r w:rsidRPr="00087806">
        <w:rPr>
          <w:sz w:val="18"/>
          <w:szCs w:val="18"/>
        </w:rPr>
        <w:t xml:space="preserve"> Includes maintenance and upkeep fees, security fees, service fees, and other facility fees. </w:t>
      </w:r>
    </w:p>
  </w:footnote>
  <w:footnote w:id="35">
    <w:p w14:paraId="6B9ACFE8" w14:textId="54D1600D" w:rsidR="009F620F" w:rsidRPr="0023040F" w:rsidRDefault="009F620F" w:rsidP="00737249">
      <w:pPr>
        <w:pStyle w:val="FootnoteText"/>
        <w:jc w:val="both"/>
        <w:rPr>
          <w:sz w:val="18"/>
          <w:szCs w:val="18"/>
        </w:rPr>
      </w:pPr>
      <w:r w:rsidRPr="0023040F">
        <w:rPr>
          <w:rStyle w:val="FootnoteReference"/>
          <w:sz w:val="18"/>
          <w:szCs w:val="18"/>
        </w:rPr>
        <w:footnoteRef/>
      </w:r>
      <w:r w:rsidRPr="0023040F">
        <w:rPr>
          <w:sz w:val="18"/>
          <w:szCs w:val="18"/>
        </w:rPr>
        <w:t xml:space="preserve"> </w:t>
      </w:r>
      <w:r w:rsidR="0074262E" w:rsidRPr="0023040F">
        <w:rPr>
          <w:sz w:val="18"/>
          <w:szCs w:val="18"/>
        </w:rPr>
        <w:t xml:space="preserve">Although ‘real estate businesses’ are emphasized, </w:t>
      </w:r>
      <w:r w:rsidR="00B3022B" w:rsidRPr="0023040F">
        <w:rPr>
          <w:sz w:val="18"/>
          <w:szCs w:val="18"/>
        </w:rPr>
        <w:t xml:space="preserve">these final taxes on sales of land and property apply to all </w:t>
      </w:r>
      <w:r w:rsidR="0074262E" w:rsidRPr="0023040F">
        <w:rPr>
          <w:sz w:val="18"/>
          <w:szCs w:val="18"/>
        </w:rPr>
        <w:t xml:space="preserve">such </w:t>
      </w:r>
      <w:r w:rsidR="00B3022B" w:rsidRPr="0023040F">
        <w:rPr>
          <w:sz w:val="18"/>
          <w:szCs w:val="18"/>
        </w:rPr>
        <w:t xml:space="preserve">sales, irrespective of what sector the selling business is in. </w:t>
      </w:r>
    </w:p>
  </w:footnote>
  <w:footnote w:id="36">
    <w:p w14:paraId="0BC2D2B2" w14:textId="77777777" w:rsidR="00130BE0" w:rsidRPr="00087806" w:rsidRDefault="00130BE0" w:rsidP="00130BE0">
      <w:pPr>
        <w:pStyle w:val="FootnoteText"/>
        <w:rPr>
          <w:sz w:val="18"/>
          <w:szCs w:val="18"/>
        </w:rPr>
      </w:pPr>
      <w:r w:rsidRPr="00087806">
        <w:rPr>
          <w:rStyle w:val="FootnoteReference"/>
          <w:sz w:val="18"/>
          <w:szCs w:val="18"/>
        </w:rPr>
        <w:footnoteRef/>
      </w:r>
      <w:r w:rsidRPr="00087806">
        <w:rPr>
          <w:sz w:val="18"/>
          <w:szCs w:val="18"/>
        </w:rPr>
        <w:t xml:space="preserve"> This paragraph is largely based on arguments raised in: Ernst &amp; Young (2020). </w:t>
      </w:r>
    </w:p>
  </w:footnote>
  <w:footnote w:id="37">
    <w:p w14:paraId="7CE8731E" w14:textId="41420E73" w:rsidR="00D8147B" w:rsidRPr="0023040F" w:rsidRDefault="00D8147B">
      <w:pPr>
        <w:pStyle w:val="FootnoteText"/>
        <w:rPr>
          <w:sz w:val="18"/>
          <w:szCs w:val="18"/>
        </w:rPr>
      </w:pPr>
      <w:r w:rsidRPr="0023040F">
        <w:rPr>
          <w:rStyle w:val="FootnoteReference"/>
          <w:sz w:val="18"/>
          <w:szCs w:val="18"/>
        </w:rPr>
        <w:footnoteRef/>
      </w:r>
      <w:r w:rsidRPr="0023040F">
        <w:rPr>
          <w:sz w:val="18"/>
          <w:szCs w:val="18"/>
        </w:rPr>
        <w:t xml:space="preserve"> For example, high use of informal labor and </w:t>
      </w:r>
      <w:r w:rsidR="00DC49EB">
        <w:rPr>
          <w:sz w:val="18"/>
          <w:szCs w:val="18"/>
        </w:rPr>
        <w:t xml:space="preserve">multi-layered </w:t>
      </w:r>
      <w:r w:rsidRPr="0023040F">
        <w:rPr>
          <w:sz w:val="18"/>
          <w:szCs w:val="18"/>
        </w:rPr>
        <w:t xml:space="preserve">subcontracting to informal businesses. </w:t>
      </w:r>
    </w:p>
  </w:footnote>
  <w:footnote w:id="38">
    <w:p w14:paraId="4C199C0E" w14:textId="3E7F70DE" w:rsidR="00130BE0" w:rsidRPr="00087806" w:rsidRDefault="00130BE0" w:rsidP="00130BE0">
      <w:pPr>
        <w:pStyle w:val="FootnoteText"/>
        <w:rPr>
          <w:sz w:val="18"/>
          <w:szCs w:val="18"/>
        </w:rPr>
      </w:pPr>
      <w:r w:rsidRPr="00087806">
        <w:rPr>
          <w:rStyle w:val="FootnoteReference"/>
          <w:sz w:val="18"/>
          <w:szCs w:val="18"/>
        </w:rPr>
        <w:footnoteRef/>
      </w:r>
      <w:r w:rsidRPr="00087806">
        <w:rPr>
          <w:sz w:val="18"/>
          <w:szCs w:val="18"/>
        </w:rPr>
        <w:t xml:space="preserve"> </w:t>
      </w:r>
      <w:r w:rsidR="00CF13FF">
        <w:rPr>
          <w:sz w:val="18"/>
          <w:szCs w:val="18"/>
        </w:rPr>
        <w:t>Government Regulation No.</w:t>
      </w:r>
      <w:r w:rsidRPr="00087806">
        <w:rPr>
          <w:sz w:val="18"/>
          <w:szCs w:val="18"/>
        </w:rPr>
        <w:t xml:space="preserve"> 9</w:t>
      </w:r>
      <w:r w:rsidR="00CF13FF">
        <w:rPr>
          <w:sz w:val="18"/>
          <w:szCs w:val="18"/>
        </w:rPr>
        <w:t>/</w:t>
      </w:r>
      <w:r w:rsidRPr="00087806">
        <w:rPr>
          <w:sz w:val="18"/>
          <w:szCs w:val="18"/>
        </w:rPr>
        <w:t xml:space="preserve">2022 stipulates that the implementation of its final tax provisions will be evaluated by the Minister of Finance after 21 February 2025. </w:t>
      </w:r>
    </w:p>
  </w:footnote>
  <w:footnote w:id="39">
    <w:p w14:paraId="4EFD5630" w14:textId="53C4F4E1" w:rsidR="00370D43" w:rsidRDefault="00370D43">
      <w:pPr>
        <w:pStyle w:val="FootnoteText"/>
      </w:pPr>
      <w:r>
        <w:rPr>
          <w:rStyle w:val="FootnoteReference"/>
        </w:rPr>
        <w:footnoteRef/>
      </w:r>
      <w:r>
        <w:t xml:space="preserve"> </w:t>
      </w:r>
      <w:r w:rsidRPr="0023040F">
        <w:rPr>
          <w:sz w:val="18"/>
          <w:szCs w:val="18"/>
        </w:rPr>
        <w:t xml:space="preserve">Notwithstanding, </w:t>
      </w:r>
      <w:r w:rsidR="00603EF8" w:rsidRPr="0023040F">
        <w:rPr>
          <w:sz w:val="18"/>
          <w:szCs w:val="18"/>
        </w:rPr>
        <w:t xml:space="preserve">Indonesia has been party to </w:t>
      </w:r>
      <w:r w:rsidR="00084ADA" w:rsidRPr="0023040F">
        <w:rPr>
          <w:sz w:val="18"/>
          <w:szCs w:val="18"/>
        </w:rPr>
        <w:t xml:space="preserve">considerable international dialogue </w:t>
      </w:r>
      <w:r w:rsidRPr="0023040F">
        <w:rPr>
          <w:sz w:val="18"/>
          <w:szCs w:val="18"/>
        </w:rPr>
        <w:t>on international tax rules led by</w:t>
      </w:r>
      <w:r w:rsidR="00603EF8" w:rsidRPr="0023040F">
        <w:rPr>
          <w:sz w:val="18"/>
          <w:szCs w:val="18"/>
        </w:rPr>
        <w:t xml:space="preserve">, for instance, </w:t>
      </w:r>
      <w:r w:rsidRPr="0023040F">
        <w:rPr>
          <w:sz w:val="18"/>
          <w:szCs w:val="18"/>
        </w:rPr>
        <w:t>the G20</w:t>
      </w:r>
      <w:r w:rsidR="00603EF8" w:rsidRPr="0023040F">
        <w:rPr>
          <w:sz w:val="18"/>
          <w:szCs w:val="18"/>
        </w:rPr>
        <w:t xml:space="preserve"> and </w:t>
      </w:r>
      <w:r w:rsidRPr="0023040F">
        <w:rPr>
          <w:sz w:val="18"/>
          <w:szCs w:val="18"/>
        </w:rPr>
        <w:t>OECD</w:t>
      </w:r>
      <w:r w:rsidR="00603EF8" w:rsidRPr="0023040F">
        <w:rPr>
          <w:sz w:val="18"/>
          <w:szCs w:val="18"/>
        </w:rPr>
        <w:t xml:space="preserve">. </w:t>
      </w:r>
      <w:r w:rsidR="0093557F">
        <w:rPr>
          <w:sz w:val="18"/>
          <w:szCs w:val="18"/>
        </w:rPr>
        <w:t xml:space="preserve">The country has </w:t>
      </w:r>
      <w:r w:rsidRPr="0023040F">
        <w:rPr>
          <w:sz w:val="18"/>
          <w:szCs w:val="18"/>
        </w:rPr>
        <w:t xml:space="preserve">signed </w:t>
      </w:r>
      <w:r w:rsidR="00571906" w:rsidRPr="0023040F">
        <w:rPr>
          <w:sz w:val="18"/>
          <w:szCs w:val="18"/>
        </w:rPr>
        <w:t xml:space="preserve">many </w:t>
      </w:r>
      <w:r w:rsidRPr="0023040F">
        <w:rPr>
          <w:sz w:val="18"/>
          <w:szCs w:val="18"/>
        </w:rPr>
        <w:t xml:space="preserve">relevant </w:t>
      </w:r>
      <w:r w:rsidR="00C30829">
        <w:rPr>
          <w:sz w:val="18"/>
          <w:szCs w:val="18"/>
        </w:rPr>
        <w:t xml:space="preserve">international </w:t>
      </w:r>
      <w:r w:rsidRPr="0023040F">
        <w:rPr>
          <w:sz w:val="18"/>
          <w:szCs w:val="18"/>
        </w:rPr>
        <w:t>agreements</w:t>
      </w:r>
      <w:r w:rsidR="00571906" w:rsidRPr="0023040F">
        <w:rPr>
          <w:sz w:val="18"/>
          <w:szCs w:val="18"/>
        </w:rPr>
        <w:t xml:space="preserve"> and, </w:t>
      </w:r>
      <w:r w:rsidRPr="0023040F">
        <w:rPr>
          <w:sz w:val="18"/>
          <w:szCs w:val="18"/>
        </w:rPr>
        <w:t xml:space="preserve">in some cases, </w:t>
      </w:r>
      <w:r w:rsidR="00C27673" w:rsidRPr="0023040F">
        <w:rPr>
          <w:sz w:val="18"/>
          <w:szCs w:val="18"/>
        </w:rPr>
        <w:t xml:space="preserve">has been one of the </w:t>
      </w:r>
      <w:r w:rsidRPr="0023040F">
        <w:rPr>
          <w:sz w:val="18"/>
          <w:szCs w:val="18"/>
        </w:rPr>
        <w:t xml:space="preserve">first </w:t>
      </w:r>
      <w:r w:rsidR="002D16D8" w:rsidRPr="0023040F">
        <w:rPr>
          <w:sz w:val="18"/>
          <w:szCs w:val="18"/>
        </w:rPr>
        <w:t xml:space="preserve">emerging market and developing economies </w:t>
      </w:r>
      <w:r w:rsidRPr="0023040F">
        <w:rPr>
          <w:sz w:val="18"/>
          <w:szCs w:val="18"/>
        </w:rPr>
        <w:t>to do so</w:t>
      </w:r>
      <w:r w:rsidR="002D16D8" w:rsidRPr="0023040F">
        <w:rPr>
          <w:sz w:val="18"/>
          <w:szCs w:val="18"/>
        </w:rPr>
        <w:t xml:space="preserve">. </w:t>
      </w:r>
    </w:p>
  </w:footnote>
  <w:footnote w:id="40">
    <w:p w14:paraId="0D849C91" w14:textId="5A8E95DB" w:rsidR="00130BE0" w:rsidRPr="00087806" w:rsidRDefault="00130BE0" w:rsidP="00130BE0">
      <w:pPr>
        <w:pStyle w:val="FootnoteText"/>
        <w:rPr>
          <w:sz w:val="18"/>
          <w:szCs w:val="18"/>
        </w:rPr>
      </w:pPr>
      <w:r w:rsidRPr="00087806">
        <w:rPr>
          <w:rStyle w:val="FootnoteReference"/>
          <w:sz w:val="18"/>
          <w:szCs w:val="18"/>
        </w:rPr>
        <w:footnoteRef/>
      </w:r>
      <w:r w:rsidRPr="00087806">
        <w:rPr>
          <w:sz w:val="18"/>
          <w:szCs w:val="18"/>
        </w:rPr>
        <w:t xml:space="preserve"> Indonesia has ratified double-taxation agreements with 33 other countries (OECD 2019).</w:t>
      </w:r>
    </w:p>
  </w:footnote>
  <w:footnote w:id="41">
    <w:p w14:paraId="33772FCF" w14:textId="38C2BF9B" w:rsidR="00130BE0" w:rsidRPr="00087806" w:rsidRDefault="00130BE0" w:rsidP="00662BA4">
      <w:pPr>
        <w:pStyle w:val="FootnoteText"/>
        <w:jc w:val="both"/>
        <w:rPr>
          <w:sz w:val="18"/>
          <w:szCs w:val="18"/>
        </w:rPr>
      </w:pPr>
      <w:r w:rsidRPr="00087806">
        <w:rPr>
          <w:rStyle w:val="FootnoteReference"/>
          <w:sz w:val="18"/>
          <w:szCs w:val="18"/>
        </w:rPr>
        <w:footnoteRef/>
      </w:r>
      <w:r w:rsidRPr="00087806">
        <w:rPr>
          <w:sz w:val="18"/>
          <w:szCs w:val="18"/>
        </w:rPr>
        <w:t xml:space="preserve"> For large multinational firms, these issues may be partly addressed by the OECD’s recent Inclusive Framework on Base Erosion and Profit Shifting</w:t>
      </w:r>
      <w:r w:rsidR="001342CC">
        <w:rPr>
          <w:sz w:val="18"/>
          <w:szCs w:val="18"/>
        </w:rPr>
        <w:t xml:space="preserve"> (BEPS)</w:t>
      </w:r>
      <w:r w:rsidRPr="00087806">
        <w:rPr>
          <w:sz w:val="18"/>
          <w:szCs w:val="18"/>
        </w:rPr>
        <w:t>.</w:t>
      </w:r>
    </w:p>
  </w:footnote>
  <w:footnote w:id="42">
    <w:p w14:paraId="7E71D676" w14:textId="41C66FB1" w:rsidR="00130BE0" w:rsidRPr="00087806" w:rsidRDefault="00130BE0" w:rsidP="00662BA4">
      <w:pPr>
        <w:pStyle w:val="FootnoteText"/>
        <w:jc w:val="both"/>
        <w:rPr>
          <w:sz w:val="18"/>
          <w:szCs w:val="18"/>
        </w:rPr>
      </w:pPr>
      <w:r w:rsidRPr="00087806">
        <w:rPr>
          <w:rStyle w:val="FootnoteReference"/>
          <w:sz w:val="18"/>
          <w:szCs w:val="18"/>
        </w:rPr>
        <w:footnoteRef/>
      </w:r>
      <w:r w:rsidRPr="00087806">
        <w:rPr>
          <w:sz w:val="18"/>
          <w:szCs w:val="18"/>
        </w:rPr>
        <w:t xml:space="preserve"> For example, consider a firm with annual revenues of R</w:t>
      </w:r>
      <w:r w:rsidR="0004266E">
        <w:rPr>
          <w:sz w:val="18"/>
          <w:szCs w:val="18"/>
        </w:rPr>
        <w:t>p</w:t>
      </w:r>
      <w:r w:rsidRPr="00087806">
        <w:rPr>
          <w:sz w:val="18"/>
          <w:szCs w:val="18"/>
        </w:rPr>
        <w:t xml:space="preserve"> 40 billion. It will pay a tax rate of 11 percent on the taxable income derived from its first R</w:t>
      </w:r>
      <w:r w:rsidR="0004266E">
        <w:rPr>
          <w:sz w:val="18"/>
          <w:szCs w:val="18"/>
        </w:rPr>
        <w:t>p</w:t>
      </w:r>
      <w:r w:rsidRPr="00087806">
        <w:rPr>
          <w:sz w:val="18"/>
          <w:szCs w:val="18"/>
        </w:rPr>
        <w:t xml:space="preserve"> 4.8 billion. It will also pay a tax rate of 22 percent on the taxable income derived from the remaining R</w:t>
      </w:r>
      <w:r w:rsidR="0004266E">
        <w:rPr>
          <w:sz w:val="18"/>
          <w:szCs w:val="18"/>
        </w:rPr>
        <w:t>p</w:t>
      </w:r>
      <w:r w:rsidRPr="00087806">
        <w:rPr>
          <w:sz w:val="18"/>
          <w:szCs w:val="18"/>
        </w:rPr>
        <w:t xml:space="preserve"> 35.2 billion of its revenues. However, a firm with annual revenues of R</w:t>
      </w:r>
      <w:r w:rsidR="0004266E">
        <w:rPr>
          <w:sz w:val="18"/>
          <w:szCs w:val="18"/>
        </w:rPr>
        <w:t>p</w:t>
      </w:r>
      <w:r w:rsidRPr="00087806">
        <w:rPr>
          <w:sz w:val="18"/>
          <w:szCs w:val="18"/>
        </w:rPr>
        <w:t xml:space="preserve"> 51 billion will pay a tax rate of 22 percent on taxable income derived from the full R</w:t>
      </w:r>
      <w:r w:rsidR="0004266E">
        <w:rPr>
          <w:sz w:val="18"/>
          <w:szCs w:val="18"/>
        </w:rPr>
        <w:t>p</w:t>
      </w:r>
      <w:r w:rsidRPr="00087806">
        <w:rPr>
          <w:sz w:val="18"/>
          <w:szCs w:val="18"/>
        </w:rPr>
        <w:t xml:space="preserve"> 51 billion. </w:t>
      </w:r>
    </w:p>
  </w:footnote>
  <w:footnote w:id="43">
    <w:p w14:paraId="703D6AE5" w14:textId="77777777" w:rsidR="00130BE0" w:rsidRPr="00087806" w:rsidRDefault="00130BE0" w:rsidP="00662BA4">
      <w:pPr>
        <w:pStyle w:val="FootnoteText"/>
        <w:jc w:val="both"/>
        <w:rPr>
          <w:sz w:val="18"/>
          <w:szCs w:val="18"/>
        </w:rPr>
      </w:pPr>
      <w:r w:rsidRPr="00087806">
        <w:rPr>
          <w:rStyle w:val="FootnoteReference"/>
          <w:sz w:val="18"/>
          <w:szCs w:val="18"/>
        </w:rPr>
        <w:footnoteRef/>
      </w:r>
      <w:r w:rsidRPr="00087806">
        <w:rPr>
          <w:sz w:val="18"/>
          <w:szCs w:val="18"/>
        </w:rPr>
        <w:t xml:space="preserve"> Businesses are limited to benefiting from only one of these four schemes. </w:t>
      </w:r>
    </w:p>
  </w:footnote>
  <w:footnote w:id="44">
    <w:p w14:paraId="7F3AC11C" w14:textId="77777777" w:rsidR="00130BE0" w:rsidRPr="00087806" w:rsidRDefault="00130BE0" w:rsidP="00662BA4">
      <w:pPr>
        <w:pStyle w:val="FootnoteText"/>
        <w:jc w:val="both"/>
        <w:rPr>
          <w:sz w:val="18"/>
          <w:szCs w:val="18"/>
        </w:rPr>
      </w:pPr>
      <w:r w:rsidRPr="00087806">
        <w:rPr>
          <w:rStyle w:val="FootnoteReference"/>
          <w:sz w:val="18"/>
          <w:szCs w:val="18"/>
        </w:rPr>
        <w:footnoteRef/>
      </w:r>
      <w:r w:rsidRPr="00087806">
        <w:rPr>
          <w:sz w:val="18"/>
          <w:szCs w:val="18"/>
        </w:rPr>
        <w:t xml:space="preserve"> These include subsectors of the chemical, pharmaceuticals, manufacturing, natural resources, economic infrastructure, and digital economy industries.  </w:t>
      </w:r>
    </w:p>
  </w:footnote>
  <w:footnote w:id="45">
    <w:p w14:paraId="0C0F3AFF" w14:textId="0C75C3C9" w:rsidR="00130BE0" w:rsidRPr="00087806" w:rsidRDefault="00130BE0" w:rsidP="00662BA4">
      <w:pPr>
        <w:pStyle w:val="FootnoteText"/>
        <w:jc w:val="both"/>
        <w:rPr>
          <w:sz w:val="18"/>
          <w:szCs w:val="18"/>
        </w:rPr>
      </w:pPr>
      <w:r w:rsidRPr="00087806">
        <w:rPr>
          <w:rStyle w:val="FootnoteReference"/>
          <w:sz w:val="18"/>
          <w:szCs w:val="18"/>
        </w:rPr>
        <w:footnoteRef/>
      </w:r>
      <w:r w:rsidRPr="00087806">
        <w:rPr>
          <w:sz w:val="18"/>
          <w:szCs w:val="18"/>
        </w:rPr>
        <w:t xml:space="preserve"> The duration of the tax holiday offered depends on the value of the investment, as per Figure 2.</w:t>
      </w:r>
      <w:r w:rsidR="00C6011E">
        <w:rPr>
          <w:sz w:val="18"/>
          <w:szCs w:val="18"/>
        </w:rPr>
        <w:t>6</w:t>
      </w:r>
      <w:r w:rsidRPr="00087806">
        <w:rPr>
          <w:sz w:val="18"/>
          <w:szCs w:val="18"/>
        </w:rPr>
        <w:t>.</w:t>
      </w:r>
    </w:p>
  </w:footnote>
  <w:footnote w:id="46">
    <w:p w14:paraId="7BC93D68" w14:textId="2F20E691" w:rsidR="0043063E" w:rsidRPr="0001635A" w:rsidRDefault="0043063E">
      <w:pPr>
        <w:pStyle w:val="FootnoteText"/>
        <w:rPr>
          <w:sz w:val="18"/>
          <w:szCs w:val="18"/>
        </w:rPr>
      </w:pPr>
      <w:r w:rsidRPr="0001635A">
        <w:rPr>
          <w:rStyle w:val="FootnoteReference"/>
          <w:sz w:val="18"/>
          <w:szCs w:val="18"/>
        </w:rPr>
        <w:footnoteRef/>
      </w:r>
      <w:r w:rsidRPr="0001635A">
        <w:rPr>
          <w:sz w:val="18"/>
          <w:szCs w:val="18"/>
        </w:rPr>
        <w:t xml:space="preserve"> </w:t>
      </w:r>
      <w:r w:rsidR="00065A2A" w:rsidRPr="0001635A">
        <w:rPr>
          <w:sz w:val="18"/>
          <w:szCs w:val="18"/>
        </w:rPr>
        <w:t xml:space="preserve">Such as unequal tax treatment across sectors or types of activities, </w:t>
      </w:r>
      <w:r w:rsidR="00675FA5" w:rsidRPr="0001635A">
        <w:rPr>
          <w:sz w:val="18"/>
          <w:szCs w:val="18"/>
        </w:rPr>
        <w:t>and contractions in the tax base.</w:t>
      </w:r>
    </w:p>
  </w:footnote>
  <w:footnote w:id="47">
    <w:p w14:paraId="5B1D555A" w14:textId="77777777" w:rsidR="00130BE0" w:rsidRPr="00F7413F" w:rsidRDefault="00130BE0" w:rsidP="00130BE0">
      <w:pPr>
        <w:pStyle w:val="FootnoteText"/>
        <w:rPr>
          <w:sz w:val="18"/>
          <w:szCs w:val="18"/>
        </w:rPr>
      </w:pPr>
      <w:r w:rsidRPr="00F7413F">
        <w:rPr>
          <w:sz w:val="18"/>
          <w:szCs w:val="18"/>
          <w:vertAlign w:val="superscript"/>
        </w:rPr>
        <w:footnoteRef/>
      </w:r>
      <w:r w:rsidRPr="00F7413F">
        <w:rPr>
          <w:sz w:val="18"/>
          <w:szCs w:val="18"/>
        </w:rPr>
        <w:t xml:space="preserve"> Because they reduce a tax liability that applies only if the business is making profits in the first place. </w:t>
      </w:r>
    </w:p>
  </w:footnote>
  <w:footnote w:id="48">
    <w:p w14:paraId="35216D53" w14:textId="18FB2D98" w:rsidR="00381250" w:rsidRPr="0001635A" w:rsidRDefault="00381250" w:rsidP="00CC40D9">
      <w:pPr>
        <w:pStyle w:val="FootnoteText"/>
        <w:jc w:val="both"/>
        <w:rPr>
          <w:sz w:val="18"/>
          <w:szCs w:val="18"/>
        </w:rPr>
      </w:pPr>
      <w:r w:rsidRPr="0001635A">
        <w:rPr>
          <w:rStyle w:val="FootnoteReference"/>
          <w:sz w:val="18"/>
          <w:szCs w:val="18"/>
        </w:rPr>
        <w:footnoteRef/>
      </w:r>
      <w:r w:rsidRPr="0001635A">
        <w:rPr>
          <w:sz w:val="18"/>
          <w:szCs w:val="18"/>
        </w:rPr>
        <w:t xml:space="preserve"> Specifically, tax expenditures refer to the foregone revenue that arises from support provided to individuals, companies, and other entities through deviations from the benchmark tax system (such as through incentives</w:t>
      </w:r>
      <w:r w:rsidR="00407705">
        <w:rPr>
          <w:sz w:val="18"/>
          <w:szCs w:val="18"/>
        </w:rPr>
        <w:t xml:space="preserve"> and</w:t>
      </w:r>
      <w:r w:rsidRPr="0001635A">
        <w:rPr>
          <w:sz w:val="18"/>
          <w:szCs w:val="18"/>
        </w:rPr>
        <w:t xml:space="preserve"> special treatments) (Beer et al. 2022).</w:t>
      </w:r>
    </w:p>
  </w:footnote>
  <w:footnote w:id="49">
    <w:p w14:paraId="7489BA38" w14:textId="07D31EFE" w:rsidR="00DD0977" w:rsidRPr="0001635A" w:rsidRDefault="00DD0977" w:rsidP="00CC40D9">
      <w:pPr>
        <w:pStyle w:val="FootnoteText"/>
        <w:jc w:val="both"/>
        <w:rPr>
          <w:sz w:val="18"/>
          <w:szCs w:val="18"/>
        </w:rPr>
      </w:pPr>
      <w:r w:rsidRPr="0001635A">
        <w:rPr>
          <w:rStyle w:val="FootnoteReference"/>
          <w:sz w:val="18"/>
          <w:szCs w:val="18"/>
        </w:rPr>
        <w:footnoteRef/>
      </w:r>
      <w:r w:rsidRPr="0001635A">
        <w:rPr>
          <w:sz w:val="18"/>
          <w:szCs w:val="18"/>
        </w:rPr>
        <w:t xml:space="preserve"> Amounting to 200 businesses in the early 2020s</w:t>
      </w:r>
      <w:r w:rsidR="00664053" w:rsidRPr="0001635A">
        <w:rPr>
          <w:sz w:val="18"/>
          <w:szCs w:val="18"/>
        </w:rPr>
        <w:t xml:space="preserve"> (</w:t>
      </w:r>
      <w:r w:rsidR="00DF3233" w:rsidRPr="0001635A">
        <w:rPr>
          <w:sz w:val="18"/>
          <w:szCs w:val="18"/>
        </w:rPr>
        <w:t>Basri et al. 20</w:t>
      </w:r>
      <w:r w:rsidR="002329A6" w:rsidRPr="0001635A">
        <w:rPr>
          <w:sz w:val="18"/>
          <w:szCs w:val="18"/>
        </w:rPr>
        <w:t>2</w:t>
      </w:r>
      <w:r w:rsidR="00DF3233" w:rsidRPr="0001635A">
        <w:rPr>
          <w:sz w:val="18"/>
          <w:szCs w:val="18"/>
        </w:rPr>
        <w:t>1)</w:t>
      </w:r>
      <w:r w:rsidRPr="0001635A">
        <w:rPr>
          <w:sz w:val="18"/>
          <w:szCs w:val="18"/>
        </w:rPr>
        <w:t xml:space="preserve">. </w:t>
      </w:r>
    </w:p>
  </w:footnote>
  <w:footnote w:id="50">
    <w:p w14:paraId="2FC2F270" w14:textId="5631460D" w:rsidR="001F6651" w:rsidRPr="0001635A" w:rsidRDefault="001F6651" w:rsidP="00CC40D9">
      <w:pPr>
        <w:pStyle w:val="FootnoteText"/>
        <w:jc w:val="both"/>
        <w:rPr>
          <w:sz w:val="18"/>
          <w:szCs w:val="18"/>
        </w:rPr>
      </w:pPr>
      <w:r w:rsidRPr="0001635A">
        <w:rPr>
          <w:rStyle w:val="FootnoteReference"/>
          <w:sz w:val="18"/>
          <w:szCs w:val="18"/>
        </w:rPr>
        <w:footnoteRef/>
      </w:r>
      <w:r w:rsidRPr="0001635A">
        <w:rPr>
          <w:sz w:val="18"/>
          <w:szCs w:val="18"/>
        </w:rPr>
        <w:t xml:space="preserve"> PTOs are also assigned responsibility for </w:t>
      </w:r>
      <w:r w:rsidR="00977060">
        <w:rPr>
          <w:sz w:val="18"/>
          <w:szCs w:val="18"/>
        </w:rPr>
        <w:t>PIT</w:t>
      </w:r>
      <w:r w:rsidRPr="0001635A">
        <w:rPr>
          <w:sz w:val="18"/>
          <w:szCs w:val="18"/>
        </w:rPr>
        <w:t xml:space="preserve"> taxpayers, whereas LTOs, XTOs, and MTOs only deal with business taxpayers. </w:t>
      </w:r>
    </w:p>
  </w:footnote>
  <w:footnote w:id="51">
    <w:p w14:paraId="4F5F92E7" w14:textId="5A3EA9A5" w:rsidR="00802F7D" w:rsidRPr="000740AF" w:rsidRDefault="00802F7D" w:rsidP="00CC40D9">
      <w:pPr>
        <w:pStyle w:val="FootnoteText"/>
        <w:jc w:val="both"/>
        <w:rPr>
          <w:sz w:val="18"/>
          <w:szCs w:val="18"/>
        </w:rPr>
      </w:pPr>
      <w:r w:rsidRPr="000740AF">
        <w:rPr>
          <w:rStyle w:val="FootnoteReference"/>
          <w:sz w:val="18"/>
          <w:szCs w:val="18"/>
        </w:rPr>
        <w:footnoteRef/>
      </w:r>
      <w:r w:rsidRPr="000740AF">
        <w:rPr>
          <w:sz w:val="18"/>
          <w:szCs w:val="18"/>
        </w:rPr>
        <w:t xml:space="preserve"> Interestingly, </w:t>
      </w:r>
      <w:r w:rsidR="00883140">
        <w:rPr>
          <w:sz w:val="18"/>
          <w:szCs w:val="18"/>
        </w:rPr>
        <w:t xml:space="preserve">most </w:t>
      </w:r>
      <w:r w:rsidRPr="000740AF">
        <w:rPr>
          <w:sz w:val="18"/>
          <w:szCs w:val="18"/>
        </w:rPr>
        <w:t xml:space="preserve">taxpayers </w:t>
      </w:r>
      <w:r w:rsidR="00C45918">
        <w:rPr>
          <w:sz w:val="18"/>
          <w:szCs w:val="18"/>
        </w:rPr>
        <w:t xml:space="preserve">choose to never </w:t>
      </w:r>
      <w:r w:rsidRPr="000740AF">
        <w:rPr>
          <w:sz w:val="18"/>
          <w:szCs w:val="18"/>
        </w:rPr>
        <w:t>claim a refund</w:t>
      </w:r>
      <w:r w:rsidR="0033622E">
        <w:rPr>
          <w:rFonts w:cstheme="minorHAnsi"/>
          <w:sz w:val="18"/>
          <w:szCs w:val="18"/>
        </w:rPr>
        <w:t>–</w:t>
      </w:r>
      <w:r w:rsidRPr="000740AF">
        <w:rPr>
          <w:sz w:val="18"/>
          <w:szCs w:val="18"/>
        </w:rPr>
        <w:t>but rather just claim any overpaid tax as a credit in following year/s.</w:t>
      </w:r>
    </w:p>
  </w:footnote>
  <w:footnote w:id="52">
    <w:p w14:paraId="40BEB9CF" w14:textId="2E04E097" w:rsidR="008066F2" w:rsidRDefault="008066F2" w:rsidP="00CC40D9">
      <w:pPr>
        <w:pStyle w:val="FootnoteText"/>
        <w:jc w:val="both"/>
      </w:pPr>
      <w:r w:rsidRPr="000740AF">
        <w:rPr>
          <w:rStyle w:val="FootnoteReference"/>
          <w:sz w:val="18"/>
          <w:szCs w:val="18"/>
        </w:rPr>
        <w:footnoteRef/>
      </w:r>
      <w:r w:rsidRPr="000740AF">
        <w:rPr>
          <w:sz w:val="18"/>
          <w:szCs w:val="18"/>
        </w:rPr>
        <w:t xml:space="preserve"> </w:t>
      </w:r>
      <w:r w:rsidR="00096E71" w:rsidRPr="000740AF">
        <w:rPr>
          <w:sz w:val="18"/>
          <w:szCs w:val="18"/>
        </w:rPr>
        <w:t>The CRM</w:t>
      </w:r>
      <w:r w:rsidR="00BD0AAB" w:rsidRPr="000740AF">
        <w:rPr>
          <w:sz w:val="18"/>
          <w:szCs w:val="18"/>
        </w:rPr>
        <w:t xml:space="preserve">, which contains data profiles of taxpayers, </w:t>
      </w:r>
      <w:r w:rsidR="00AA3B10" w:rsidRPr="000740AF">
        <w:rPr>
          <w:sz w:val="18"/>
          <w:szCs w:val="18"/>
        </w:rPr>
        <w:t xml:space="preserve">is used to inform </w:t>
      </w:r>
      <w:r w:rsidR="00D82DD9" w:rsidRPr="000740AF">
        <w:rPr>
          <w:sz w:val="18"/>
          <w:szCs w:val="18"/>
        </w:rPr>
        <w:t>(though not necessarily decide) how DGT interacts with taxpayers</w:t>
      </w:r>
      <w:r w:rsidR="00F91DB2">
        <w:rPr>
          <w:rFonts w:cstheme="minorHAnsi"/>
          <w:sz w:val="18"/>
          <w:szCs w:val="18"/>
        </w:rPr>
        <w:t>–</w:t>
      </w:r>
      <w:r w:rsidR="00D82DD9" w:rsidRPr="000740AF">
        <w:rPr>
          <w:sz w:val="18"/>
          <w:szCs w:val="18"/>
        </w:rPr>
        <w:t xml:space="preserve">including in relation to </w:t>
      </w:r>
      <w:r w:rsidR="00AA3B10" w:rsidRPr="000740AF">
        <w:rPr>
          <w:sz w:val="18"/>
          <w:szCs w:val="18"/>
        </w:rPr>
        <w:t>education and service</w:t>
      </w:r>
      <w:r w:rsidR="004A00EE" w:rsidRPr="000740AF">
        <w:rPr>
          <w:sz w:val="18"/>
          <w:szCs w:val="18"/>
        </w:rPr>
        <w:t xml:space="preserve"> provision</w:t>
      </w:r>
      <w:r w:rsidR="00AA3B10" w:rsidRPr="000740AF">
        <w:rPr>
          <w:sz w:val="18"/>
          <w:szCs w:val="18"/>
        </w:rPr>
        <w:t>, supervision,</w:t>
      </w:r>
      <w:r w:rsidR="008F0A0F" w:rsidRPr="000740AF">
        <w:rPr>
          <w:sz w:val="18"/>
          <w:szCs w:val="18"/>
        </w:rPr>
        <w:t xml:space="preserve"> audit, and </w:t>
      </w:r>
      <w:r w:rsidR="00BD0AAB" w:rsidRPr="000740AF">
        <w:rPr>
          <w:sz w:val="18"/>
          <w:szCs w:val="18"/>
        </w:rPr>
        <w:t xml:space="preserve">law </w:t>
      </w:r>
      <w:r w:rsidR="008F0A0F" w:rsidRPr="000740AF">
        <w:rPr>
          <w:sz w:val="18"/>
          <w:szCs w:val="18"/>
        </w:rPr>
        <w:t>enforcement</w:t>
      </w:r>
      <w:r w:rsidR="009953FD" w:rsidRPr="000740AF">
        <w:rPr>
          <w:sz w:val="18"/>
          <w:szCs w:val="18"/>
        </w:rPr>
        <w:t xml:space="preserve">. </w:t>
      </w:r>
      <w:r w:rsidR="00355C38" w:rsidRPr="000740AF">
        <w:rPr>
          <w:sz w:val="18"/>
          <w:szCs w:val="18"/>
        </w:rPr>
        <w:t>It plays an important role in the initial selection process for risk-based supervision and audit</w:t>
      </w:r>
      <w:r w:rsidR="00575BE0" w:rsidRPr="000740AF">
        <w:rPr>
          <w:sz w:val="18"/>
          <w:szCs w:val="18"/>
        </w:rPr>
        <w:t xml:space="preserve">, </w:t>
      </w:r>
      <w:r w:rsidR="00F91DB2">
        <w:rPr>
          <w:sz w:val="18"/>
          <w:szCs w:val="18"/>
        </w:rPr>
        <w:t>al</w:t>
      </w:r>
      <w:r w:rsidR="00575BE0" w:rsidRPr="000740AF">
        <w:rPr>
          <w:sz w:val="18"/>
          <w:szCs w:val="18"/>
        </w:rPr>
        <w:t xml:space="preserve">though </w:t>
      </w:r>
      <w:r w:rsidR="00196C0C" w:rsidRPr="000740AF">
        <w:rPr>
          <w:sz w:val="18"/>
          <w:szCs w:val="18"/>
        </w:rPr>
        <w:t xml:space="preserve">there </w:t>
      </w:r>
      <w:r w:rsidR="00575BE0" w:rsidRPr="000740AF">
        <w:rPr>
          <w:sz w:val="18"/>
          <w:szCs w:val="18"/>
        </w:rPr>
        <w:t xml:space="preserve">is variation across subnational tax offices </w:t>
      </w:r>
      <w:r w:rsidR="00F434A1" w:rsidRPr="000740AF">
        <w:rPr>
          <w:sz w:val="18"/>
          <w:szCs w:val="18"/>
        </w:rPr>
        <w:t xml:space="preserve">in </w:t>
      </w:r>
      <w:r w:rsidR="00575BE0" w:rsidRPr="000740AF">
        <w:rPr>
          <w:sz w:val="18"/>
          <w:szCs w:val="18"/>
        </w:rPr>
        <w:t>the extent to which it is relied upon</w:t>
      </w:r>
      <w:r w:rsidR="00196C0C" w:rsidRPr="000740AF">
        <w:rPr>
          <w:sz w:val="18"/>
          <w:szCs w:val="18"/>
        </w:rPr>
        <w:t xml:space="preserve">, since its </w:t>
      </w:r>
      <w:r w:rsidR="00196C0C">
        <w:rPr>
          <w:sz w:val="18"/>
          <w:szCs w:val="18"/>
        </w:rPr>
        <w:t xml:space="preserve">results </w:t>
      </w:r>
      <w:r w:rsidR="00196C0C" w:rsidRPr="000740AF">
        <w:rPr>
          <w:sz w:val="18"/>
          <w:szCs w:val="18"/>
        </w:rPr>
        <w:t>need to be complemented with human judgement</w:t>
      </w:r>
      <w:r w:rsidR="00355C38" w:rsidRPr="000740AF">
        <w:rPr>
          <w:sz w:val="18"/>
          <w:szCs w:val="18"/>
        </w:rPr>
        <w:t xml:space="preserve">. </w:t>
      </w:r>
      <w:r w:rsidR="005D2748" w:rsidRPr="000740AF">
        <w:rPr>
          <w:sz w:val="18"/>
          <w:szCs w:val="18"/>
        </w:rPr>
        <w:t xml:space="preserve">The DGT is continuing to develop and improve </w:t>
      </w:r>
      <w:r w:rsidR="00F434A1" w:rsidRPr="000740AF">
        <w:rPr>
          <w:sz w:val="18"/>
          <w:szCs w:val="18"/>
        </w:rPr>
        <w:t xml:space="preserve">this </w:t>
      </w:r>
      <w:r w:rsidR="005D2748" w:rsidRPr="000740AF">
        <w:rPr>
          <w:sz w:val="18"/>
          <w:szCs w:val="18"/>
        </w:rPr>
        <w:t xml:space="preserve">CRM system. </w:t>
      </w:r>
    </w:p>
  </w:footnote>
  <w:footnote w:id="53">
    <w:p w14:paraId="0F6033B7" w14:textId="1CDD11D1" w:rsidR="00130BE0" w:rsidRPr="00087806" w:rsidRDefault="00130BE0" w:rsidP="00CC40D9">
      <w:pPr>
        <w:pStyle w:val="FootnoteText"/>
        <w:jc w:val="both"/>
        <w:rPr>
          <w:sz w:val="18"/>
          <w:szCs w:val="18"/>
        </w:rPr>
      </w:pPr>
      <w:r w:rsidRPr="00835F1C">
        <w:rPr>
          <w:rStyle w:val="FootnoteReference"/>
          <w:sz w:val="18"/>
          <w:szCs w:val="18"/>
        </w:rPr>
        <w:footnoteRef/>
      </w:r>
      <w:r w:rsidRPr="00835F1C">
        <w:rPr>
          <w:sz w:val="18"/>
          <w:szCs w:val="18"/>
        </w:rPr>
        <w:t xml:space="preserve"> Social intelligence refers to tips and information that are provided to staff of the tax authority through their social or</w:t>
      </w:r>
      <w:r w:rsidRPr="00087806">
        <w:rPr>
          <w:sz w:val="18"/>
          <w:szCs w:val="18"/>
        </w:rPr>
        <w:t xml:space="preserve"> professional networks, as well as ad hoc leads</w:t>
      </w:r>
      <w:r w:rsidR="00F91DB2">
        <w:rPr>
          <w:rFonts w:cstheme="minorHAnsi"/>
          <w:sz w:val="18"/>
          <w:szCs w:val="18"/>
        </w:rPr>
        <w:t>–</w:t>
      </w:r>
      <w:r w:rsidRPr="00087806">
        <w:rPr>
          <w:sz w:val="18"/>
          <w:szCs w:val="18"/>
        </w:rPr>
        <w:t xml:space="preserve">such as when a firm gains viral community attention. </w:t>
      </w:r>
    </w:p>
  </w:footnote>
  <w:footnote w:id="54">
    <w:p w14:paraId="15903405" w14:textId="77777777" w:rsidR="00130BE0" w:rsidRPr="00087806" w:rsidRDefault="00130BE0" w:rsidP="00CC40D9">
      <w:pPr>
        <w:pStyle w:val="FootnoteText"/>
        <w:jc w:val="both"/>
        <w:rPr>
          <w:sz w:val="18"/>
          <w:szCs w:val="18"/>
        </w:rPr>
      </w:pPr>
      <w:r w:rsidRPr="00087806">
        <w:rPr>
          <w:rStyle w:val="FootnoteReference"/>
          <w:sz w:val="18"/>
          <w:szCs w:val="18"/>
        </w:rPr>
        <w:footnoteRef/>
      </w:r>
      <w:r w:rsidRPr="00087806">
        <w:rPr>
          <w:sz w:val="18"/>
          <w:szCs w:val="18"/>
        </w:rPr>
        <w:t xml:space="preserve"> Including firms under the CIT and AFT regimes. </w:t>
      </w:r>
    </w:p>
  </w:footnote>
  <w:footnote w:id="55">
    <w:p w14:paraId="58285F15" w14:textId="77777777" w:rsidR="00130BE0" w:rsidRPr="00087806" w:rsidRDefault="00130BE0" w:rsidP="00CC40D9">
      <w:pPr>
        <w:pStyle w:val="FootnoteText"/>
        <w:jc w:val="both"/>
        <w:rPr>
          <w:sz w:val="18"/>
          <w:szCs w:val="18"/>
        </w:rPr>
      </w:pPr>
      <w:r w:rsidRPr="00087806">
        <w:rPr>
          <w:rStyle w:val="FootnoteReference"/>
          <w:sz w:val="18"/>
          <w:szCs w:val="18"/>
        </w:rPr>
        <w:footnoteRef/>
      </w:r>
      <w:r w:rsidRPr="00087806">
        <w:rPr>
          <w:sz w:val="18"/>
          <w:szCs w:val="18"/>
        </w:rPr>
        <w:t xml:space="preserve"> OECD (2018) notes that there were 1.5 million businesses registered under the AFT regime in 2018. </w:t>
      </w:r>
    </w:p>
  </w:footnote>
  <w:footnote w:id="56">
    <w:p w14:paraId="1FD49C78" w14:textId="7011D1A9" w:rsidR="00130BE0" w:rsidRPr="00087806" w:rsidRDefault="00130BE0" w:rsidP="00C32461">
      <w:pPr>
        <w:pStyle w:val="FootnoteText"/>
        <w:jc w:val="both"/>
        <w:rPr>
          <w:sz w:val="18"/>
          <w:szCs w:val="18"/>
        </w:rPr>
      </w:pPr>
      <w:r w:rsidRPr="00087806">
        <w:rPr>
          <w:rStyle w:val="FootnoteReference"/>
          <w:sz w:val="18"/>
          <w:szCs w:val="18"/>
        </w:rPr>
        <w:footnoteRef/>
      </w:r>
      <w:r w:rsidRPr="00087806">
        <w:rPr>
          <w:sz w:val="18"/>
          <w:szCs w:val="18"/>
        </w:rPr>
        <w:t xml:space="preserve"> </w:t>
      </w:r>
      <w:r w:rsidR="001255CE">
        <w:rPr>
          <w:sz w:val="18"/>
          <w:szCs w:val="18"/>
        </w:rPr>
        <w:t xml:space="preserve">According to </w:t>
      </w:r>
      <w:r w:rsidRPr="00087806">
        <w:rPr>
          <w:sz w:val="18"/>
          <w:szCs w:val="18"/>
        </w:rPr>
        <w:t xml:space="preserve">Government Regulation </w:t>
      </w:r>
      <w:r w:rsidR="0094011A">
        <w:rPr>
          <w:sz w:val="18"/>
          <w:szCs w:val="18"/>
        </w:rPr>
        <w:t xml:space="preserve">No. </w:t>
      </w:r>
      <w:r w:rsidRPr="00087806">
        <w:rPr>
          <w:sz w:val="18"/>
          <w:szCs w:val="18"/>
        </w:rPr>
        <w:t>7</w:t>
      </w:r>
      <w:r w:rsidR="0094011A">
        <w:rPr>
          <w:sz w:val="18"/>
          <w:szCs w:val="18"/>
        </w:rPr>
        <w:t>/</w:t>
      </w:r>
      <w:r w:rsidRPr="00087806">
        <w:rPr>
          <w:sz w:val="18"/>
          <w:szCs w:val="18"/>
        </w:rPr>
        <w:t>2021</w:t>
      </w:r>
      <w:r w:rsidR="001255CE">
        <w:rPr>
          <w:sz w:val="18"/>
          <w:szCs w:val="18"/>
        </w:rPr>
        <w:t>,</w:t>
      </w:r>
      <w:r w:rsidRPr="00087806">
        <w:rPr>
          <w:sz w:val="18"/>
          <w:szCs w:val="18"/>
        </w:rPr>
        <w:t xml:space="preserve"> micro firms have maximum assets (excl. land and buildings of the business premises) and revenues of R</w:t>
      </w:r>
      <w:r w:rsidR="0004266E">
        <w:rPr>
          <w:sz w:val="18"/>
          <w:szCs w:val="18"/>
        </w:rPr>
        <w:t>p</w:t>
      </w:r>
      <w:r w:rsidRPr="00087806">
        <w:rPr>
          <w:sz w:val="18"/>
          <w:szCs w:val="18"/>
        </w:rPr>
        <w:t xml:space="preserve"> 1 billion and 2 billion, respectively; small firms have corresponding ranges of R</w:t>
      </w:r>
      <w:r w:rsidR="0004266E">
        <w:rPr>
          <w:sz w:val="18"/>
          <w:szCs w:val="18"/>
        </w:rPr>
        <w:t>p</w:t>
      </w:r>
      <w:r w:rsidRPr="00087806">
        <w:rPr>
          <w:sz w:val="18"/>
          <w:szCs w:val="18"/>
        </w:rPr>
        <w:t xml:space="preserve"> 1–5 billion and 2–15 billion; and medium firms have corresponding ranges of R</w:t>
      </w:r>
      <w:r w:rsidR="0004266E">
        <w:rPr>
          <w:sz w:val="18"/>
          <w:szCs w:val="18"/>
        </w:rPr>
        <w:t>p</w:t>
      </w:r>
      <w:r w:rsidRPr="00087806">
        <w:rPr>
          <w:sz w:val="18"/>
          <w:szCs w:val="18"/>
        </w:rPr>
        <w:t xml:space="preserve"> 5–10 billion and 15–50 billion. However, the responsible </w:t>
      </w:r>
      <w:r w:rsidR="00CE05AC">
        <w:rPr>
          <w:sz w:val="18"/>
          <w:szCs w:val="18"/>
        </w:rPr>
        <w:t>m</w:t>
      </w:r>
      <w:r w:rsidRPr="00087806">
        <w:rPr>
          <w:sz w:val="18"/>
          <w:szCs w:val="18"/>
        </w:rPr>
        <w:t>inistry can reclassify firms in the dataset based on several additional criteria.</w:t>
      </w:r>
    </w:p>
  </w:footnote>
  <w:footnote w:id="57">
    <w:p w14:paraId="3A837A64" w14:textId="77777777" w:rsidR="00130BE0" w:rsidRPr="00087806" w:rsidRDefault="00130BE0" w:rsidP="004A4CE3">
      <w:pPr>
        <w:pStyle w:val="FootnoteText"/>
        <w:jc w:val="both"/>
        <w:rPr>
          <w:sz w:val="18"/>
          <w:szCs w:val="18"/>
        </w:rPr>
      </w:pPr>
      <w:r w:rsidRPr="00087806">
        <w:rPr>
          <w:rStyle w:val="FootnoteReference"/>
          <w:sz w:val="18"/>
          <w:szCs w:val="18"/>
        </w:rPr>
        <w:footnoteRef/>
      </w:r>
      <w:r w:rsidRPr="00087806">
        <w:rPr>
          <w:sz w:val="18"/>
          <w:szCs w:val="18"/>
        </w:rPr>
        <w:t xml:space="preserve"> See, for instance, Table 1 in ILO (2019). </w:t>
      </w:r>
    </w:p>
  </w:footnote>
  <w:footnote w:id="58">
    <w:p w14:paraId="60FB1D27" w14:textId="0C326995" w:rsidR="00130BE0" w:rsidRPr="001D05CC" w:rsidRDefault="00130BE0" w:rsidP="004A4CE3">
      <w:pPr>
        <w:pStyle w:val="FootnoteText"/>
        <w:jc w:val="both"/>
        <w:rPr>
          <w:sz w:val="16"/>
          <w:szCs w:val="16"/>
        </w:rPr>
      </w:pPr>
      <w:r w:rsidRPr="00087806">
        <w:rPr>
          <w:rStyle w:val="FootnoteReference"/>
          <w:sz w:val="18"/>
          <w:szCs w:val="18"/>
        </w:rPr>
        <w:footnoteRef/>
      </w:r>
      <w:r w:rsidRPr="00087806">
        <w:rPr>
          <w:sz w:val="18"/>
          <w:szCs w:val="18"/>
        </w:rPr>
        <w:t xml:space="preserve"> That is, all registered businesses, except for those which fall under </w:t>
      </w:r>
      <w:r w:rsidR="002870A1">
        <w:rPr>
          <w:sz w:val="18"/>
          <w:szCs w:val="18"/>
        </w:rPr>
        <w:t xml:space="preserve">other </w:t>
      </w:r>
      <w:r w:rsidRPr="00087806">
        <w:rPr>
          <w:sz w:val="18"/>
          <w:szCs w:val="18"/>
        </w:rPr>
        <w:t>special tax regimes (</w:t>
      </w:r>
      <w:r w:rsidR="00CE05AC">
        <w:rPr>
          <w:sz w:val="18"/>
          <w:szCs w:val="18"/>
        </w:rPr>
        <w:t>for example</w:t>
      </w:r>
      <w:r w:rsidR="00C85039" w:rsidRPr="00087806">
        <w:rPr>
          <w:sz w:val="18"/>
          <w:szCs w:val="18"/>
        </w:rPr>
        <w:t>,</w:t>
      </w:r>
      <w:r w:rsidRPr="00087806">
        <w:rPr>
          <w:sz w:val="18"/>
          <w:szCs w:val="18"/>
        </w:rPr>
        <w:t xml:space="preserve"> those in the construction services sector). </w:t>
      </w:r>
    </w:p>
  </w:footnote>
  <w:footnote w:id="59">
    <w:p w14:paraId="656B61DB" w14:textId="77777777" w:rsidR="00FC68FE" w:rsidRPr="00087806" w:rsidRDefault="00FC68FE" w:rsidP="00FC68FE">
      <w:pPr>
        <w:pStyle w:val="FootnoteText"/>
        <w:rPr>
          <w:sz w:val="18"/>
          <w:szCs w:val="18"/>
        </w:rPr>
      </w:pPr>
      <w:r w:rsidRPr="00087806">
        <w:rPr>
          <w:rStyle w:val="FootnoteReference"/>
          <w:sz w:val="18"/>
          <w:szCs w:val="18"/>
        </w:rPr>
        <w:footnoteRef/>
      </w:r>
      <w:r w:rsidRPr="00087806">
        <w:rPr>
          <w:sz w:val="18"/>
          <w:szCs w:val="18"/>
        </w:rPr>
        <w:t xml:space="preserve"> Instead of their total personal assets. </w:t>
      </w:r>
    </w:p>
  </w:footnote>
  <w:footnote w:id="60">
    <w:p w14:paraId="3CE14D91" w14:textId="17C88715" w:rsidR="00130BE0" w:rsidRPr="00087806" w:rsidRDefault="00130BE0" w:rsidP="00130BE0">
      <w:pPr>
        <w:pStyle w:val="FootnoteText"/>
        <w:rPr>
          <w:sz w:val="18"/>
          <w:szCs w:val="18"/>
        </w:rPr>
      </w:pPr>
      <w:r w:rsidRPr="00087806">
        <w:rPr>
          <w:rStyle w:val="FootnoteReference"/>
          <w:sz w:val="18"/>
          <w:szCs w:val="18"/>
        </w:rPr>
        <w:footnoteRef/>
      </w:r>
      <w:r w:rsidRPr="00087806">
        <w:rPr>
          <w:sz w:val="18"/>
          <w:szCs w:val="18"/>
        </w:rPr>
        <w:t xml:space="preserve"> For a full list of excluded professions and freelance activities, see Article 56 of Government Regulation </w:t>
      </w:r>
      <w:r w:rsidR="00D9091B">
        <w:rPr>
          <w:sz w:val="18"/>
          <w:szCs w:val="18"/>
        </w:rPr>
        <w:t xml:space="preserve">No. </w:t>
      </w:r>
      <w:r w:rsidRPr="00087806">
        <w:rPr>
          <w:sz w:val="18"/>
          <w:szCs w:val="18"/>
        </w:rPr>
        <w:t xml:space="preserve">55/2022. </w:t>
      </w:r>
    </w:p>
  </w:footnote>
  <w:footnote w:id="61">
    <w:p w14:paraId="7C9CF644" w14:textId="69717AFE" w:rsidR="004C01FB" w:rsidRPr="00087806" w:rsidRDefault="004C01FB">
      <w:pPr>
        <w:pStyle w:val="FootnoteText"/>
        <w:rPr>
          <w:sz w:val="18"/>
          <w:szCs w:val="18"/>
        </w:rPr>
      </w:pPr>
      <w:r w:rsidRPr="00087806">
        <w:rPr>
          <w:sz w:val="18"/>
          <w:szCs w:val="18"/>
          <w:vertAlign w:val="superscript"/>
        </w:rPr>
        <w:footnoteRef/>
      </w:r>
      <w:r w:rsidR="007D2FAA" w:rsidRPr="00087806">
        <w:rPr>
          <w:sz w:val="18"/>
          <w:szCs w:val="18"/>
        </w:rPr>
        <w:t xml:space="preserve"> This is </w:t>
      </w:r>
      <w:r w:rsidR="003F557D" w:rsidRPr="00087806">
        <w:rPr>
          <w:sz w:val="18"/>
          <w:szCs w:val="18"/>
        </w:rPr>
        <w:t xml:space="preserve">an attempt to exclude </w:t>
      </w:r>
      <w:r w:rsidR="007D2FAA" w:rsidRPr="00087806">
        <w:rPr>
          <w:sz w:val="18"/>
          <w:szCs w:val="18"/>
        </w:rPr>
        <w:t>individual businesses</w:t>
      </w:r>
      <w:r w:rsidR="00913B4D" w:rsidRPr="00087806">
        <w:rPr>
          <w:sz w:val="18"/>
          <w:szCs w:val="18"/>
        </w:rPr>
        <w:t xml:space="preserve"> </w:t>
      </w:r>
      <w:r w:rsidR="009904AA" w:rsidRPr="00087806">
        <w:rPr>
          <w:sz w:val="18"/>
          <w:szCs w:val="18"/>
        </w:rPr>
        <w:t xml:space="preserve">that </w:t>
      </w:r>
      <w:r w:rsidR="003F557D" w:rsidRPr="00087806">
        <w:rPr>
          <w:sz w:val="18"/>
          <w:szCs w:val="18"/>
        </w:rPr>
        <w:t xml:space="preserve">too </w:t>
      </w:r>
      <w:r w:rsidR="009904AA" w:rsidRPr="00087806">
        <w:rPr>
          <w:sz w:val="18"/>
          <w:szCs w:val="18"/>
        </w:rPr>
        <w:t>closely resemble employees</w:t>
      </w:r>
      <w:r w:rsidR="00913B4D" w:rsidRPr="00087806">
        <w:rPr>
          <w:sz w:val="18"/>
          <w:szCs w:val="18"/>
        </w:rPr>
        <w:t xml:space="preserve">. </w:t>
      </w:r>
    </w:p>
  </w:footnote>
  <w:footnote w:id="62">
    <w:p w14:paraId="2AB2A5AF" w14:textId="4A4C4D70" w:rsidR="002875C4" w:rsidRPr="00087806" w:rsidRDefault="002875C4" w:rsidP="00784A9C">
      <w:pPr>
        <w:pStyle w:val="FootnoteText"/>
        <w:jc w:val="both"/>
        <w:rPr>
          <w:sz w:val="18"/>
          <w:szCs w:val="18"/>
        </w:rPr>
      </w:pPr>
      <w:r w:rsidRPr="00087806">
        <w:rPr>
          <w:rStyle w:val="FootnoteReference"/>
          <w:sz w:val="18"/>
          <w:szCs w:val="18"/>
        </w:rPr>
        <w:footnoteRef/>
      </w:r>
      <w:r w:rsidRPr="00087806">
        <w:rPr>
          <w:sz w:val="18"/>
          <w:szCs w:val="18"/>
        </w:rPr>
        <w:t xml:space="preserve"> Recall that this is the special reduced-rate provision for MSMEs in the CIT regime. The concession is as complicated as it sounds and is defined exactly as written here. Theis special provision is available for firms with annual revenues below R</w:t>
      </w:r>
      <w:r w:rsidR="0004266E">
        <w:rPr>
          <w:sz w:val="18"/>
          <w:szCs w:val="18"/>
        </w:rPr>
        <w:t>p</w:t>
      </w:r>
      <w:r w:rsidRPr="00087806">
        <w:rPr>
          <w:sz w:val="18"/>
          <w:szCs w:val="18"/>
        </w:rPr>
        <w:t xml:space="preserve"> 50 billion. Any firm that originally satisfies the R</w:t>
      </w:r>
      <w:r w:rsidR="0004266E">
        <w:rPr>
          <w:sz w:val="18"/>
          <w:szCs w:val="18"/>
        </w:rPr>
        <w:t>p</w:t>
      </w:r>
      <w:r w:rsidRPr="00087806">
        <w:rPr>
          <w:sz w:val="18"/>
          <w:szCs w:val="18"/>
        </w:rPr>
        <w:t xml:space="preserve"> 4.8 billion turnover eligibility for the AFT will still be of an eligible size to benefit from this reduced CIT rate upon exiting the AFT regime.</w:t>
      </w:r>
    </w:p>
  </w:footnote>
  <w:footnote w:id="63">
    <w:p w14:paraId="42601F62" w14:textId="6DF56C08" w:rsidR="00141574" w:rsidRDefault="00141574" w:rsidP="00784A9C">
      <w:pPr>
        <w:pStyle w:val="FootnoteText"/>
        <w:jc w:val="both"/>
      </w:pPr>
      <w:r>
        <w:rPr>
          <w:rStyle w:val="FootnoteReference"/>
        </w:rPr>
        <w:footnoteRef/>
      </w:r>
      <w:r w:rsidRPr="0023040F">
        <w:rPr>
          <w:sz w:val="18"/>
          <w:szCs w:val="18"/>
        </w:rPr>
        <w:t xml:space="preserve"> That is, for firms with </w:t>
      </w:r>
      <w:r w:rsidR="00377C89" w:rsidRPr="0023040F">
        <w:rPr>
          <w:sz w:val="18"/>
          <w:szCs w:val="18"/>
        </w:rPr>
        <w:t>annual turnover no higher than R</w:t>
      </w:r>
      <w:r w:rsidR="0004266E">
        <w:rPr>
          <w:sz w:val="18"/>
          <w:szCs w:val="18"/>
        </w:rPr>
        <w:t>p</w:t>
      </w:r>
      <w:r w:rsidR="00377C89" w:rsidRPr="0023040F">
        <w:rPr>
          <w:sz w:val="18"/>
          <w:szCs w:val="18"/>
        </w:rPr>
        <w:t xml:space="preserve"> 4.8 billion, </w:t>
      </w:r>
      <w:r w:rsidR="004D2FCA" w:rsidRPr="0023040F">
        <w:rPr>
          <w:sz w:val="18"/>
          <w:szCs w:val="18"/>
        </w:rPr>
        <w:t xml:space="preserve">that </w:t>
      </w:r>
      <w:r w:rsidR="00377C89" w:rsidRPr="0023040F">
        <w:rPr>
          <w:sz w:val="18"/>
          <w:szCs w:val="18"/>
        </w:rPr>
        <w:t xml:space="preserve">have not </w:t>
      </w:r>
      <w:r w:rsidR="004D2FCA" w:rsidRPr="0023040F">
        <w:rPr>
          <w:sz w:val="18"/>
          <w:szCs w:val="18"/>
        </w:rPr>
        <w:t xml:space="preserve">already opted out of the AFT, and that have not </w:t>
      </w:r>
      <w:r w:rsidR="008D04D2" w:rsidRPr="0023040F">
        <w:rPr>
          <w:sz w:val="18"/>
          <w:szCs w:val="18"/>
        </w:rPr>
        <w:t xml:space="preserve">been </w:t>
      </w:r>
      <w:r w:rsidR="004D2FCA" w:rsidRPr="0023040F">
        <w:rPr>
          <w:sz w:val="18"/>
          <w:szCs w:val="18"/>
        </w:rPr>
        <w:t xml:space="preserve">registered </w:t>
      </w:r>
      <w:r w:rsidR="008D04D2" w:rsidRPr="0023040F">
        <w:rPr>
          <w:sz w:val="18"/>
          <w:szCs w:val="18"/>
        </w:rPr>
        <w:t xml:space="preserve">for a period </w:t>
      </w:r>
      <w:r w:rsidR="004D2FCA" w:rsidRPr="0023040F">
        <w:rPr>
          <w:sz w:val="18"/>
          <w:szCs w:val="18"/>
        </w:rPr>
        <w:t xml:space="preserve">exceeding the </w:t>
      </w:r>
      <w:r w:rsidR="008D04D2" w:rsidRPr="0023040F">
        <w:rPr>
          <w:sz w:val="18"/>
          <w:szCs w:val="18"/>
        </w:rPr>
        <w:t xml:space="preserve">relevant sunset clause for their firm type. </w:t>
      </w:r>
    </w:p>
  </w:footnote>
  <w:footnote w:id="64">
    <w:p w14:paraId="7A210130" w14:textId="754649CA" w:rsidR="008C6917" w:rsidRPr="0023040F" w:rsidRDefault="008C6917" w:rsidP="00784A9C">
      <w:pPr>
        <w:pStyle w:val="FootnoteText"/>
        <w:jc w:val="both"/>
        <w:rPr>
          <w:sz w:val="18"/>
          <w:szCs w:val="18"/>
        </w:rPr>
      </w:pPr>
      <w:r w:rsidRPr="00784A9C">
        <w:rPr>
          <w:sz w:val="18"/>
          <w:szCs w:val="18"/>
          <w:vertAlign w:val="superscript"/>
        </w:rPr>
        <w:footnoteRef/>
      </w:r>
      <w:r w:rsidRPr="0023040F">
        <w:rPr>
          <w:sz w:val="18"/>
          <w:szCs w:val="18"/>
        </w:rPr>
        <w:t xml:space="preserve"> </w:t>
      </w:r>
      <w:r w:rsidR="00B77A03" w:rsidRPr="0023040F">
        <w:rPr>
          <w:sz w:val="18"/>
          <w:szCs w:val="18"/>
        </w:rPr>
        <w:t xml:space="preserve">This stylized example </w:t>
      </w:r>
      <w:r w:rsidR="00B25AA5" w:rsidRPr="0023040F">
        <w:rPr>
          <w:sz w:val="18"/>
          <w:szCs w:val="18"/>
        </w:rPr>
        <w:t xml:space="preserve">provides useful insights but </w:t>
      </w:r>
      <w:r w:rsidR="00B77A03" w:rsidRPr="0023040F">
        <w:rPr>
          <w:sz w:val="18"/>
          <w:szCs w:val="18"/>
        </w:rPr>
        <w:t xml:space="preserve">has its limitations. </w:t>
      </w:r>
      <w:r w:rsidR="0067654D" w:rsidRPr="0023040F">
        <w:rPr>
          <w:sz w:val="18"/>
          <w:szCs w:val="18"/>
        </w:rPr>
        <w:t xml:space="preserve">For instance, it does not capture </w:t>
      </w:r>
      <w:r w:rsidR="00AE5D3D" w:rsidRPr="0023040F">
        <w:rPr>
          <w:sz w:val="18"/>
          <w:szCs w:val="18"/>
        </w:rPr>
        <w:t xml:space="preserve">some </w:t>
      </w:r>
      <w:r w:rsidR="0067654D" w:rsidRPr="0023040F">
        <w:rPr>
          <w:sz w:val="18"/>
          <w:szCs w:val="18"/>
        </w:rPr>
        <w:t xml:space="preserve">other factors that would affect firms’ relative preference of the CIT versus the AFT, such as differences in compliance burdens. </w:t>
      </w:r>
    </w:p>
  </w:footnote>
  <w:footnote w:id="65">
    <w:p w14:paraId="075E70DD" w14:textId="77777777" w:rsidR="005B409C" w:rsidRPr="002A4542" w:rsidRDefault="005B409C" w:rsidP="00784A9C">
      <w:pPr>
        <w:pStyle w:val="FootnoteText"/>
        <w:jc w:val="both"/>
        <w:rPr>
          <w:sz w:val="16"/>
          <w:szCs w:val="16"/>
        </w:rPr>
      </w:pPr>
      <w:r w:rsidRPr="00087806">
        <w:rPr>
          <w:rStyle w:val="FootnoteReference"/>
          <w:sz w:val="18"/>
          <w:szCs w:val="18"/>
        </w:rPr>
        <w:footnoteRef/>
      </w:r>
      <w:r w:rsidRPr="00087806">
        <w:rPr>
          <w:sz w:val="18"/>
          <w:szCs w:val="18"/>
        </w:rPr>
        <w:t xml:space="preserve"> It will vary systematically between industry sectors as well as from one firm to the next within </w:t>
      </w:r>
      <w:r>
        <w:rPr>
          <w:sz w:val="18"/>
          <w:szCs w:val="18"/>
        </w:rPr>
        <w:t xml:space="preserve">each </w:t>
      </w:r>
      <w:r w:rsidRPr="00087806">
        <w:rPr>
          <w:sz w:val="18"/>
          <w:szCs w:val="18"/>
        </w:rPr>
        <w:t xml:space="preserve">sector. </w:t>
      </w:r>
    </w:p>
  </w:footnote>
  <w:footnote w:id="66">
    <w:p w14:paraId="2F97B444" w14:textId="3882FAC4" w:rsidR="00516E9B" w:rsidRDefault="00516E9B" w:rsidP="00784A9C">
      <w:pPr>
        <w:pStyle w:val="FootnoteText"/>
        <w:jc w:val="both"/>
      </w:pPr>
      <w:r w:rsidRPr="002A4542">
        <w:rPr>
          <w:rStyle w:val="FootnoteReference"/>
          <w:sz w:val="18"/>
          <w:szCs w:val="18"/>
        </w:rPr>
        <w:footnoteRef/>
      </w:r>
      <w:r w:rsidRPr="002A4542">
        <w:rPr>
          <w:sz w:val="18"/>
          <w:szCs w:val="18"/>
        </w:rPr>
        <w:t xml:space="preserve"> </w:t>
      </w:r>
      <w:r w:rsidR="00871E94" w:rsidRPr="002A4542">
        <w:rPr>
          <w:sz w:val="18"/>
          <w:szCs w:val="18"/>
        </w:rPr>
        <w:t xml:space="preserve">Note that it is only for firms </w:t>
      </w:r>
      <w:r w:rsidR="008C7096">
        <w:rPr>
          <w:sz w:val="18"/>
          <w:szCs w:val="18"/>
        </w:rPr>
        <w:t xml:space="preserve">with </w:t>
      </w:r>
      <w:r w:rsidR="00871E94" w:rsidRPr="002A4542">
        <w:rPr>
          <w:sz w:val="18"/>
          <w:szCs w:val="18"/>
        </w:rPr>
        <w:t>annual revenues below R</w:t>
      </w:r>
      <w:r w:rsidR="0004266E">
        <w:rPr>
          <w:sz w:val="18"/>
          <w:szCs w:val="18"/>
        </w:rPr>
        <w:t>p</w:t>
      </w:r>
      <w:r w:rsidR="00871E94" w:rsidRPr="002A4542">
        <w:rPr>
          <w:sz w:val="18"/>
          <w:szCs w:val="18"/>
        </w:rPr>
        <w:t xml:space="preserve"> 4.8 billion that the </w:t>
      </w:r>
      <w:r w:rsidR="00C6651F" w:rsidRPr="002A4542">
        <w:rPr>
          <w:sz w:val="18"/>
          <w:szCs w:val="18"/>
        </w:rPr>
        <w:t xml:space="preserve">AFT is a relevant consideration. </w:t>
      </w:r>
      <w:r w:rsidR="006E16AF">
        <w:rPr>
          <w:sz w:val="18"/>
          <w:szCs w:val="18"/>
        </w:rPr>
        <w:t>F</w:t>
      </w:r>
      <w:r w:rsidR="00C6651F" w:rsidRPr="002A4542">
        <w:rPr>
          <w:sz w:val="18"/>
          <w:szCs w:val="18"/>
        </w:rPr>
        <w:t xml:space="preserve">or firms of this size, </w:t>
      </w:r>
      <w:r w:rsidR="009C4CF1" w:rsidRPr="002A4542">
        <w:rPr>
          <w:sz w:val="18"/>
          <w:szCs w:val="18"/>
        </w:rPr>
        <w:t xml:space="preserve">the relevant CIT rate is 11 percent on all their profits. </w:t>
      </w:r>
    </w:p>
  </w:footnote>
  <w:footnote w:id="67">
    <w:p w14:paraId="047E5B31" w14:textId="77777777" w:rsidR="00130BE0" w:rsidRPr="00087806" w:rsidRDefault="00130BE0" w:rsidP="00130BE0">
      <w:pPr>
        <w:pStyle w:val="FootnoteText"/>
        <w:rPr>
          <w:sz w:val="18"/>
          <w:szCs w:val="18"/>
        </w:rPr>
      </w:pPr>
      <w:r w:rsidRPr="00087806">
        <w:rPr>
          <w:rStyle w:val="FootnoteReference"/>
          <w:sz w:val="18"/>
          <w:szCs w:val="18"/>
        </w:rPr>
        <w:footnoteRef/>
      </w:r>
      <w:r w:rsidRPr="00087806">
        <w:rPr>
          <w:sz w:val="18"/>
          <w:szCs w:val="18"/>
        </w:rPr>
        <w:t xml:space="preserve"> </w:t>
      </w:r>
    </w:p>
    <w:p w14:paraId="7E7D0FC8" w14:textId="77777777" w:rsidR="00130BE0" w:rsidRPr="00087806" w:rsidRDefault="00130BE0" w:rsidP="00130BE0">
      <w:pPr>
        <w:pStyle w:val="FootnoteText"/>
        <w:jc w:val="center"/>
        <w:rPr>
          <w:sz w:val="18"/>
          <w:szCs w:val="18"/>
        </w:rPr>
      </w:pPr>
      <w:r w:rsidRPr="00087806">
        <w:rPr>
          <w:noProof/>
          <w:sz w:val="18"/>
          <w:szCs w:val="18"/>
        </w:rPr>
        <w:drawing>
          <wp:inline distT="0" distB="0" distL="0" distR="0" wp14:anchorId="4CC89525" wp14:editId="6DFA5649">
            <wp:extent cx="2431821" cy="692150"/>
            <wp:effectExtent l="0" t="0" r="0" b="2540"/>
            <wp:docPr id="874438240" name="Picture 874438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31821" cy="692150"/>
                    </a:xfrm>
                    <a:prstGeom prst="rect">
                      <a:avLst/>
                    </a:prstGeom>
                  </pic:spPr>
                </pic:pic>
              </a:graphicData>
            </a:graphic>
          </wp:inline>
        </w:drawing>
      </w:r>
    </w:p>
  </w:footnote>
  <w:footnote w:id="68">
    <w:p w14:paraId="1ED37993" w14:textId="3AAAE109" w:rsidR="00130BE0" w:rsidRPr="008C39E8" w:rsidRDefault="00130BE0" w:rsidP="00E01A7B">
      <w:pPr>
        <w:pStyle w:val="FootnoteText"/>
        <w:jc w:val="both"/>
        <w:rPr>
          <w:sz w:val="18"/>
          <w:szCs w:val="18"/>
        </w:rPr>
      </w:pPr>
      <w:r w:rsidRPr="00087806">
        <w:rPr>
          <w:rStyle w:val="FootnoteReference"/>
          <w:sz w:val="18"/>
          <w:szCs w:val="18"/>
        </w:rPr>
        <w:footnoteRef/>
      </w:r>
      <w:r w:rsidRPr="00087806">
        <w:rPr>
          <w:sz w:val="18"/>
          <w:szCs w:val="18"/>
        </w:rPr>
        <w:t xml:space="preserve"> More specifically, the pre-tax, pre-stock compensation operating margin. </w:t>
      </w:r>
      <w:r w:rsidR="000D62F0">
        <w:rPr>
          <w:sz w:val="18"/>
          <w:szCs w:val="18"/>
        </w:rPr>
        <w:t>Although imperfect, t</w:t>
      </w:r>
      <w:r w:rsidRPr="00087806">
        <w:rPr>
          <w:sz w:val="18"/>
          <w:szCs w:val="18"/>
        </w:rPr>
        <w:t>his is the closest proxy</w:t>
      </w:r>
      <w:r w:rsidR="00EA615C">
        <w:rPr>
          <w:sz w:val="18"/>
          <w:szCs w:val="18"/>
        </w:rPr>
        <w:t xml:space="preserve"> to the </w:t>
      </w:r>
      <w:r w:rsidR="00775421">
        <w:rPr>
          <w:sz w:val="18"/>
          <w:szCs w:val="18"/>
        </w:rPr>
        <w:t>NPMR</w:t>
      </w:r>
      <w:r w:rsidR="00EA615C">
        <w:rPr>
          <w:sz w:val="18"/>
          <w:szCs w:val="18"/>
        </w:rPr>
        <w:t xml:space="preserve"> defined earlier</w:t>
      </w:r>
      <w:r w:rsidR="000D62F0">
        <w:rPr>
          <w:sz w:val="18"/>
          <w:szCs w:val="18"/>
        </w:rPr>
        <w:t>,</w:t>
      </w:r>
      <w:r w:rsidR="00EA615C">
        <w:rPr>
          <w:sz w:val="18"/>
          <w:szCs w:val="18"/>
        </w:rPr>
        <w:t xml:space="preserve"> </w:t>
      </w:r>
      <w:r w:rsidRPr="00087806">
        <w:rPr>
          <w:sz w:val="18"/>
          <w:szCs w:val="18"/>
        </w:rPr>
        <w:t xml:space="preserve">for which substantive </w:t>
      </w:r>
      <w:r w:rsidRPr="008C39E8">
        <w:rPr>
          <w:sz w:val="18"/>
          <w:szCs w:val="18"/>
        </w:rPr>
        <w:t xml:space="preserve">multi-sector pre-tax profit margin data were available. </w:t>
      </w:r>
    </w:p>
  </w:footnote>
  <w:footnote w:id="69">
    <w:p w14:paraId="5B649A77" w14:textId="6CC398B8" w:rsidR="00394524" w:rsidRPr="005D3EDE" w:rsidRDefault="00394524" w:rsidP="00E01A7B">
      <w:pPr>
        <w:pStyle w:val="FootnoteText"/>
        <w:jc w:val="both"/>
      </w:pPr>
      <w:r w:rsidRPr="0023040F">
        <w:rPr>
          <w:rStyle w:val="FootnoteReference"/>
          <w:sz w:val="18"/>
          <w:szCs w:val="18"/>
        </w:rPr>
        <w:footnoteRef/>
      </w:r>
      <w:r w:rsidRPr="0023040F">
        <w:rPr>
          <w:sz w:val="18"/>
          <w:szCs w:val="18"/>
        </w:rPr>
        <w:t xml:space="preserve"> </w:t>
      </w:r>
      <w:r w:rsidR="005D3EDE" w:rsidRPr="0023040F">
        <w:rPr>
          <w:sz w:val="18"/>
          <w:szCs w:val="18"/>
        </w:rPr>
        <w:t xml:space="preserve">The data was based on the corresponding dataset’s early-2023 update and covers Latin America, Africa, Middle East, Eastern Europe, </w:t>
      </w:r>
      <w:r w:rsidR="00587E53">
        <w:rPr>
          <w:sz w:val="18"/>
          <w:szCs w:val="18"/>
        </w:rPr>
        <w:t xml:space="preserve">the </w:t>
      </w:r>
      <w:r w:rsidR="005D3EDE" w:rsidRPr="0023040F">
        <w:rPr>
          <w:sz w:val="18"/>
          <w:szCs w:val="18"/>
        </w:rPr>
        <w:t>Russia</w:t>
      </w:r>
      <w:r w:rsidR="00587E53">
        <w:rPr>
          <w:sz w:val="18"/>
          <w:szCs w:val="18"/>
        </w:rPr>
        <w:t>n Federation</w:t>
      </w:r>
      <w:r w:rsidR="005D3EDE" w:rsidRPr="0023040F">
        <w:rPr>
          <w:sz w:val="18"/>
          <w:szCs w:val="18"/>
        </w:rPr>
        <w:t>, and Asia excluding Japan.</w:t>
      </w:r>
      <w:r w:rsidR="005D3EDE">
        <w:t xml:space="preserve"> </w:t>
      </w:r>
    </w:p>
  </w:footnote>
  <w:footnote w:id="70">
    <w:p w14:paraId="31EBB114" w14:textId="77777777" w:rsidR="00130BE0" w:rsidRPr="00087806" w:rsidRDefault="00130BE0" w:rsidP="00E01A7B">
      <w:pPr>
        <w:pStyle w:val="FootnoteText"/>
        <w:jc w:val="both"/>
        <w:rPr>
          <w:sz w:val="18"/>
          <w:szCs w:val="18"/>
        </w:rPr>
      </w:pPr>
      <w:r w:rsidRPr="00087806">
        <w:rPr>
          <w:rStyle w:val="FootnoteReference"/>
          <w:sz w:val="18"/>
          <w:szCs w:val="18"/>
        </w:rPr>
        <w:footnoteRef/>
      </w:r>
      <w:r w:rsidRPr="00087806">
        <w:rPr>
          <w:sz w:val="18"/>
          <w:szCs w:val="18"/>
        </w:rPr>
        <w:t xml:space="preserve"> And notwithstanding the use of sector averages to draw conclusions. </w:t>
      </w:r>
    </w:p>
  </w:footnote>
  <w:footnote w:id="71">
    <w:p w14:paraId="39F51A57" w14:textId="77777777" w:rsidR="00130BE0" w:rsidRPr="00087806" w:rsidRDefault="00130BE0" w:rsidP="00E01A7B">
      <w:pPr>
        <w:pStyle w:val="FootnoteText"/>
        <w:jc w:val="both"/>
        <w:rPr>
          <w:sz w:val="18"/>
          <w:szCs w:val="18"/>
        </w:rPr>
      </w:pPr>
      <w:r w:rsidRPr="00087806">
        <w:rPr>
          <w:rStyle w:val="FootnoteReference"/>
          <w:sz w:val="18"/>
          <w:szCs w:val="18"/>
        </w:rPr>
        <w:footnoteRef/>
      </w:r>
      <w:r w:rsidRPr="00087806">
        <w:rPr>
          <w:sz w:val="18"/>
          <w:szCs w:val="18"/>
        </w:rPr>
        <w:t xml:space="preserve"> Note that raising the rate to a less rounded value between 0.5 percent and 1.0 percent might add unnecessary complexity to time-bound system that requires self-assessment calculations. Hence, we use 1.0 percent for this example.</w:t>
      </w:r>
    </w:p>
  </w:footnote>
  <w:footnote w:id="72">
    <w:p w14:paraId="62AF28DD" w14:textId="233F907D" w:rsidR="0028628C" w:rsidRPr="00087806" w:rsidRDefault="0028628C" w:rsidP="00FF0A91">
      <w:pPr>
        <w:pStyle w:val="FootnoteText"/>
        <w:rPr>
          <w:sz w:val="18"/>
          <w:szCs w:val="18"/>
        </w:rPr>
      </w:pPr>
      <w:r w:rsidRPr="00087806">
        <w:rPr>
          <w:rStyle w:val="FootnoteReference"/>
          <w:sz w:val="18"/>
          <w:szCs w:val="18"/>
        </w:rPr>
        <w:footnoteRef/>
      </w:r>
      <w:r w:rsidRPr="00087806">
        <w:rPr>
          <w:sz w:val="18"/>
          <w:szCs w:val="18"/>
        </w:rPr>
        <w:t xml:space="preserve"> </w:t>
      </w:r>
      <w:r w:rsidR="00605AB9">
        <w:rPr>
          <w:sz w:val="18"/>
          <w:szCs w:val="18"/>
        </w:rPr>
        <w:t xml:space="preserve">As per </w:t>
      </w:r>
      <w:r w:rsidR="00C2270B">
        <w:rPr>
          <w:sz w:val="18"/>
          <w:szCs w:val="18"/>
        </w:rPr>
        <w:t>Article 31E</w:t>
      </w:r>
      <w:r w:rsidR="00EF46DB">
        <w:rPr>
          <w:sz w:val="18"/>
          <w:szCs w:val="18"/>
        </w:rPr>
        <w:t xml:space="preserve">, </w:t>
      </w:r>
      <w:r w:rsidR="00605AB9">
        <w:rPr>
          <w:sz w:val="18"/>
          <w:szCs w:val="18"/>
        </w:rPr>
        <w:t xml:space="preserve">Law </w:t>
      </w:r>
      <w:r w:rsidR="00D1609A">
        <w:rPr>
          <w:sz w:val="18"/>
          <w:szCs w:val="18"/>
        </w:rPr>
        <w:t xml:space="preserve">No. </w:t>
      </w:r>
      <w:r w:rsidR="00605AB9">
        <w:rPr>
          <w:sz w:val="18"/>
          <w:szCs w:val="18"/>
        </w:rPr>
        <w:t>7</w:t>
      </w:r>
      <w:r w:rsidR="00D1609A">
        <w:rPr>
          <w:sz w:val="18"/>
          <w:szCs w:val="18"/>
        </w:rPr>
        <w:t>/</w:t>
      </w:r>
      <w:r w:rsidR="00605AB9">
        <w:rPr>
          <w:sz w:val="18"/>
          <w:szCs w:val="18"/>
        </w:rPr>
        <w:t>2008</w:t>
      </w:r>
      <w:r w:rsidR="00EF46DB">
        <w:rPr>
          <w:sz w:val="18"/>
          <w:szCs w:val="18"/>
        </w:rPr>
        <w:t>:</w:t>
      </w:r>
      <w:r w:rsidR="00605AB9">
        <w:rPr>
          <w:sz w:val="18"/>
          <w:szCs w:val="18"/>
        </w:rPr>
        <w:t xml:space="preserve"> </w:t>
      </w:r>
      <w:r w:rsidRPr="00087806">
        <w:rPr>
          <w:sz w:val="18"/>
          <w:szCs w:val="18"/>
        </w:rPr>
        <w:t>For firms with turnover less than US$320,000, all taxable income is subject to the 11</w:t>
      </w:r>
      <w:r w:rsidR="003C1B69">
        <w:rPr>
          <w:sz w:val="18"/>
          <w:szCs w:val="18"/>
        </w:rPr>
        <w:t> </w:t>
      </w:r>
      <w:r w:rsidRPr="00087806">
        <w:rPr>
          <w:sz w:val="18"/>
          <w:szCs w:val="18"/>
        </w:rPr>
        <w:t xml:space="preserve">percent rate. For all other firms, </w:t>
      </w:r>
      <w:r w:rsidR="006335D4">
        <w:rPr>
          <w:sz w:val="18"/>
          <w:szCs w:val="18"/>
        </w:rPr>
        <w:t>the amount of taxable income subject to the concessional rate is given by</w:t>
      </w:r>
      <w:r w:rsidRPr="00087806">
        <w:rPr>
          <w:sz w:val="18"/>
          <w:szCs w:val="18"/>
        </w:rPr>
        <w:t xml:space="preserve">: </w:t>
      </w:r>
      <w:r w:rsidR="006335D4">
        <w:rPr>
          <w:sz w:val="18"/>
          <w:szCs w:val="18"/>
        </w:rPr>
        <w:br/>
      </w:r>
      <w:r w:rsidRPr="00087806">
        <w:rPr>
          <w:i/>
          <w:iCs/>
          <w:sz w:val="18"/>
          <w:szCs w:val="18"/>
        </w:rPr>
        <w:t>(Share of turnover subject to 11</w:t>
      </w:r>
      <w:proofErr w:type="gramStart"/>
      <w:r w:rsidRPr="00087806">
        <w:rPr>
          <w:i/>
          <w:iCs/>
          <w:sz w:val="18"/>
          <w:szCs w:val="18"/>
        </w:rPr>
        <w:t>%)*</w:t>
      </w:r>
      <w:proofErr w:type="gramEnd"/>
      <w:r w:rsidRPr="00087806">
        <w:rPr>
          <w:i/>
          <w:iCs/>
          <w:sz w:val="18"/>
          <w:szCs w:val="18"/>
        </w:rPr>
        <w:t>(Taxable income) = (US$320,000/</w:t>
      </w:r>
      <w:proofErr w:type="gramStart"/>
      <w:r w:rsidRPr="00087806">
        <w:rPr>
          <w:i/>
          <w:iCs/>
          <w:sz w:val="18"/>
          <w:szCs w:val="18"/>
        </w:rPr>
        <w:t>Turnover)*</w:t>
      </w:r>
      <w:proofErr w:type="gramEnd"/>
      <w:r w:rsidRPr="00087806">
        <w:rPr>
          <w:i/>
          <w:iCs/>
          <w:sz w:val="18"/>
          <w:szCs w:val="18"/>
        </w:rPr>
        <w:t>(Turnover*Net profit margin)</w:t>
      </w:r>
    </w:p>
  </w:footnote>
  <w:footnote w:id="73">
    <w:p w14:paraId="74BFA1FD" w14:textId="4ACFD60F" w:rsidR="0028628C" w:rsidRPr="00087806" w:rsidRDefault="0028628C" w:rsidP="00B9046D">
      <w:pPr>
        <w:pStyle w:val="FootnoteText"/>
        <w:jc w:val="both"/>
        <w:rPr>
          <w:sz w:val="18"/>
          <w:szCs w:val="18"/>
        </w:rPr>
      </w:pPr>
      <w:r w:rsidRPr="00087806">
        <w:rPr>
          <w:rStyle w:val="FootnoteReference"/>
          <w:sz w:val="18"/>
          <w:szCs w:val="18"/>
        </w:rPr>
        <w:footnoteRef/>
      </w:r>
      <w:r w:rsidRPr="00087806">
        <w:rPr>
          <w:sz w:val="18"/>
          <w:szCs w:val="18"/>
        </w:rPr>
        <w:t xml:space="preserve"> Based on Damodaran (2023), 73 of 94 sectors in </w:t>
      </w:r>
      <w:r w:rsidR="00884EA8">
        <w:rPr>
          <w:sz w:val="18"/>
          <w:szCs w:val="18"/>
        </w:rPr>
        <w:t>E</w:t>
      </w:r>
      <w:r w:rsidR="007155B1">
        <w:rPr>
          <w:sz w:val="18"/>
          <w:szCs w:val="18"/>
        </w:rPr>
        <w:t>M</w:t>
      </w:r>
      <w:r w:rsidR="00884EA8">
        <w:rPr>
          <w:sz w:val="18"/>
          <w:szCs w:val="18"/>
        </w:rPr>
        <w:t xml:space="preserve">s </w:t>
      </w:r>
      <w:r w:rsidRPr="00087806">
        <w:rPr>
          <w:sz w:val="18"/>
          <w:szCs w:val="18"/>
        </w:rPr>
        <w:t>had average NPM</w:t>
      </w:r>
      <w:r>
        <w:rPr>
          <w:sz w:val="18"/>
          <w:szCs w:val="18"/>
        </w:rPr>
        <w:t>R</w:t>
      </w:r>
      <w:r w:rsidRPr="00087806">
        <w:rPr>
          <w:sz w:val="18"/>
          <w:szCs w:val="18"/>
        </w:rPr>
        <w:t>s between 2 percent and 20 percent.</w:t>
      </w:r>
    </w:p>
  </w:footnote>
  <w:footnote w:id="74">
    <w:p w14:paraId="4FCDF20E" w14:textId="6DC26AAD" w:rsidR="007B7752" w:rsidRDefault="007B7752">
      <w:pPr>
        <w:pStyle w:val="FootnoteText"/>
      </w:pPr>
      <w:r w:rsidRPr="00044888">
        <w:rPr>
          <w:rStyle w:val="FootnoteReference"/>
          <w:sz w:val="18"/>
          <w:szCs w:val="18"/>
        </w:rPr>
        <w:footnoteRef/>
      </w:r>
      <w:r w:rsidRPr="00044888">
        <w:rPr>
          <w:sz w:val="18"/>
          <w:szCs w:val="18"/>
        </w:rPr>
        <w:t xml:space="preserve"> This differs from the US$65,000 in Table 3.1 because the table uses the exact US$ equivalent value of the IDR</w:t>
      </w:r>
      <w:r w:rsidR="004D7EBD">
        <w:rPr>
          <w:sz w:val="18"/>
          <w:szCs w:val="18"/>
        </w:rPr>
        <w:t> </w:t>
      </w:r>
      <w:r w:rsidRPr="00044888">
        <w:rPr>
          <w:sz w:val="18"/>
          <w:szCs w:val="18"/>
        </w:rPr>
        <w:t>4.8</w:t>
      </w:r>
      <w:r w:rsidR="004D7EBD">
        <w:rPr>
          <w:sz w:val="18"/>
          <w:szCs w:val="18"/>
        </w:rPr>
        <w:t> </w:t>
      </w:r>
      <w:r w:rsidRPr="00044888">
        <w:rPr>
          <w:sz w:val="18"/>
          <w:szCs w:val="18"/>
        </w:rPr>
        <w:t xml:space="preserve">billion threshold, </w:t>
      </w:r>
      <w:r w:rsidR="00044888">
        <w:rPr>
          <w:sz w:val="18"/>
          <w:szCs w:val="18"/>
        </w:rPr>
        <w:t xml:space="preserve">before rounding the </w:t>
      </w:r>
      <w:proofErr w:type="gramStart"/>
      <w:r w:rsidR="004D7EBD">
        <w:rPr>
          <w:sz w:val="18"/>
          <w:szCs w:val="18"/>
        </w:rPr>
        <w:t>final results</w:t>
      </w:r>
      <w:proofErr w:type="gramEnd"/>
      <w:r w:rsidR="004D7EBD">
        <w:rPr>
          <w:sz w:val="18"/>
          <w:szCs w:val="18"/>
        </w:rPr>
        <w:t xml:space="preserve"> to the </w:t>
      </w:r>
      <w:r w:rsidR="00044888">
        <w:rPr>
          <w:sz w:val="18"/>
          <w:szCs w:val="18"/>
        </w:rPr>
        <w:t xml:space="preserve">nearest US$1,000, </w:t>
      </w:r>
      <w:r w:rsidRPr="00044888">
        <w:rPr>
          <w:sz w:val="18"/>
          <w:szCs w:val="18"/>
        </w:rPr>
        <w:t xml:space="preserve">rather than </w:t>
      </w:r>
      <w:r w:rsidR="00044888">
        <w:rPr>
          <w:sz w:val="18"/>
          <w:szCs w:val="18"/>
        </w:rPr>
        <w:t xml:space="preserve">starting with a </w:t>
      </w:r>
      <w:r w:rsidRPr="00044888">
        <w:rPr>
          <w:sz w:val="18"/>
          <w:szCs w:val="18"/>
        </w:rPr>
        <w:t>rounded US$320,000.</w:t>
      </w:r>
    </w:p>
  </w:footnote>
  <w:footnote w:id="75">
    <w:p w14:paraId="59E4BD7D" w14:textId="325ADD40" w:rsidR="00391AD2" w:rsidRPr="00087806" w:rsidRDefault="00391AD2" w:rsidP="00B9046D">
      <w:pPr>
        <w:pStyle w:val="FootnoteText"/>
        <w:jc w:val="both"/>
        <w:rPr>
          <w:sz w:val="18"/>
          <w:szCs w:val="18"/>
        </w:rPr>
      </w:pPr>
      <w:r w:rsidRPr="00087806">
        <w:rPr>
          <w:rStyle w:val="FootnoteReference"/>
          <w:sz w:val="18"/>
          <w:szCs w:val="18"/>
        </w:rPr>
        <w:footnoteRef/>
      </w:r>
      <w:r w:rsidRPr="00087806">
        <w:rPr>
          <w:sz w:val="18"/>
          <w:szCs w:val="18"/>
        </w:rPr>
        <w:t xml:space="preserve"> </w:t>
      </w:r>
      <w:r w:rsidR="00070AE4">
        <w:rPr>
          <w:sz w:val="18"/>
          <w:szCs w:val="18"/>
        </w:rPr>
        <w:t>For example</w:t>
      </w:r>
      <w:r w:rsidRPr="00087806">
        <w:rPr>
          <w:sz w:val="18"/>
          <w:szCs w:val="18"/>
        </w:rPr>
        <w:t xml:space="preserve">, to the extent that splitting firms duplicate fixed costs and erode their economies of scale. </w:t>
      </w:r>
    </w:p>
  </w:footnote>
  <w:footnote w:id="76">
    <w:p w14:paraId="374654BB" w14:textId="77777777" w:rsidR="00391AD2" w:rsidRPr="007E573B" w:rsidRDefault="00391AD2" w:rsidP="00B9046D">
      <w:pPr>
        <w:pStyle w:val="FootnoteText"/>
        <w:jc w:val="both"/>
        <w:rPr>
          <w:sz w:val="18"/>
          <w:szCs w:val="18"/>
        </w:rPr>
      </w:pPr>
      <w:r w:rsidRPr="00087806">
        <w:rPr>
          <w:rStyle w:val="FootnoteReference"/>
          <w:sz w:val="18"/>
          <w:szCs w:val="18"/>
        </w:rPr>
        <w:footnoteRef/>
      </w:r>
      <w:r w:rsidRPr="00087806">
        <w:rPr>
          <w:sz w:val="18"/>
          <w:szCs w:val="18"/>
        </w:rPr>
        <w:t xml:space="preserve"> It should be noted that there are no laws or regula</w:t>
      </w:r>
      <w:r w:rsidRPr="007E573B">
        <w:rPr>
          <w:sz w:val="18"/>
          <w:szCs w:val="18"/>
        </w:rPr>
        <w:t xml:space="preserve">tions specifically addressing the practice of business splitting. </w:t>
      </w:r>
    </w:p>
  </w:footnote>
  <w:footnote w:id="77">
    <w:p w14:paraId="202D4820" w14:textId="69AE1BE3" w:rsidR="00391AD2" w:rsidRDefault="00391AD2" w:rsidP="00B9046D">
      <w:pPr>
        <w:pStyle w:val="FootnoteText"/>
        <w:jc w:val="both"/>
      </w:pPr>
      <w:r w:rsidRPr="00700449">
        <w:rPr>
          <w:rStyle w:val="FootnoteReference"/>
          <w:sz w:val="18"/>
          <w:szCs w:val="18"/>
        </w:rPr>
        <w:footnoteRef/>
      </w:r>
      <w:r w:rsidRPr="00700449">
        <w:rPr>
          <w:sz w:val="18"/>
          <w:szCs w:val="18"/>
        </w:rPr>
        <w:t xml:space="preserve"> As noted in the previous section, estimated tax expenditures from these combined AFT and CIT provisions amounted to just 0.1</w:t>
      </w:r>
      <w:r w:rsidR="00166DCF">
        <w:rPr>
          <w:sz w:val="18"/>
          <w:szCs w:val="18"/>
        </w:rPr>
        <w:t>0</w:t>
      </w:r>
      <w:r w:rsidRPr="00700449">
        <w:rPr>
          <w:sz w:val="18"/>
          <w:szCs w:val="18"/>
        </w:rPr>
        <w:t xml:space="preserve"> percent of GDP in 202</w:t>
      </w:r>
      <w:r w:rsidR="00166DCF">
        <w:rPr>
          <w:sz w:val="18"/>
          <w:szCs w:val="18"/>
        </w:rPr>
        <w:t>2</w:t>
      </w:r>
      <w:r w:rsidRPr="00700449">
        <w:rPr>
          <w:sz w:val="18"/>
          <w:szCs w:val="18"/>
        </w:rPr>
        <w:t xml:space="preserve">. </w:t>
      </w:r>
    </w:p>
  </w:footnote>
  <w:footnote w:id="78">
    <w:p w14:paraId="0434C454" w14:textId="6AEF635E" w:rsidR="00391AD2" w:rsidRPr="00087806" w:rsidRDefault="00391AD2" w:rsidP="00B9046D">
      <w:pPr>
        <w:pStyle w:val="FootnoteText"/>
        <w:jc w:val="both"/>
        <w:rPr>
          <w:sz w:val="18"/>
          <w:szCs w:val="18"/>
        </w:rPr>
      </w:pPr>
      <w:r w:rsidRPr="00087806">
        <w:rPr>
          <w:rStyle w:val="FootnoteReference"/>
          <w:sz w:val="18"/>
          <w:szCs w:val="18"/>
        </w:rPr>
        <w:footnoteRef/>
      </w:r>
      <w:r w:rsidRPr="00087806">
        <w:rPr>
          <w:sz w:val="18"/>
          <w:szCs w:val="18"/>
        </w:rPr>
        <w:t xml:space="preserve"> It may also be that the tax expenditure estimates are low due to an inability to estimate foregone revenues when firms split into multiple entities or engage in other tax avoidance and minimization schemes. </w:t>
      </w:r>
      <w:r w:rsidR="002C4FD4">
        <w:rPr>
          <w:sz w:val="18"/>
          <w:szCs w:val="18"/>
        </w:rPr>
        <w:t>D</w:t>
      </w:r>
      <w:r w:rsidR="003D51C1">
        <w:rPr>
          <w:sz w:val="18"/>
          <w:szCs w:val="18"/>
        </w:rPr>
        <w:t xml:space="preserve">ue to </w:t>
      </w:r>
      <w:r w:rsidR="004E674C">
        <w:rPr>
          <w:sz w:val="18"/>
          <w:szCs w:val="18"/>
        </w:rPr>
        <w:t xml:space="preserve">the </w:t>
      </w:r>
      <w:r w:rsidR="00751D07">
        <w:rPr>
          <w:sz w:val="18"/>
          <w:szCs w:val="18"/>
        </w:rPr>
        <w:t xml:space="preserve">reduced </w:t>
      </w:r>
      <w:r w:rsidR="00002107">
        <w:rPr>
          <w:sz w:val="18"/>
          <w:szCs w:val="18"/>
        </w:rPr>
        <w:t>CIT</w:t>
      </w:r>
      <w:r w:rsidR="003D51C1">
        <w:rPr>
          <w:sz w:val="18"/>
          <w:szCs w:val="18"/>
        </w:rPr>
        <w:t xml:space="preserve"> rate</w:t>
      </w:r>
      <w:r w:rsidR="00002107">
        <w:rPr>
          <w:sz w:val="18"/>
          <w:szCs w:val="18"/>
        </w:rPr>
        <w:t xml:space="preserve">, a firm </w:t>
      </w:r>
      <w:r w:rsidR="002C4FD4">
        <w:rPr>
          <w:sz w:val="18"/>
          <w:szCs w:val="18"/>
        </w:rPr>
        <w:t xml:space="preserve">with </w:t>
      </w:r>
      <w:r w:rsidR="00070AE4">
        <w:rPr>
          <w:sz w:val="18"/>
          <w:szCs w:val="18"/>
        </w:rPr>
        <w:t xml:space="preserve">a </w:t>
      </w:r>
      <w:r w:rsidR="00002107">
        <w:rPr>
          <w:sz w:val="18"/>
          <w:szCs w:val="18"/>
        </w:rPr>
        <w:t>R</w:t>
      </w:r>
      <w:r w:rsidR="0004266E">
        <w:rPr>
          <w:sz w:val="18"/>
          <w:szCs w:val="18"/>
        </w:rPr>
        <w:t>p</w:t>
      </w:r>
      <w:r w:rsidR="00002107">
        <w:rPr>
          <w:sz w:val="18"/>
          <w:szCs w:val="18"/>
        </w:rPr>
        <w:t xml:space="preserve"> 9.6 billion turnover pays more than double the tax </w:t>
      </w:r>
      <w:r w:rsidR="00ED58AB">
        <w:rPr>
          <w:sz w:val="18"/>
          <w:szCs w:val="18"/>
        </w:rPr>
        <w:t xml:space="preserve">it would </w:t>
      </w:r>
      <w:r w:rsidR="00751D07">
        <w:rPr>
          <w:sz w:val="18"/>
          <w:szCs w:val="18"/>
        </w:rPr>
        <w:t xml:space="preserve">if it </w:t>
      </w:r>
      <w:r w:rsidR="00DF534C">
        <w:rPr>
          <w:sz w:val="18"/>
          <w:szCs w:val="18"/>
        </w:rPr>
        <w:t xml:space="preserve">had </w:t>
      </w:r>
      <w:r w:rsidR="00751D07">
        <w:rPr>
          <w:sz w:val="18"/>
          <w:szCs w:val="18"/>
        </w:rPr>
        <w:t xml:space="preserve">split into </w:t>
      </w:r>
      <w:r w:rsidR="00002107">
        <w:rPr>
          <w:sz w:val="18"/>
          <w:szCs w:val="18"/>
        </w:rPr>
        <w:t xml:space="preserve">two </w:t>
      </w:r>
      <w:r w:rsidR="002C4FD4">
        <w:rPr>
          <w:sz w:val="18"/>
          <w:szCs w:val="18"/>
        </w:rPr>
        <w:t xml:space="preserve">firms with </w:t>
      </w:r>
      <w:r w:rsidR="00002107">
        <w:rPr>
          <w:sz w:val="18"/>
          <w:szCs w:val="18"/>
        </w:rPr>
        <w:t>R</w:t>
      </w:r>
      <w:r w:rsidR="0004266E">
        <w:rPr>
          <w:sz w:val="18"/>
          <w:szCs w:val="18"/>
        </w:rPr>
        <w:t>p</w:t>
      </w:r>
      <w:r w:rsidR="00002107">
        <w:rPr>
          <w:sz w:val="18"/>
          <w:szCs w:val="18"/>
        </w:rPr>
        <w:t xml:space="preserve"> 4.8 billion</w:t>
      </w:r>
      <w:r w:rsidR="00DF534C">
        <w:rPr>
          <w:sz w:val="18"/>
          <w:szCs w:val="18"/>
        </w:rPr>
        <w:t xml:space="preserve"> each</w:t>
      </w:r>
      <w:r w:rsidR="00002107">
        <w:rPr>
          <w:sz w:val="18"/>
          <w:szCs w:val="18"/>
        </w:rPr>
        <w:t>.</w:t>
      </w:r>
    </w:p>
  </w:footnote>
  <w:footnote w:id="79">
    <w:p w14:paraId="37A85C3E" w14:textId="77798F35" w:rsidR="00237E95" w:rsidRPr="00CF3688" w:rsidRDefault="00237E95" w:rsidP="00B9046D">
      <w:pPr>
        <w:pStyle w:val="FootnoteText"/>
        <w:jc w:val="both"/>
        <w:rPr>
          <w:sz w:val="18"/>
          <w:szCs w:val="18"/>
        </w:rPr>
      </w:pPr>
      <w:r w:rsidRPr="00CF3688">
        <w:rPr>
          <w:rStyle w:val="FootnoteReference"/>
          <w:sz w:val="18"/>
          <w:szCs w:val="18"/>
        </w:rPr>
        <w:footnoteRef/>
      </w:r>
      <w:r w:rsidRPr="00CF3688">
        <w:rPr>
          <w:sz w:val="18"/>
          <w:szCs w:val="18"/>
        </w:rPr>
        <w:t xml:space="preserve"> This choice of R</w:t>
      </w:r>
      <w:r w:rsidR="0004266E">
        <w:rPr>
          <w:sz w:val="18"/>
          <w:szCs w:val="18"/>
        </w:rPr>
        <w:t>p</w:t>
      </w:r>
      <w:r w:rsidRPr="00CF3688">
        <w:rPr>
          <w:sz w:val="18"/>
          <w:szCs w:val="18"/>
        </w:rPr>
        <w:t xml:space="preserve"> 500 million is discussed below, as well as in the subsequent VAT section. </w:t>
      </w:r>
    </w:p>
  </w:footnote>
  <w:footnote w:id="80">
    <w:p w14:paraId="219BA92F" w14:textId="4CD04E2E" w:rsidR="003F71E4" w:rsidRDefault="003F71E4" w:rsidP="00B9046D">
      <w:pPr>
        <w:pStyle w:val="FootnoteText"/>
        <w:jc w:val="both"/>
      </w:pPr>
      <w:r w:rsidRPr="008F03F2">
        <w:rPr>
          <w:rStyle w:val="FootnoteReference"/>
          <w:sz w:val="18"/>
          <w:szCs w:val="18"/>
        </w:rPr>
        <w:footnoteRef/>
      </w:r>
      <w:r w:rsidRPr="008F03F2">
        <w:rPr>
          <w:sz w:val="18"/>
          <w:szCs w:val="18"/>
        </w:rPr>
        <w:t xml:space="preserve"> The CIT compliance burden costs are likely high relative to the potential tax revenues that they </w:t>
      </w:r>
      <w:r>
        <w:rPr>
          <w:sz w:val="18"/>
          <w:szCs w:val="18"/>
        </w:rPr>
        <w:t xml:space="preserve">might </w:t>
      </w:r>
      <w:r w:rsidRPr="008F03F2">
        <w:rPr>
          <w:sz w:val="18"/>
          <w:szCs w:val="18"/>
        </w:rPr>
        <w:t>stand to pay</w:t>
      </w:r>
      <w:r w:rsidR="001D697F">
        <w:rPr>
          <w:sz w:val="18"/>
          <w:szCs w:val="18"/>
        </w:rPr>
        <w:t xml:space="preserve">, and </w:t>
      </w:r>
      <w:r w:rsidR="007A046C">
        <w:rPr>
          <w:sz w:val="18"/>
          <w:szCs w:val="18"/>
        </w:rPr>
        <w:t xml:space="preserve">many of them </w:t>
      </w:r>
      <w:r w:rsidR="001D697F">
        <w:rPr>
          <w:sz w:val="18"/>
          <w:szCs w:val="18"/>
        </w:rPr>
        <w:t xml:space="preserve">might never fully </w:t>
      </w:r>
      <w:r w:rsidR="007A046C">
        <w:rPr>
          <w:sz w:val="18"/>
          <w:szCs w:val="18"/>
        </w:rPr>
        <w:t xml:space="preserve">acquire the skills and capacity to fully comply with such compliance requirements. </w:t>
      </w:r>
    </w:p>
  </w:footnote>
  <w:footnote w:id="81">
    <w:p w14:paraId="0DEE48F4" w14:textId="77777777" w:rsidR="005F01E5" w:rsidRDefault="005F01E5" w:rsidP="00B9046D">
      <w:pPr>
        <w:pStyle w:val="FootnoteText"/>
        <w:jc w:val="both"/>
      </w:pPr>
      <w:r w:rsidRPr="004A1DBA">
        <w:rPr>
          <w:rStyle w:val="FootnoteReference"/>
          <w:sz w:val="18"/>
          <w:szCs w:val="18"/>
        </w:rPr>
        <w:footnoteRef/>
      </w:r>
      <w:r w:rsidRPr="004A1DBA">
        <w:rPr>
          <w:sz w:val="18"/>
          <w:szCs w:val="18"/>
        </w:rPr>
        <w:t xml:space="preserve"> </w:t>
      </w:r>
      <w:r>
        <w:rPr>
          <w:sz w:val="18"/>
          <w:szCs w:val="18"/>
        </w:rPr>
        <w:t xml:space="preserve">These are conservative estimates because the WBES </w:t>
      </w:r>
      <w:r w:rsidRPr="004A1DBA">
        <w:rPr>
          <w:sz w:val="18"/>
          <w:szCs w:val="18"/>
        </w:rPr>
        <w:t>excludes businesses with fewer than five employees</w:t>
      </w:r>
      <w:r>
        <w:rPr>
          <w:sz w:val="18"/>
          <w:szCs w:val="18"/>
        </w:rPr>
        <w:t xml:space="preserve">. </w:t>
      </w:r>
    </w:p>
  </w:footnote>
  <w:footnote w:id="82">
    <w:p w14:paraId="5806D8A2" w14:textId="0B760D99" w:rsidR="00130BE0" w:rsidRPr="00087806" w:rsidRDefault="00130BE0" w:rsidP="00B9046D">
      <w:pPr>
        <w:pStyle w:val="FootnoteText"/>
        <w:jc w:val="both"/>
        <w:rPr>
          <w:sz w:val="18"/>
          <w:szCs w:val="18"/>
        </w:rPr>
      </w:pPr>
      <w:r w:rsidRPr="00087806">
        <w:rPr>
          <w:rStyle w:val="FootnoteReference"/>
          <w:sz w:val="18"/>
          <w:szCs w:val="18"/>
        </w:rPr>
        <w:footnoteRef/>
      </w:r>
      <w:r w:rsidRPr="00087806">
        <w:rPr>
          <w:sz w:val="18"/>
          <w:szCs w:val="18"/>
        </w:rPr>
        <w:t xml:space="preserve"> High-income earners tend to have more flexibility </w:t>
      </w:r>
      <w:r w:rsidR="000A6CFC">
        <w:rPr>
          <w:sz w:val="18"/>
          <w:szCs w:val="18"/>
        </w:rPr>
        <w:t>to</w:t>
      </w:r>
      <w:r w:rsidRPr="00087806">
        <w:rPr>
          <w:sz w:val="18"/>
          <w:szCs w:val="18"/>
        </w:rPr>
        <w:t xml:space="preserve"> receiv</w:t>
      </w:r>
      <w:r w:rsidR="000A6CFC">
        <w:rPr>
          <w:sz w:val="18"/>
          <w:szCs w:val="18"/>
        </w:rPr>
        <w:t>e</w:t>
      </w:r>
      <w:r w:rsidRPr="00087806">
        <w:rPr>
          <w:sz w:val="18"/>
          <w:szCs w:val="18"/>
        </w:rPr>
        <w:t xml:space="preserve"> their income through means other than wages and salaries, and thereby exploit lower tax rates under the CIT. </w:t>
      </w:r>
    </w:p>
  </w:footnote>
  <w:footnote w:id="83">
    <w:p w14:paraId="6325CC2F" w14:textId="1A141CB0" w:rsidR="002750B4" w:rsidRDefault="002750B4" w:rsidP="00B9046D">
      <w:pPr>
        <w:pStyle w:val="FootnoteText"/>
        <w:jc w:val="both"/>
      </w:pPr>
      <w:r w:rsidRPr="0001635A">
        <w:rPr>
          <w:rStyle w:val="FootnoteReference"/>
          <w:sz w:val="18"/>
          <w:szCs w:val="18"/>
        </w:rPr>
        <w:footnoteRef/>
      </w:r>
      <w:r w:rsidRPr="0001635A">
        <w:rPr>
          <w:sz w:val="18"/>
          <w:szCs w:val="18"/>
        </w:rPr>
        <w:t xml:space="preserve"> One caveat here is that </w:t>
      </w:r>
      <w:r w:rsidR="00151831" w:rsidRPr="0001635A">
        <w:rPr>
          <w:sz w:val="18"/>
          <w:szCs w:val="18"/>
        </w:rPr>
        <w:t>among the 65 million MSMEs</w:t>
      </w:r>
      <w:r w:rsidR="000C3A36" w:rsidRPr="0001635A">
        <w:rPr>
          <w:sz w:val="18"/>
          <w:szCs w:val="18"/>
        </w:rPr>
        <w:t xml:space="preserve"> </w:t>
      </w:r>
      <w:r w:rsidR="00C57578" w:rsidRPr="0001635A">
        <w:rPr>
          <w:sz w:val="18"/>
          <w:szCs w:val="18"/>
        </w:rPr>
        <w:t>reported by government</w:t>
      </w:r>
      <w:r w:rsidR="00036A74">
        <w:rPr>
          <w:sz w:val="18"/>
          <w:szCs w:val="18"/>
        </w:rPr>
        <w:t>,</w:t>
      </w:r>
      <w:r w:rsidR="00C57578" w:rsidRPr="0001635A">
        <w:rPr>
          <w:sz w:val="18"/>
          <w:szCs w:val="18"/>
        </w:rPr>
        <w:t xml:space="preserve"> </w:t>
      </w:r>
      <w:r w:rsidR="000C3A36" w:rsidRPr="0001635A">
        <w:rPr>
          <w:sz w:val="18"/>
          <w:szCs w:val="18"/>
        </w:rPr>
        <w:t xml:space="preserve">a significant share may be ‘individual businesses’ </w:t>
      </w:r>
      <w:r w:rsidR="00036A74">
        <w:rPr>
          <w:sz w:val="18"/>
          <w:szCs w:val="18"/>
        </w:rPr>
        <w:t>that</w:t>
      </w:r>
      <w:r w:rsidR="000C3A36" w:rsidRPr="0001635A">
        <w:rPr>
          <w:sz w:val="18"/>
          <w:szCs w:val="18"/>
        </w:rPr>
        <w:t xml:space="preserve"> would </w:t>
      </w:r>
      <w:r w:rsidR="00C57578" w:rsidRPr="0001635A">
        <w:rPr>
          <w:sz w:val="18"/>
          <w:szCs w:val="18"/>
        </w:rPr>
        <w:t xml:space="preserve">be taxed under the PIT if they were not under the AFT. </w:t>
      </w:r>
      <w:r w:rsidR="003D296E" w:rsidRPr="0001635A">
        <w:rPr>
          <w:sz w:val="18"/>
          <w:szCs w:val="18"/>
        </w:rPr>
        <w:t xml:space="preserve">It is nonetheless believed that even after such an adjustment, the population of CIT-regime MSMEs would still be much higher than the 1.5 million registered. </w:t>
      </w:r>
    </w:p>
  </w:footnote>
  <w:footnote w:id="84">
    <w:p w14:paraId="19B195B2" w14:textId="77777777" w:rsidR="00130BE0" w:rsidRPr="00087806" w:rsidRDefault="00130BE0" w:rsidP="00B9046D">
      <w:pPr>
        <w:pStyle w:val="FootnoteText"/>
        <w:jc w:val="both"/>
        <w:rPr>
          <w:sz w:val="18"/>
          <w:szCs w:val="18"/>
        </w:rPr>
      </w:pPr>
      <w:r w:rsidRPr="00087806">
        <w:rPr>
          <w:rStyle w:val="FootnoteReference"/>
          <w:sz w:val="18"/>
          <w:szCs w:val="18"/>
        </w:rPr>
        <w:footnoteRef/>
      </w:r>
      <w:r w:rsidRPr="00087806">
        <w:rPr>
          <w:sz w:val="18"/>
          <w:szCs w:val="18"/>
        </w:rPr>
        <w:t xml:space="preserve"> The latter referred to the ease and virtues of paying taxes, the benefits to the country and to social equity of tax collections, how taxes were spent by government, how to calculate and pay taxes, penalties and fines, and tax authority surveillance capabilities.</w:t>
      </w:r>
    </w:p>
  </w:footnote>
  <w:footnote w:id="85">
    <w:p w14:paraId="61DB29A8" w14:textId="15F4DFED" w:rsidR="00B10EEC" w:rsidRPr="00087806" w:rsidRDefault="00B10EEC" w:rsidP="005A4BF8">
      <w:pPr>
        <w:pStyle w:val="FootnoteText"/>
        <w:jc w:val="both"/>
        <w:rPr>
          <w:sz w:val="18"/>
          <w:szCs w:val="18"/>
        </w:rPr>
      </w:pPr>
      <w:r w:rsidRPr="00087806">
        <w:rPr>
          <w:rStyle w:val="FootnoteReference"/>
          <w:sz w:val="18"/>
          <w:szCs w:val="18"/>
        </w:rPr>
        <w:footnoteRef/>
      </w:r>
      <w:r w:rsidRPr="00087806">
        <w:rPr>
          <w:sz w:val="18"/>
          <w:szCs w:val="18"/>
        </w:rPr>
        <w:t xml:space="preserve"> In comparison, a turnover tax will create </w:t>
      </w:r>
      <w:r w:rsidR="00E02EBB">
        <w:rPr>
          <w:sz w:val="18"/>
          <w:szCs w:val="18"/>
        </w:rPr>
        <w:t xml:space="preserve">a </w:t>
      </w:r>
      <w:r w:rsidRPr="00087806">
        <w:rPr>
          <w:sz w:val="18"/>
          <w:szCs w:val="18"/>
        </w:rPr>
        <w:t xml:space="preserve">cascading effect. Because this tax is levied on turnover, irrespective of value added, the tax collected on a given good will reflect the number of taxable stages in its chain of production. This will distort </w:t>
      </w:r>
      <w:r w:rsidR="00E02EBB">
        <w:rPr>
          <w:sz w:val="18"/>
          <w:szCs w:val="18"/>
        </w:rPr>
        <w:t xml:space="preserve">a </w:t>
      </w:r>
      <w:r w:rsidRPr="00087806">
        <w:rPr>
          <w:sz w:val="18"/>
          <w:szCs w:val="18"/>
        </w:rPr>
        <w:t>firm’s production decision because</w:t>
      </w:r>
      <w:r w:rsidR="00E02EBB">
        <w:rPr>
          <w:sz w:val="18"/>
          <w:szCs w:val="18"/>
        </w:rPr>
        <w:t xml:space="preserve"> the</w:t>
      </w:r>
      <w:r w:rsidRPr="00087806">
        <w:rPr>
          <w:sz w:val="18"/>
          <w:szCs w:val="18"/>
        </w:rPr>
        <w:t xml:space="preserve"> firm has incentives to do a vertical integration of an industry solely to reduce tax liabilities.</w:t>
      </w:r>
    </w:p>
  </w:footnote>
  <w:footnote w:id="86">
    <w:p w14:paraId="12ED5882" w14:textId="54E4ECB7" w:rsidR="00407889" w:rsidRPr="00902347" w:rsidRDefault="00407889" w:rsidP="00902347">
      <w:pPr>
        <w:pStyle w:val="FootnoteText"/>
        <w:jc w:val="both"/>
        <w:rPr>
          <w:sz w:val="18"/>
          <w:szCs w:val="18"/>
        </w:rPr>
      </w:pPr>
      <w:r w:rsidRPr="00902347">
        <w:rPr>
          <w:rStyle w:val="FootnoteReference"/>
          <w:sz w:val="18"/>
          <w:szCs w:val="18"/>
        </w:rPr>
        <w:footnoteRef/>
      </w:r>
      <w:r w:rsidRPr="00902347">
        <w:rPr>
          <w:sz w:val="18"/>
          <w:szCs w:val="18"/>
        </w:rPr>
        <w:t xml:space="preserve"> In agriculture, for instance, high informality entails that taxpayers have limited compliance capacity, while seasonality of harvests generates timing mismatches between inputs and outputs that further complicate calculation of value added.</w:t>
      </w:r>
    </w:p>
  </w:footnote>
  <w:footnote w:id="87">
    <w:p w14:paraId="6411C47A" w14:textId="4A0C1B3A" w:rsidR="00640A6C" w:rsidRDefault="00640A6C" w:rsidP="00902347">
      <w:pPr>
        <w:pStyle w:val="FootnoteText"/>
        <w:jc w:val="both"/>
      </w:pPr>
      <w:r w:rsidRPr="00902347">
        <w:rPr>
          <w:rStyle w:val="FootnoteReference"/>
          <w:sz w:val="18"/>
          <w:szCs w:val="18"/>
        </w:rPr>
        <w:footnoteRef/>
      </w:r>
      <w:r w:rsidRPr="00902347">
        <w:rPr>
          <w:sz w:val="18"/>
          <w:szCs w:val="18"/>
        </w:rPr>
        <w:t xml:space="preserve"> Value added in tour packages can be complicated by a lack of clarity on the sequencing of the value chain: is the tour an input received by the tour package agent who then sells the final packaged experience to a customer, or is the tour provider the final seller of the product </w:t>
      </w:r>
      <w:r w:rsidR="006C2E81">
        <w:rPr>
          <w:sz w:val="18"/>
          <w:szCs w:val="18"/>
        </w:rPr>
        <w:t xml:space="preserve">who </w:t>
      </w:r>
      <w:r w:rsidRPr="00902347">
        <w:rPr>
          <w:sz w:val="18"/>
          <w:szCs w:val="18"/>
        </w:rPr>
        <w:t>simply receives a service input from the tour package agent? The final VAT simplifies such matters by imposing a final rate on the sale price of both parties.</w:t>
      </w:r>
    </w:p>
  </w:footnote>
  <w:footnote w:id="88">
    <w:p w14:paraId="7032645F" w14:textId="182BF764" w:rsidR="00DD58D4" w:rsidRPr="00902347" w:rsidRDefault="00DD58D4" w:rsidP="00902347">
      <w:pPr>
        <w:pStyle w:val="FootnoteText"/>
        <w:jc w:val="both"/>
        <w:rPr>
          <w:sz w:val="18"/>
          <w:szCs w:val="18"/>
        </w:rPr>
      </w:pPr>
      <w:r w:rsidRPr="00902347">
        <w:rPr>
          <w:rStyle w:val="FootnoteReference"/>
          <w:sz w:val="18"/>
          <w:szCs w:val="18"/>
        </w:rPr>
        <w:footnoteRef/>
      </w:r>
      <w:r w:rsidRPr="00902347">
        <w:rPr>
          <w:sz w:val="18"/>
          <w:szCs w:val="18"/>
        </w:rPr>
        <w:t xml:space="preserve"> For specific details on which final rates apply to which products, see </w:t>
      </w:r>
      <w:r w:rsidR="001D4596" w:rsidRPr="00902347">
        <w:rPr>
          <w:sz w:val="18"/>
          <w:szCs w:val="18"/>
        </w:rPr>
        <w:t>Table 5.2</w:t>
      </w:r>
      <w:r w:rsidR="00815C79">
        <w:rPr>
          <w:sz w:val="18"/>
          <w:szCs w:val="18"/>
        </w:rPr>
        <w:t xml:space="preserve"> and </w:t>
      </w:r>
      <w:r w:rsidR="00A66AA1">
        <w:rPr>
          <w:sz w:val="18"/>
          <w:szCs w:val="18"/>
        </w:rPr>
        <w:t>MoF Regulation PMK</w:t>
      </w:r>
      <w:r w:rsidR="00EA742D">
        <w:rPr>
          <w:sz w:val="18"/>
          <w:szCs w:val="18"/>
        </w:rPr>
        <w:t xml:space="preserve"> 64/</w:t>
      </w:r>
      <w:r w:rsidR="00F911B8">
        <w:rPr>
          <w:sz w:val="18"/>
          <w:szCs w:val="18"/>
        </w:rPr>
        <w:t>2022.</w:t>
      </w:r>
      <w:r w:rsidRPr="00902347">
        <w:rPr>
          <w:sz w:val="18"/>
          <w:szCs w:val="18"/>
        </w:rPr>
        <w:t xml:space="preserve"> </w:t>
      </w:r>
    </w:p>
  </w:footnote>
  <w:footnote w:id="89">
    <w:p w14:paraId="2FD9FBAE" w14:textId="77777777" w:rsidR="00B10EEC" w:rsidRPr="00087806" w:rsidRDefault="00B10EEC" w:rsidP="00902347">
      <w:pPr>
        <w:pStyle w:val="FootnoteText"/>
        <w:jc w:val="both"/>
        <w:rPr>
          <w:sz w:val="18"/>
          <w:szCs w:val="18"/>
        </w:rPr>
      </w:pPr>
      <w:r w:rsidRPr="00087806">
        <w:rPr>
          <w:rStyle w:val="FootnoteReference"/>
          <w:sz w:val="18"/>
          <w:szCs w:val="18"/>
        </w:rPr>
        <w:footnoteRef/>
      </w:r>
      <w:r w:rsidRPr="00087806">
        <w:rPr>
          <w:sz w:val="18"/>
          <w:szCs w:val="18"/>
        </w:rPr>
        <w:t xml:space="preserve"> C-efficiency </w:t>
      </w:r>
      <m:oMath>
        <m:r>
          <w:rPr>
            <w:rFonts w:ascii="Cambria Math" w:hAnsi="Cambria Math" w:cstheme="minorHAnsi"/>
            <w:sz w:val="18"/>
            <w:szCs w:val="18"/>
          </w:rPr>
          <m:t>=</m:t>
        </m:r>
        <m:f>
          <m:fPr>
            <m:ctrlPr>
              <w:rPr>
                <w:rFonts w:ascii="Cambria Math" w:hAnsi="Cambria Math" w:cstheme="minorHAnsi"/>
                <w:i/>
                <w:sz w:val="18"/>
                <w:szCs w:val="18"/>
              </w:rPr>
            </m:ctrlPr>
          </m:fPr>
          <m:num>
            <m:r>
              <w:rPr>
                <w:rFonts w:ascii="Cambria Math" w:hAnsi="Cambria Math" w:cstheme="minorHAnsi"/>
                <w:sz w:val="18"/>
                <w:szCs w:val="18"/>
              </w:rPr>
              <m:t>Actual VAT collection</m:t>
            </m:r>
          </m:num>
          <m:den>
            <m:r>
              <w:rPr>
                <w:rFonts w:ascii="Cambria Math" w:hAnsi="Cambria Math" w:cstheme="minorHAnsi"/>
                <w:sz w:val="18"/>
                <w:szCs w:val="18"/>
              </w:rPr>
              <m:t>Net final Consumption × Standard VAT rate</m:t>
            </m:r>
          </m:den>
        </m:f>
      </m:oMath>
    </w:p>
  </w:footnote>
  <w:footnote w:id="90">
    <w:p w14:paraId="2D1CD9E7" w14:textId="240EB45A" w:rsidR="00752713" w:rsidRDefault="00752713">
      <w:pPr>
        <w:pStyle w:val="FootnoteText"/>
      </w:pPr>
      <w:r>
        <w:rPr>
          <w:rStyle w:val="FootnoteReference"/>
        </w:rPr>
        <w:footnoteRef/>
      </w:r>
      <w:r>
        <w:t xml:space="preserve"> </w:t>
      </w:r>
      <w:r w:rsidR="00AD0FD0" w:rsidRPr="00AD0FD0">
        <w:t>W</w:t>
      </w:r>
      <w:r w:rsidR="00DD6E84">
        <w:t xml:space="preserve">orker and </w:t>
      </w:r>
      <w:r w:rsidR="00AD0FD0" w:rsidRPr="00AD0FD0">
        <w:t>H</w:t>
      </w:r>
      <w:r w:rsidR="00DD6E84">
        <w:t xml:space="preserve">ousehold </w:t>
      </w:r>
      <w:r w:rsidR="00AD0FD0" w:rsidRPr="00AD0FD0">
        <w:t>E</w:t>
      </w:r>
      <w:r w:rsidR="00DD6E84">
        <w:t>nterprise</w:t>
      </w:r>
      <w:r w:rsidR="00A86B05">
        <w:t xml:space="preserve"> </w:t>
      </w:r>
      <w:r w:rsidR="00AD0FD0" w:rsidRPr="00AD0FD0">
        <w:t>S</w:t>
      </w:r>
      <w:r w:rsidR="00A86B05">
        <w:t>urvey (WHES)</w:t>
      </w:r>
      <w:r w:rsidR="00AD0FD0" w:rsidRPr="00AD0FD0">
        <w:t xml:space="preserve"> is conducted by </w:t>
      </w:r>
      <w:r w:rsidR="00DD6E84">
        <w:t xml:space="preserve">the </w:t>
      </w:r>
      <w:r w:rsidR="00AD0FD0" w:rsidRPr="00AD0FD0">
        <w:t>Poverty GP in World Bank Indonesia Country Office to capture the socio-economic information of household enterprise and worker in Indonesia. WHES is a nationally representative survey, conducted in December 2023</w:t>
      </w:r>
      <w:r w:rsidR="00A86B05">
        <w:t>. It</w:t>
      </w:r>
      <w:r w:rsidR="00AD0FD0" w:rsidRPr="00AD0FD0">
        <w:t xml:space="preserve"> sampled 5,056 households and 17,445 individuals across the country, using a stratified two stage cluster sampling.</w:t>
      </w:r>
    </w:p>
  </w:footnote>
  <w:footnote w:id="91">
    <w:p w14:paraId="266783E0" w14:textId="4D73491C" w:rsidR="009232A4" w:rsidRPr="00087806" w:rsidRDefault="009232A4" w:rsidP="003643CE">
      <w:pPr>
        <w:pStyle w:val="FootnoteText"/>
        <w:jc w:val="both"/>
        <w:rPr>
          <w:sz w:val="18"/>
          <w:szCs w:val="18"/>
        </w:rPr>
      </w:pPr>
      <w:r w:rsidRPr="00087806">
        <w:rPr>
          <w:rStyle w:val="FootnoteReference"/>
          <w:sz w:val="18"/>
          <w:szCs w:val="18"/>
        </w:rPr>
        <w:footnoteRef/>
      </w:r>
      <w:r w:rsidRPr="00087806">
        <w:rPr>
          <w:sz w:val="18"/>
          <w:szCs w:val="18"/>
        </w:rPr>
        <w:t xml:space="preserve"> Since 2020, coal mining products have been taxed at statutory rate, as legislated through </w:t>
      </w:r>
      <w:r w:rsidR="009E1044">
        <w:rPr>
          <w:sz w:val="18"/>
          <w:szCs w:val="18"/>
        </w:rPr>
        <w:t xml:space="preserve">the </w:t>
      </w:r>
      <w:r w:rsidRPr="00087806">
        <w:rPr>
          <w:sz w:val="18"/>
          <w:szCs w:val="18"/>
        </w:rPr>
        <w:t xml:space="preserve">Omnibus Law </w:t>
      </w:r>
      <w:r w:rsidR="009E1044">
        <w:rPr>
          <w:sz w:val="18"/>
          <w:szCs w:val="18"/>
        </w:rPr>
        <w:t xml:space="preserve">No. 11/2020 </w:t>
      </w:r>
      <w:r w:rsidRPr="00087806">
        <w:rPr>
          <w:sz w:val="18"/>
          <w:szCs w:val="18"/>
        </w:rPr>
        <w:t xml:space="preserve">on Job Creation. </w:t>
      </w:r>
      <w:r w:rsidR="009E1044">
        <w:rPr>
          <w:sz w:val="18"/>
          <w:szCs w:val="18"/>
        </w:rPr>
        <w:t>They were p</w:t>
      </w:r>
      <w:r w:rsidRPr="00087806">
        <w:rPr>
          <w:sz w:val="18"/>
          <w:szCs w:val="18"/>
        </w:rPr>
        <w:t>reviously VAT-exempt.</w:t>
      </w:r>
    </w:p>
  </w:footnote>
  <w:footnote w:id="92">
    <w:p w14:paraId="4828E0ED" w14:textId="3DBF6AED" w:rsidR="00837362" w:rsidRPr="00087806" w:rsidRDefault="00837362" w:rsidP="003643CE">
      <w:pPr>
        <w:pStyle w:val="FootnoteText"/>
        <w:jc w:val="both"/>
        <w:rPr>
          <w:sz w:val="18"/>
          <w:szCs w:val="18"/>
        </w:rPr>
      </w:pPr>
      <w:r w:rsidRPr="00087806">
        <w:rPr>
          <w:rStyle w:val="FootnoteReference"/>
          <w:sz w:val="18"/>
          <w:szCs w:val="18"/>
        </w:rPr>
        <w:footnoteRef/>
      </w:r>
      <w:r w:rsidRPr="00087806">
        <w:rPr>
          <w:sz w:val="18"/>
          <w:szCs w:val="18"/>
        </w:rPr>
        <w:t xml:space="preserve"> </w:t>
      </w:r>
      <w:r w:rsidR="00D07B0C">
        <w:rPr>
          <w:sz w:val="18"/>
          <w:szCs w:val="18"/>
        </w:rPr>
        <w:t>U</w:t>
      </w:r>
      <w:r w:rsidR="00D31DD7" w:rsidRPr="00087806">
        <w:rPr>
          <w:sz w:val="18"/>
          <w:szCs w:val="18"/>
        </w:rPr>
        <w:t xml:space="preserve">pstream activities </w:t>
      </w:r>
      <w:r w:rsidR="00930F89" w:rsidRPr="00087806">
        <w:rPr>
          <w:sz w:val="18"/>
          <w:szCs w:val="18"/>
        </w:rPr>
        <w:t xml:space="preserve">in the extractive sector carried out by companies or “contractors” based on </w:t>
      </w:r>
      <w:r w:rsidR="00003A24" w:rsidRPr="00087806">
        <w:rPr>
          <w:sz w:val="18"/>
          <w:szCs w:val="18"/>
        </w:rPr>
        <w:t xml:space="preserve">the PSC made with the </w:t>
      </w:r>
      <w:r w:rsidR="00B37391">
        <w:rPr>
          <w:sz w:val="18"/>
          <w:szCs w:val="18"/>
        </w:rPr>
        <w:t>g</w:t>
      </w:r>
      <w:r w:rsidR="00003A24" w:rsidRPr="00087806">
        <w:rPr>
          <w:sz w:val="18"/>
          <w:szCs w:val="18"/>
        </w:rPr>
        <w:t>overnment.</w:t>
      </w:r>
      <w:r w:rsidR="008D0AEF" w:rsidRPr="00087806">
        <w:rPr>
          <w:sz w:val="18"/>
          <w:szCs w:val="18"/>
        </w:rPr>
        <w:t xml:space="preserve"> The PSC overrides </w:t>
      </w:r>
      <w:r w:rsidR="00FF6960" w:rsidRPr="00087806">
        <w:rPr>
          <w:sz w:val="18"/>
          <w:szCs w:val="18"/>
        </w:rPr>
        <w:t>the genera</w:t>
      </w:r>
      <w:r w:rsidR="00B03241" w:rsidRPr="00087806">
        <w:rPr>
          <w:sz w:val="18"/>
          <w:szCs w:val="18"/>
        </w:rPr>
        <w:t>l principles of tax regulations</w:t>
      </w:r>
      <w:r w:rsidR="00DA0A6F" w:rsidRPr="00087806">
        <w:rPr>
          <w:sz w:val="18"/>
          <w:szCs w:val="18"/>
        </w:rPr>
        <w:t xml:space="preserve"> because the </w:t>
      </w:r>
      <w:r w:rsidR="006E2302" w:rsidRPr="00087806">
        <w:rPr>
          <w:sz w:val="18"/>
          <w:szCs w:val="18"/>
        </w:rPr>
        <w:t xml:space="preserve">PSC </w:t>
      </w:r>
      <w:r w:rsidR="00927430" w:rsidRPr="00087806">
        <w:rPr>
          <w:sz w:val="18"/>
          <w:szCs w:val="18"/>
        </w:rPr>
        <w:t xml:space="preserve">has the status of </w:t>
      </w:r>
      <w:r w:rsidR="00B37391">
        <w:rPr>
          <w:sz w:val="18"/>
          <w:szCs w:val="18"/>
        </w:rPr>
        <w:t>‘</w:t>
      </w:r>
      <w:r w:rsidR="00E16F03" w:rsidRPr="00087806">
        <w:rPr>
          <w:sz w:val="18"/>
          <w:szCs w:val="18"/>
        </w:rPr>
        <w:t xml:space="preserve">Lex </w:t>
      </w:r>
      <w:proofErr w:type="spellStart"/>
      <w:r w:rsidR="00E16F03" w:rsidRPr="00087806">
        <w:rPr>
          <w:sz w:val="18"/>
          <w:szCs w:val="18"/>
        </w:rPr>
        <w:t>Specialis</w:t>
      </w:r>
      <w:proofErr w:type="spellEnd"/>
      <w:r w:rsidR="00B37391">
        <w:rPr>
          <w:sz w:val="18"/>
          <w:szCs w:val="18"/>
        </w:rPr>
        <w:t>’</w:t>
      </w:r>
      <w:r w:rsidR="00E16F03" w:rsidRPr="00087806">
        <w:rPr>
          <w:sz w:val="18"/>
          <w:szCs w:val="18"/>
        </w:rPr>
        <w:t xml:space="preserve">. </w:t>
      </w:r>
      <w:r w:rsidR="008D4E55" w:rsidRPr="00087806">
        <w:rPr>
          <w:sz w:val="18"/>
          <w:szCs w:val="18"/>
        </w:rPr>
        <w:t>In</w:t>
      </w:r>
      <w:r w:rsidR="00BD5F0A" w:rsidRPr="00087806">
        <w:rPr>
          <w:sz w:val="18"/>
          <w:szCs w:val="18"/>
        </w:rPr>
        <w:t xml:space="preserve"> the 2021 THL, </w:t>
      </w:r>
      <w:r w:rsidR="0080638F" w:rsidRPr="00087806">
        <w:rPr>
          <w:sz w:val="18"/>
          <w:szCs w:val="18"/>
        </w:rPr>
        <w:t xml:space="preserve">VAT exemptions </w:t>
      </w:r>
      <w:r w:rsidR="008D4E55" w:rsidRPr="00087806">
        <w:rPr>
          <w:sz w:val="18"/>
          <w:szCs w:val="18"/>
        </w:rPr>
        <w:t xml:space="preserve">are applicable to </w:t>
      </w:r>
      <w:r w:rsidR="00D612DA" w:rsidRPr="00087806">
        <w:rPr>
          <w:sz w:val="18"/>
          <w:szCs w:val="18"/>
        </w:rPr>
        <w:t>upstream and downstream activities in the mining and drilling secto</w:t>
      </w:r>
      <w:r w:rsidR="0097249E" w:rsidRPr="00087806">
        <w:rPr>
          <w:sz w:val="18"/>
          <w:szCs w:val="18"/>
        </w:rPr>
        <w:t>rs.</w:t>
      </w:r>
    </w:p>
  </w:footnote>
  <w:footnote w:id="93">
    <w:p w14:paraId="58AD6474" w14:textId="5C5BA728" w:rsidR="00D53495" w:rsidRPr="00087806" w:rsidRDefault="00D53495" w:rsidP="00AD2FEF">
      <w:pPr>
        <w:pStyle w:val="FootnoteText"/>
        <w:jc w:val="both"/>
        <w:rPr>
          <w:sz w:val="18"/>
          <w:szCs w:val="18"/>
        </w:rPr>
      </w:pPr>
      <w:r w:rsidRPr="00087806">
        <w:rPr>
          <w:rStyle w:val="FootnoteReference"/>
          <w:sz w:val="18"/>
          <w:szCs w:val="18"/>
        </w:rPr>
        <w:footnoteRef/>
      </w:r>
      <w:r w:rsidRPr="00087806">
        <w:rPr>
          <w:sz w:val="18"/>
          <w:szCs w:val="18"/>
        </w:rPr>
        <w:t xml:space="preserve"> At the same time, re</w:t>
      </w:r>
      <w:r w:rsidR="00A1677B" w:rsidRPr="00087806">
        <w:rPr>
          <w:sz w:val="18"/>
          <w:szCs w:val="18"/>
        </w:rPr>
        <w:t xml:space="preserve">moval of the exemptions would not increase the output VAT liability because mining products are purchased mostly </w:t>
      </w:r>
      <w:r w:rsidR="00423F14" w:rsidRPr="00087806">
        <w:rPr>
          <w:sz w:val="18"/>
          <w:szCs w:val="18"/>
        </w:rPr>
        <w:t>by VAT</w:t>
      </w:r>
      <w:r w:rsidR="00AD2FEF">
        <w:rPr>
          <w:sz w:val="18"/>
          <w:szCs w:val="18"/>
        </w:rPr>
        <w:t xml:space="preserve"> </w:t>
      </w:r>
      <w:r w:rsidR="00423F14" w:rsidRPr="00087806">
        <w:rPr>
          <w:sz w:val="18"/>
          <w:szCs w:val="18"/>
        </w:rPr>
        <w:t>payers able to deduct input VAT on their purchases.</w:t>
      </w:r>
    </w:p>
  </w:footnote>
  <w:footnote w:id="94">
    <w:p w14:paraId="6C3AFAB8" w14:textId="4EA44E29" w:rsidR="009232A4" w:rsidRPr="00087806" w:rsidRDefault="009232A4" w:rsidP="00203D98">
      <w:pPr>
        <w:pStyle w:val="FootnoteText"/>
        <w:jc w:val="both"/>
        <w:rPr>
          <w:sz w:val="18"/>
          <w:szCs w:val="18"/>
        </w:rPr>
      </w:pPr>
      <w:r w:rsidRPr="00087806">
        <w:rPr>
          <w:rStyle w:val="FootnoteReference"/>
          <w:sz w:val="18"/>
          <w:szCs w:val="18"/>
        </w:rPr>
        <w:footnoteRef/>
      </w:r>
      <w:r w:rsidRPr="00087806">
        <w:rPr>
          <w:sz w:val="18"/>
          <w:szCs w:val="18"/>
        </w:rPr>
        <w:t xml:space="preserve"> An example of </w:t>
      </w:r>
      <w:r w:rsidR="00203D98">
        <w:rPr>
          <w:sz w:val="18"/>
          <w:szCs w:val="18"/>
        </w:rPr>
        <w:t xml:space="preserve">a </w:t>
      </w:r>
      <w:r w:rsidRPr="00087806">
        <w:rPr>
          <w:sz w:val="18"/>
          <w:szCs w:val="18"/>
        </w:rPr>
        <w:t>country with a zero-rate for all oil and gas supplies is Oman.</w:t>
      </w:r>
    </w:p>
  </w:footnote>
  <w:footnote w:id="95">
    <w:p w14:paraId="451630B4" w14:textId="43288A44" w:rsidR="00604783" w:rsidRPr="00087806" w:rsidRDefault="00604783" w:rsidP="003643CE">
      <w:pPr>
        <w:pStyle w:val="FootnoteText"/>
        <w:jc w:val="both"/>
        <w:rPr>
          <w:sz w:val="18"/>
          <w:szCs w:val="18"/>
        </w:rPr>
      </w:pPr>
      <w:r w:rsidRPr="00087806">
        <w:rPr>
          <w:rStyle w:val="FootnoteReference"/>
          <w:sz w:val="18"/>
          <w:szCs w:val="18"/>
        </w:rPr>
        <w:footnoteRef/>
      </w:r>
      <w:r w:rsidRPr="00087806">
        <w:rPr>
          <w:sz w:val="18"/>
          <w:szCs w:val="18"/>
        </w:rPr>
        <w:t xml:space="preserve"> This estimation is </w:t>
      </w:r>
      <w:r w:rsidR="00046BE4" w:rsidRPr="00087806">
        <w:rPr>
          <w:sz w:val="18"/>
          <w:szCs w:val="18"/>
        </w:rPr>
        <w:t>conducted with</w:t>
      </w:r>
      <w:r w:rsidRPr="00087806">
        <w:rPr>
          <w:sz w:val="18"/>
          <w:szCs w:val="18"/>
        </w:rPr>
        <w:t xml:space="preserve"> the </w:t>
      </w:r>
      <w:r w:rsidRPr="00165956">
        <w:rPr>
          <w:sz w:val="18"/>
          <w:szCs w:val="18"/>
        </w:rPr>
        <w:t>Commitment to Equity (CEQ) framework</w:t>
      </w:r>
      <w:r w:rsidRPr="00087806">
        <w:rPr>
          <w:sz w:val="18"/>
          <w:szCs w:val="18"/>
        </w:rPr>
        <w:t xml:space="preserve"> that helps assess how government fiscal programs affect poverty and inequality in Indonesia. CEQ generates “counterfactuals”, which are poverty and inequality before the delivery of fiscal policy (</w:t>
      </w:r>
      <w:r w:rsidR="00203D98">
        <w:rPr>
          <w:sz w:val="18"/>
          <w:szCs w:val="18"/>
        </w:rPr>
        <w:t>for example</w:t>
      </w:r>
      <w:r w:rsidR="001D6D3C" w:rsidRPr="00087806">
        <w:rPr>
          <w:sz w:val="18"/>
          <w:szCs w:val="18"/>
        </w:rPr>
        <w:t>,</w:t>
      </w:r>
      <w:r w:rsidRPr="00087806">
        <w:rPr>
          <w:sz w:val="18"/>
          <w:szCs w:val="18"/>
        </w:rPr>
        <w:t xml:space="preserve"> taxes, direct cash transfers, or indirect subsidies). The analysis uses household-level consumption data, gathered from the annual National Socio-economic Survey (SUSENAS).</w:t>
      </w:r>
    </w:p>
  </w:footnote>
  <w:footnote w:id="96">
    <w:p w14:paraId="7F575549" w14:textId="054D194A" w:rsidR="00604783" w:rsidRPr="00087806" w:rsidRDefault="00604783" w:rsidP="003643CE">
      <w:pPr>
        <w:pStyle w:val="FootnoteText"/>
        <w:jc w:val="both"/>
        <w:rPr>
          <w:sz w:val="18"/>
          <w:szCs w:val="18"/>
        </w:rPr>
      </w:pPr>
      <w:r w:rsidRPr="00087806">
        <w:rPr>
          <w:rStyle w:val="FootnoteReference"/>
          <w:sz w:val="18"/>
          <w:szCs w:val="18"/>
        </w:rPr>
        <w:footnoteRef/>
      </w:r>
      <w:r w:rsidRPr="00087806">
        <w:rPr>
          <w:sz w:val="18"/>
          <w:szCs w:val="18"/>
        </w:rPr>
        <w:t xml:space="preserve"> </w:t>
      </w:r>
      <w:r w:rsidR="009870B5" w:rsidRPr="00087806">
        <w:rPr>
          <w:color w:val="000000" w:themeColor="text1"/>
          <w:sz w:val="18"/>
          <w:szCs w:val="18"/>
        </w:rPr>
        <w:t>When incorporating</w:t>
      </w:r>
      <w:r w:rsidR="007108B4" w:rsidRPr="00087806">
        <w:rPr>
          <w:color w:val="000000" w:themeColor="text1"/>
          <w:sz w:val="18"/>
          <w:szCs w:val="18"/>
        </w:rPr>
        <w:t xml:space="preserve"> </w:t>
      </w:r>
      <w:r w:rsidR="006D3B56" w:rsidRPr="00087806">
        <w:rPr>
          <w:color w:val="000000" w:themeColor="text1"/>
          <w:sz w:val="18"/>
          <w:szCs w:val="18"/>
        </w:rPr>
        <w:t xml:space="preserve">the incidence of </w:t>
      </w:r>
      <w:r w:rsidR="002E2849" w:rsidRPr="00087806">
        <w:rPr>
          <w:color w:val="000000" w:themeColor="text1"/>
          <w:sz w:val="18"/>
          <w:szCs w:val="18"/>
        </w:rPr>
        <w:t xml:space="preserve">indirect taxes (VAT) and </w:t>
      </w:r>
      <w:r w:rsidR="006D3B56" w:rsidRPr="00087806">
        <w:rPr>
          <w:color w:val="000000" w:themeColor="text1"/>
          <w:sz w:val="18"/>
          <w:szCs w:val="18"/>
        </w:rPr>
        <w:t>direct fiscal transfers</w:t>
      </w:r>
      <w:r w:rsidR="00E72EA1" w:rsidRPr="00087806">
        <w:rPr>
          <w:color w:val="000000" w:themeColor="text1"/>
          <w:sz w:val="18"/>
          <w:szCs w:val="18"/>
        </w:rPr>
        <w:t xml:space="preserve"> (social assistance</w:t>
      </w:r>
      <w:r w:rsidR="003155A6" w:rsidRPr="00087806">
        <w:rPr>
          <w:color w:val="000000" w:themeColor="text1"/>
          <w:sz w:val="18"/>
          <w:szCs w:val="18"/>
        </w:rPr>
        <w:t xml:space="preserve"> programs),</w:t>
      </w:r>
      <w:r w:rsidR="00CA7259" w:rsidRPr="00087806">
        <w:rPr>
          <w:color w:val="000000" w:themeColor="text1"/>
          <w:sz w:val="18"/>
          <w:szCs w:val="18"/>
        </w:rPr>
        <w:t xml:space="preserve"> the bottom </w:t>
      </w:r>
      <w:r w:rsidR="00C31032" w:rsidRPr="00087806">
        <w:rPr>
          <w:color w:val="000000" w:themeColor="text1"/>
          <w:sz w:val="18"/>
          <w:szCs w:val="18"/>
        </w:rPr>
        <w:t>20</w:t>
      </w:r>
      <w:r w:rsidR="00CA7259" w:rsidRPr="00087806">
        <w:rPr>
          <w:color w:val="000000" w:themeColor="text1"/>
          <w:sz w:val="18"/>
          <w:szCs w:val="18"/>
        </w:rPr>
        <w:t xml:space="preserve"> percent </w:t>
      </w:r>
      <w:r w:rsidR="00203D98">
        <w:rPr>
          <w:color w:val="000000" w:themeColor="text1"/>
          <w:sz w:val="18"/>
          <w:szCs w:val="18"/>
        </w:rPr>
        <w:t xml:space="preserve">of </w:t>
      </w:r>
      <w:r w:rsidR="00CA7259" w:rsidRPr="00087806">
        <w:rPr>
          <w:color w:val="000000" w:themeColor="text1"/>
          <w:sz w:val="18"/>
          <w:szCs w:val="18"/>
        </w:rPr>
        <w:t>households</w:t>
      </w:r>
      <w:r w:rsidR="005F690F" w:rsidRPr="00087806">
        <w:rPr>
          <w:color w:val="000000" w:themeColor="text1"/>
          <w:sz w:val="18"/>
          <w:szCs w:val="18"/>
        </w:rPr>
        <w:t xml:space="preserve"> are net beneficiaries</w:t>
      </w:r>
      <w:r w:rsidR="00244377" w:rsidRPr="00087806">
        <w:rPr>
          <w:color w:val="000000" w:themeColor="text1"/>
          <w:sz w:val="18"/>
          <w:szCs w:val="18"/>
        </w:rPr>
        <w:t>, while the remain</w:t>
      </w:r>
      <w:r w:rsidR="00203D98">
        <w:rPr>
          <w:color w:val="000000" w:themeColor="text1"/>
          <w:sz w:val="18"/>
          <w:szCs w:val="18"/>
        </w:rPr>
        <w:t>ing</w:t>
      </w:r>
      <w:r w:rsidR="00244377" w:rsidRPr="00087806">
        <w:rPr>
          <w:color w:val="000000" w:themeColor="text1"/>
          <w:sz w:val="18"/>
          <w:szCs w:val="18"/>
        </w:rPr>
        <w:t xml:space="preserve"> 80 percent </w:t>
      </w:r>
      <w:r w:rsidR="003B73F1" w:rsidRPr="00087806">
        <w:rPr>
          <w:color w:val="000000" w:themeColor="text1"/>
          <w:sz w:val="18"/>
          <w:szCs w:val="18"/>
        </w:rPr>
        <w:t>of households are net payers</w:t>
      </w:r>
      <w:r w:rsidR="008C74F3" w:rsidRPr="00087806">
        <w:rPr>
          <w:color w:val="000000" w:themeColor="text1"/>
          <w:sz w:val="18"/>
          <w:szCs w:val="18"/>
        </w:rPr>
        <w:t>.</w:t>
      </w:r>
    </w:p>
  </w:footnote>
  <w:footnote w:id="97">
    <w:p w14:paraId="76C36224" w14:textId="1B2F48CD" w:rsidR="00933C60" w:rsidRPr="0001635A" w:rsidRDefault="00933C60">
      <w:pPr>
        <w:pStyle w:val="FootnoteText"/>
        <w:rPr>
          <w:sz w:val="18"/>
          <w:szCs w:val="18"/>
        </w:rPr>
      </w:pPr>
      <w:r w:rsidRPr="0001635A">
        <w:rPr>
          <w:rStyle w:val="FootnoteReference"/>
          <w:sz w:val="18"/>
          <w:szCs w:val="18"/>
        </w:rPr>
        <w:footnoteRef/>
      </w:r>
      <w:r w:rsidRPr="0001635A">
        <w:rPr>
          <w:sz w:val="18"/>
          <w:szCs w:val="18"/>
        </w:rPr>
        <w:t xml:space="preserve"> See the insertion of Article 9A in the 2021 Tax Harmonization Law.</w:t>
      </w:r>
    </w:p>
  </w:footnote>
  <w:footnote w:id="98">
    <w:p w14:paraId="44E806A2" w14:textId="798B7793" w:rsidR="00412DC2" w:rsidRDefault="00412DC2">
      <w:pPr>
        <w:pStyle w:val="FootnoteText"/>
      </w:pPr>
      <w:r w:rsidRPr="0001635A">
        <w:rPr>
          <w:rStyle w:val="FootnoteReference"/>
          <w:sz w:val="18"/>
          <w:szCs w:val="18"/>
        </w:rPr>
        <w:footnoteRef/>
      </w:r>
      <w:r w:rsidRPr="0001635A">
        <w:rPr>
          <w:sz w:val="18"/>
          <w:szCs w:val="18"/>
        </w:rPr>
        <w:t xml:space="preserve"> </w:t>
      </w:r>
      <w:r w:rsidR="009A1FEF" w:rsidRPr="0001635A">
        <w:rPr>
          <w:sz w:val="18"/>
          <w:szCs w:val="18"/>
        </w:rPr>
        <w:t xml:space="preserve">An internal discussion with the authorities also </w:t>
      </w:r>
      <w:r w:rsidR="00A47104" w:rsidRPr="0001635A">
        <w:rPr>
          <w:sz w:val="18"/>
          <w:szCs w:val="18"/>
        </w:rPr>
        <w:t>suggests</w:t>
      </w:r>
      <w:r w:rsidR="009A1FEF" w:rsidRPr="0001635A">
        <w:rPr>
          <w:sz w:val="18"/>
          <w:szCs w:val="18"/>
        </w:rPr>
        <w:t xml:space="preserve"> </w:t>
      </w:r>
      <w:r w:rsidR="00B904B7" w:rsidRPr="0001635A">
        <w:rPr>
          <w:sz w:val="18"/>
          <w:szCs w:val="18"/>
        </w:rPr>
        <w:t>that</w:t>
      </w:r>
      <w:r w:rsidR="00FD1022" w:rsidRPr="0001635A">
        <w:rPr>
          <w:sz w:val="18"/>
          <w:szCs w:val="18"/>
        </w:rPr>
        <w:t xml:space="preserve"> the S-VAT</w:t>
      </w:r>
      <w:r w:rsidR="00045E60" w:rsidRPr="0001635A">
        <w:rPr>
          <w:sz w:val="18"/>
          <w:szCs w:val="18"/>
        </w:rPr>
        <w:t xml:space="preserve"> could</w:t>
      </w:r>
      <w:r w:rsidR="00FD1022" w:rsidRPr="0001635A">
        <w:rPr>
          <w:sz w:val="18"/>
          <w:szCs w:val="18"/>
        </w:rPr>
        <w:t xml:space="preserve"> be subject to </w:t>
      </w:r>
      <w:r w:rsidR="00587498" w:rsidRPr="0001635A">
        <w:rPr>
          <w:sz w:val="18"/>
          <w:szCs w:val="18"/>
        </w:rPr>
        <w:t xml:space="preserve">a </w:t>
      </w:r>
      <w:r w:rsidR="00FD1022" w:rsidRPr="0001635A">
        <w:rPr>
          <w:sz w:val="18"/>
          <w:szCs w:val="18"/>
        </w:rPr>
        <w:t>sunset clause</w:t>
      </w:r>
      <w:r w:rsidR="00587498" w:rsidRPr="0001635A">
        <w:rPr>
          <w:sz w:val="18"/>
          <w:szCs w:val="18"/>
        </w:rPr>
        <w:t xml:space="preserve">: </w:t>
      </w:r>
      <w:r w:rsidR="008C4CF9" w:rsidRPr="0001635A">
        <w:rPr>
          <w:sz w:val="18"/>
          <w:szCs w:val="18"/>
        </w:rPr>
        <w:t>f</w:t>
      </w:r>
      <w:r w:rsidR="00587498" w:rsidRPr="0001635A">
        <w:rPr>
          <w:sz w:val="18"/>
          <w:szCs w:val="18"/>
        </w:rPr>
        <w:t>irms may only partic</w:t>
      </w:r>
      <w:r w:rsidR="003A4C45" w:rsidRPr="0001635A">
        <w:rPr>
          <w:sz w:val="18"/>
          <w:szCs w:val="18"/>
        </w:rPr>
        <w:t>ipate in the S-VAT for some maximum number of years, after which they must transition to the standard VAT regime.</w:t>
      </w:r>
    </w:p>
  </w:footnote>
  <w:footnote w:id="99">
    <w:p w14:paraId="624224F4" w14:textId="55551ABB" w:rsidR="0052585A" w:rsidRDefault="0052585A" w:rsidP="003643CE">
      <w:pPr>
        <w:pStyle w:val="FootnoteText"/>
        <w:jc w:val="both"/>
      </w:pPr>
      <w:r>
        <w:rPr>
          <w:rStyle w:val="FootnoteReference"/>
        </w:rPr>
        <w:footnoteRef/>
      </w:r>
      <w:r>
        <w:t xml:space="preserve"> </w:t>
      </w:r>
      <w:r w:rsidR="00D96437">
        <w:t>P</w:t>
      </w:r>
      <w:r w:rsidRPr="0052585A">
        <w:rPr>
          <w:sz w:val="18"/>
          <w:szCs w:val="18"/>
        </w:rPr>
        <w:t xml:space="preserve">roducts listed in </w:t>
      </w:r>
      <w:r w:rsidR="00356C22">
        <w:rPr>
          <w:sz w:val="18"/>
          <w:szCs w:val="18"/>
        </w:rPr>
        <w:t xml:space="preserve">Table 4.6 </w:t>
      </w:r>
      <w:r w:rsidR="00D96437">
        <w:rPr>
          <w:sz w:val="18"/>
          <w:szCs w:val="18"/>
        </w:rPr>
        <w:t>are</w:t>
      </w:r>
      <w:r w:rsidRPr="0052585A">
        <w:rPr>
          <w:sz w:val="18"/>
          <w:szCs w:val="18"/>
        </w:rPr>
        <w:t xml:space="preserve"> only indicative</w:t>
      </w:r>
      <w:r w:rsidR="00D96437">
        <w:rPr>
          <w:rFonts w:cstheme="minorHAnsi"/>
          <w:sz w:val="18"/>
          <w:szCs w:val="18"/>
        </w:rPr>
        <w:t>–</w:t>
      </w:r>
      <w:r w:rsidRPr="0052585A">
        <w:rPr>
          <w:sz w:val="18"/>
          <w:szCs w:val="18"/>
        </w:rPr>
        <w:t xml:space="preserve">it does not necessarily mean that those products are always subject to </w:t>
      </w:r>
      <w:r w:rsidR="00D96437">
        <w:rPr>
          <w:sz w:val="18"/>
          <w:szCs w:val="18"/>
        </w:rPr>
        <w:t xml:space="preserve">the noted </w:t>
      </w:r>
      <w:r w:rsidRPr="0052585A">
        <w:rPr>
          <w:sz w:val="18"/>
          <w:szCs w:val="18"/>
        </w:rPr>
        <w:t>LGST rate because it depends on other factors (capacity, size, or price). To ascertain if a particular product is subject to LGST, and to identify the tax rate, reference should be made to the Customs Book using the relevant Harmonized System code.</w:t>
      </w:r>
    </w:p>
  </w:footnote>
  <w:footnote w:id="100">
    <w:p w14:paraId="30C56C24" w14:textId="0A634C5B" w:rsidR="00AC25B2" w:rsidRPr="001042E5" w:rsidRDefault="00AC25B2">
      <w:pPr>
        <w:pStyle w:val="FootnoteText"/>
        <w:rPr>
          <w:sz w:val="18"/>
          <w:szCs w:val="18"/>
        </w:rPr>
      </w:pPr>
      <w:r w:rsidRPr="001042E5">
        <w:rPr>
          <w:rStyle w:val="FootnoteReference"/>
          <w:sz w:val="18"/>
          <w:szCs w:val="18"/>
        </w:rPr>
        <w:footnoteRef/>
      </w:r>
      <w:r w:rsidRPr="001042E5">
        <w:rPr>
          <w:sz w:val="18"/>
          <w:szCs w:val="18"/>
        </w:rPr>
        <w:t xml:space="preserve"> </w:t>
      </w:r>
      <w:r w:rsidR="00585E48" w:rsidRPr="001042E5">
        <w:rPr>
          <w:sz w:val="18"/>
          <w:szCs w:val="18"/>
        </w:rPr>
        <w:t>The reverse charge mechanism</w:t>
      </w:r>
      <w:r w:rsidR="00585E48">
        <w:rPr>
          <w:sz w:val="18"/>
          <w:szCs w:val="18"/>
        </w:rPr>
        <w:t xml:space="preserve"> shifts the </w:t>
      </w:r>
      <w:r w:rsidR="00E25F05">
        <w:rPr>
          <w:sz w:val="18"/>
          <w:szCs w:val="18"/>
        </w:rPr>
        <w:t>responsibility for reporting and pay</w:t>
      </w:r>
      <w:r w:rsidR="00B41155">
        <w:rPr>
          <w:sz w:val="18"/>
          <w:szCs w:val="18"/>
        </w:rPr>
        <w:t>ing VAT fr</w:t>
      </w:r>
      <w:r w:rsidR="0083166C">
        <w:rPr>
          <w:sz w:val="18"/>
          <w:szCs w:val="18"/>
        </w:rPr>
        <w:t xml:space="preserve">om the </w:t>
      </w:r>
      <w:r w:rsidR="009876A1">
        <w:rPr>
          <w:sz w:val="18"/>
          <w:szCs w:val="18"/>
        </w:rPr>
        <w:t>seller</w:t>
      </w:r>
      <w:r w:rsidR="0083166C">
        <w:rPr>
          <w:sz w:val="18"/>
          <w:szCs w:val="18"/>
        </w:rPr>
        <w:t xml:space="preserve"> to the customer. </w:t>
      </w:r>
    </w:p>
  </w:footnote>
  <w:footnote w:id="101">
    <w:p w14:paraId="7A432222" w14:textId="77777777" w:rsidR="00AA154A" w:rsidRDefault="00AA154A" w:rsidP="00AA154A">
      <w:pPr>
        <w:pStyle w:val="FootnoteText"/>
      </w:pPr>
      <w:r w:rsidRPr="00E34E4D">
        <w:rPr>
          <w:rStyle w:val="FootnoteReference"/>
          <w:sz w:val="18"/>
          <w:szCs w:val="18"/>
        </w:rPr>
        <w:footnoteRef/>
      </w:r>
      <w:r w:rsidRPr="00E34E4D">
        <w:rPr>
          <w:sz w:val="18"/>
          <w:szCs w:val="18"/>
        </w:rPr>
        <w:t xml:space="preserve"> For instance, efficiency, fairness, simplicity, flexibility, transparency, and effectiveness. </w:t>
      </w:r>
    </w:p>
  </w:footnote>
  <w:footnote w:id="102">
    <w:p w14:paraId="54A22989" w14:textId="18094D98" w:rsidR="003542A3" w:rsidRPr="00087806" w:rsidRDefault="003542A3" w:rsidP="00A912BA">
      <w:pPr>
        <w:spacing w:after="0"/>
        <w:ind w:left="0" w:firstLine="0"/>
        <w:jc w:val="both"/>
        <w:rPr>
          <w:sz w:val="18"/>
          <w:szCs w:val="18"/>
        </w:rPr>
      </w:pPr>
      <w:r w:rsidRPr="00087806">
        <w:rPr>
          <w:sz w:val="18"/>
          <w:szCs w:val="18"/>
          <w:vertAlign w:val="superscript"/>
        </w:rPr>
        <w:footnoteRef/>
      </w:r>
      <w:r w:rsidRPr="00087806">
        <w:rPr>
          <w:sz w:val="18"/>
          <w:szCs w:val="18"/>
        </w:rPr>
        <w:t xml:space="preserve"> As of 2017, Cambodia now only imposes the minimum tax in instances where businesses do not maintain proper accounting records</w:t>
      </w:r>
      <w:r w:rsidR="003964C1">
        <w:rPr>
          <w:rFonts w:cstheme="minorHAnsi"/>
          <w:sz w:val="18"/>
          <w:szCs w:val="18"/>
        </w:rPr>
        <w:t>–</w:t>
      </w:r>
      <w:r w:rsidRPr="00087806">
        <w:rPr>
          <w:sz w:val="18"/>
          <w:szCs w:val="18"/>
        </w:rPr>
        <w:t>which effectively makes it an alternative tax regime, albeit without a formal threshold.</w:t>
      </w:r>
    </w:p>
  </w:footnote>
  <w:footnote w:id="103">
    <w:p w14:paraId="6C20446F" w14:textId="47C92801" w:rsidR="003542A3" w:rsidRPr="00087806" w:rsidRDefault="003542A3" w:rsidP="00CB7329">
      <w:pPr>
        <w:spacing w:after="0"/>
        <w:ind w:left="0" w:firstLine="0"/>
        <w:jc w:val="both"/>
        <w:rPr>
          <w:sz w:val="18"/>
          <w:szCs w:val="18"/>
        </w:rPr>
      </w:pPr>
      <w:r w:rsidRPr="00087806">
        <w:rPr>
          <w:sz w:val="18"/>
          <w:szCs w:val="18"/>
          <w:vertAlign w:val="superscript"/>
        </w:rPr>
        <w:footnoteRef/>
      </w:r>
      <w:r w:rsidRPr="00087806">
        <w:rPr>
          <w:sz w:val="18"/>
          <w:szCs w:val="18"/>
        </w:rPr>
        <w:t xml:space="preserve"> The rate was temporarily lowered to 1</w:t>
      </w:r>
      <w:r w:rsidR="003964C1">
        <w:rPr>
          <w:sz w:val="18"/>
          <w:szCs w:val="18"/>
        </w:rPr>
        <w:t xml:space="preserve"> percent</w:t>
      </w:r>
      <w:r w:rsidRPr="00087806">
        <w:rPr>
          <w:sz w:val="18"/>
          <w:szCs w:val="18"/>
        </w:rPr>
        <w:t xml:space="preserve"> from 1 July 2020 to 30 June 2023 presumably in response to the COVID-19 pandemic. Philippines’ minimum tax provisions start to apply in the fourth year after a business begins operations. </w:t>
      </w:r>
    </w:p>
  </w:footnote>
  <w:footnote w:id="104">
    <w:p w14:paraId="4131461A" w14:textId="32209412" w:rsidR="00B9518D" w:rsidRPr="00087806" w:rsidRDefault="00B9518D" w:rsidP="00CB7329">
      <w:pPr>
        <w:pStyle w:val="FootnoteText"/>
        <w:jc w:val="both"/>
        <w:rPr>
          <w:sz w:val="18"/>
          <w:szCs w:val="18"/>
        </w:rPr>
      </w:pPr>
      <w:r w:rsidRPr="00087806">
        <w:rPr>
          <w:rStyle w:val="FootnoteReference"/>
          <w:sz w:val="18"/>
          <w:szCs w:val="18"/>
        </w:rPr>
        <w:footnoteRef/>
      </w:r>
      <w:r w:rsidRPr="00087806">
        <w:rPr>
          <w:sz w:val="18"/>
          <w:szCs w:val="18"/>
        </w:rPr>
        <w:t xml:space="preserve"> The logic here is that basic recordkeeping does not preserve sufficient information for a business to determine, and subsequently show evidence of, its net profit (and, equivalently, its taxable income). As a result, the business must apply </w:t>
      </w:r>
      <w:r w:rsidR="003964C1">
        <w:rPr>
          <w:sz w:val="18"/>
          <w:szCs w:val="18"/>
        </w:rPr>
        <w:t xml:space="preserve">the </w:t>
      </w:r>
      <w:r w:rsidRPr="00087806">
        <w:rPr>
          <w:sz w:val="18"/>
          <w:szCs w:val="18"/>
        </w:rPr>
        <w:t xml:space="preserve">deemed rate to its gross income, to determine taxable income. </w:t>
      </w:r>
    </w:p>
  </w:footnote>
  <w:footnote w:id="105">
    <w:p w14:paraId="428CA07F" w14:textId="3CEF6A20" w:rsidR="005607CA" w:rsidRPr="00087806" w:rsidRDefault="005607CA" w:rsidP="00CB7329">
      <w:pPr>
        <w:pStyle w:val="FootnoteText"/>
        <w:jc w:val="both"/>
        <w:rPr>
          <w:rFonts w:cstheme="minorHAnsi"/>
          <w:sz w:val="18"/>
          <w:szCs w:val="18"/>
        </w:rPr>
      </w:pPr>
      <w:r w:rsidRPr="00087806">
        <w:rPr>
          <w:rStyle w:val="FootnoteReference"/>
          <w:rFonts w:cstheme="minorHAnsi"/>
          <w:sz w:val="18"/>
          <w:szCs w:val="18"/>
        </w:rPr>
        <w:footnoteRef/>
      </w:r>
      <w:r w:rsidRPr="00087806">
        <w:rPr>
          <w:rFonts w:cstheme="minorHAnsi"/>
          <w:sz w:val="18"/>
          <w:szCs w:val="18"/>
        </w:rPr>
        <w:t xml:space="preserve"> </w:t>
      </w:r>
      <w:r w:rsidR="00D13B43" w:rsidRPr="00087806">
        <w:rPr>
          <w:rFonts w:cstheme="minorHAnsi"/>
          <w:sz w:val="18"/>
          <w:szCs w:val="18"/>
        </w:rPr>
        <w:t>Except for</w:t>
      </w:r>
      <w:r w:rsidRPr="00087806">
        <w:rPr>
          <w:rFonts w:cstheme="minorHAnsi"/>
          <w:sz w:val="18"/>
          <w:szCs w:val="18"/>
        </w:rPr>
        <w:t xml:space="preserve"> books, magazines, newspapers, bread, milk, pharmaceuticals, education and public health services.</w:t>
      </w:r>
    </w:p>
  </w:footnote>
  <w:footnote w:id="106">
    <w:p w14:paraId="0F464D86" w14:textId="47C72092" w:rsidR="00645F1F" w:rsidRPr="00087806" w:rsidRDefault="00645F1F" w:rsidP="00645F1F">
      <w:pPr>
        <w:pStyle w:val="FootnoteText"/>
        <w:jc w:val="both"/>
        <w:rPr>
          <w:sz w:val="18"/>
          <w:szCs w:val="18"/>
        </w:rPr>
      </w:pPr>
      <w:r w:rsidRPr="00087806">
        <w:rPr>
          <w:rStyle w:val="FootnoteReference"/>
          <w:sz w:val="18"/>
          <w:szCs w:val="18"/>
        </w:rPr>
        <w:footnoteRef/>
      </w:r>
      <w:r w:rsidRPr="00087806">
        <w:rPr>
          <w:sz w:val="18"/>
          <w:szCs w:val="18"/>
        </w:rPr>
        <w:t xml:space="preserve"> Harmonizing the subnational (restaurant/hotel) sales tax with the VAT could improve efficiency in tax administration and potentially increase domestic revenue mobilization but this will come at the cost of less revenue discretion of subnational governments. </w:t>
      </w:r>
    </w:p>
  </w:footnote>
  <w:footnote w:id="107">
    <w:p w14:paraId="13EE8010" w14:textId="77777777" w:rsidR="00722B00" w:rsidRPr="00087806" w:rsidRDefault="00722B00" w:rsidP="003643CE">
      <w:pPr>
        <w:pStyle w:val="FootnoteText"/>
        <w:jc w:val="both"/>
        <w:rPr>
          <w:sz w:val="18"/>
          <w:szCs w:val="18"/>
        </w:rPr>
      </w:pPr>
      <w:r w:rsidRPr="00087806">
        <w:rPr>
          <w:rStyle w:val="FootnoteReference"/>
          <w:sz w:val="18"/>
          <w:szCs w:val="18"/>
        </w:rPr>
        <w:footnoteRef/>
      </w:r>
      <w:r w:rsidRPr="00087806">
        <w:rPr>
          <w:sz w:val="18"/>
          <w:szCs w:val="18"/>
        </w:rPr>
        <w:t xml:space="preserve"> Whereas e-commerce transactions between a domestic seller and an Indonesian buyer through an Indonesian online marketplace are subject to standard VAT treatment.</w:t>
      </w:r>
    </w:p>
  </w:footnote>
  <w:footnote w:id="108">
    <w:p w14:paraId="3FB3A318" w14:textId="3F8E2645" w:rsidR="00722B00" w:rsidRPr="00087806" w:rsidRDefault="00722B00" w:rsidP="00684170">
      <w:pPr>
        <w:pStyle w:val="FootnoteText"/>
        <w:jc w:val="both"/>
        <w:rPr>
          <w:sz w:val="18"/>
          <w:szCs w:val="18"/>
        </w:rPr>
      </w:pPr>
      <w:r w:rsidRPr="000F629B">
        <w:rPr>
          <w:rStyle w:val="FootnoteReference"/>
          <w:sz w:val="18"/>
          <w:szCs w:val="18"/>
        </w:rPr>
        <w:footnoteRef/>
      </w:r>
      <w:r w:rsidRPr="000F629B">
        <w:rPr>
          <w:sz w:val="18"/>
          <w:szCs w:val="18"/>
        </w:rPr>
        <w:t xml:space="preserve">  </w:t>
      </w:r>
      <w:r w:rsidR="00684170" w:rsidRPr="000F629B">
        <w:rPr>
          <w:sz w:val="18"/>
          <w:szCs w:val="18"/>
        </w:rPr>
        <w:t xml:space="preserve">The </w:t>
      </w:r>
      <w:r w:rsidRPr="000F629B">
        <w:rPr>
          <w:sz w:val="18"/>
          <w:szCs w:val="18"/>
        </w:rPr>
        <w:t xml:space="preserve">OECD is facilitating a discussion of models and methods of profit sharing in Pillar 1 BEPS </w:t>
      </w:r>
      <w:r w:rsidRPr="00087806">
        <w:rPr>
          <w:sz w:val="18"/>
          <w:szCs w:val="18"/>
        </w:rPr>
        <w:t xml:space="preserve">of its negotiations to find international consensus on challenges caused by BEPS. This pillar applies the concept of net taxation of income, avoids double taxation, and aims </w:t>
      </w:r>
      <w:r w:rsidR="0057101E">
        <w:rPr>
          <w:sz w:val="18"/>
          <w:szCs w:val="18"/>
        </w:rPr>
        <w:t xml:space="preserve">at </w:t>
      </w:r>
      <w:r w:rsidRPr="00087806">
        <w:rPr>
          <w:sz w:val="18"/>
          <w:szCs w:val="18"/>
        </w:rPr>
        <w:t>simplified tax administration (OECD 2020).</w:t>
      </w:r>
    </w:p>
  </w:footnote>
  <w:footnote w:id="109">
    <w:p w14:paraId="6984B0A3" w14:textId="77777777" w:rsidR="00722B00" w:rsidRPr="00087806" w:rsidRDefault="00722B00" w:rsidP="00684170">
      <w:pPr>
        <w:spacing w:after="0"/>
        <w:ind w:left="-14" w:right="173" w:firstLine="0"/>
        <w:jc w:val="both"/>
        <w:rPr>
          <w:rFonts w:cstheme="minorHAnsi"/>
          <w:b/>
          <w:bCs/>
          <w:color w:val="000000" w:themeColor="text1"/>
          <w:sz w:val="18"/>
          <w:szCs w:val="18"/>
        </w:rPr>
      </w:pPr>
      <w:r w:rsidRPr="00087806">
        <w:rPr>
          <w:rStyle w:val="FootnoteReference"/>
          <w:sz w:val="18"/>
          <w:szCs w:val="18"/>
        </w:rPr>
        <w:footnoteRef/>
      </w:r>
      <w:r w:rsidRPr="00087806">
        <w:rPr>
          <w:sz w:val="18"/>
          <w:szCs w:val="18"/>
        </w:rPr>
        <w:t xml:space="preserve"> </w:t>
      </w:r>
      <w:r w:rsidRPr="00087806">
        <w:rPr>
          <w:rFonts w:cstheme="minorHAnsi"/>
          <w:color w:val="000000" w:themeColor="text1"/>
          <w:sz w:val="18"/>
          <w:szCs w:val="18"/>
        </w:rPr>
        <w:t xml:space="preserve">Businesses who have not been appointed can also apply to be a PMSE VAT collector. The appointed VAT collector must deposit VAT payments to the state treasury account monthly and report the collections quarterly through a report that describes the total number of recipients, the amount charged to recipients (without VAT), the amount of VAT collected, and the amount of VAT remitted. </w:t>
      </w:r>
    </w:p>
    <w:p w14:paraId="2279485D" w14:textId="77777777" w:rsidR="00722B00" w:rsidRPr="00087806" w:rsidRDefault="00722B00" w:rsidP="00722B00">
      <w:pPr>
        <w:pStyle w:val="FootnoteText"/>
        <w:rPr>
          <w:sz w:val="18"/>
          <w:szCs w:val="18"/>
        </w:rPr>
      </w:pPr>
    </w:p>
  </w:footnote>
  <w:footnote w:id="110">
    <w:p w14:paraId="7DA3AFF9" w14:textId="16D8D6C8" w:rsidR="004E0885" w:rsidRPr="00087806" w:rsidRDefault="004E0885" w:rsidP="004E0885">
      <w:pPr>
        <w:pStyle w:val="FootnoteText"/>
        <w:rPr>
          <w:rFonts w:cstheme="minorHAnsi"/>
          <w:sz w:val="18"/>
          <w:szCs w:val="18"/>
        </w:rPr>
      </w:pPr>
      <w:r w:rsidRPr="00087806">
        <w:rPr>
          <w:rStyle w:val="FootnoteReference"/>
          <w:rFonts w:cstheme="minorHAnsi"/>
          <w:sz w:val="18"/>
          <w:szCs w:val="18"/>
        </w:rPr>
        <w:footnoteRef/>
      </w:r>
      <w:r w:rsidRPr="00087806">
        <w:rPr>
          <w:rFonts w:cstheme="minorHAnsi"/>
          <w:sz w:val="18"/>
          <w:szCs w:val="18"/>
        </w:rPr>
        <w:t xml:space="preserve"> </w:t>
      </w:r>
      <w:r w:rsidR="00DF0B22">
        <w:rPr>
          <w:rFonts w:cstheme="minorHAnsi"/>
          <w:sz w:val="18"/>
          <w:szCs w:val="18"/>
        </w:rPr>
        <w:t>The s</w:t>
      </w:r>
      <w:r w:rsidRPr="00087806">
        <w:rPr>
          <w:rFonts w:cstheme="minorHAnsi"/>
          <w:sz w:val="18"/>
          <w:szCs w:val="18"/>
        </w:rPr>
        <w:t xml:space="preserve">tatutory standard VAT rate </w:t>
      </w:r>
      <w:r w:rsidR="00DF0B22">
        <w:rPr>
          <w:rFonts w:cstheme="minorHAnsi"/>
          <w:sz w:val="18"/>
          <w:szCs w:val="18"/>
        </w:rPr>
        <w:t>is</w:t>
      </w:r>
      <w:r w:rsidRPr="00087806">
        <w:rPr>
          <w:rFonts w:cstheme="minorHAnsi"/>
          <w:sz w:val="18"/>
          <w:szCs w:val="18"/>
        </w:rPr>
        <w:t xml:space="preserve"> 27 percent in Hungary, 21 percent in Latvia</w:t>
      </w:r>
      <w:r w:rsidR="00DF0B22">
        <w:rPr>
          <w:rFonts w:cstheme="minorHAnsi"/>
          <w:sz w:val="18"/>
          <w:szCs w:val="18"/>
        </w:rPr>
        <w:t>,</w:t>
      </w:r>
      <w:r w:rsidRPr="00087806">
        <w:rPr>
          <w:rFonts w:cstheme="minorHAnsi"/>
          <w:sz w:val="18"/>
          <w:szCs w:val="18"/>
        </w:rPr>
        <w:t xml:space="preserve"> and 23 percent in Poland. </w:t>
      </w:r>
    </w:p>
  </w:footnote>
  <w:footnote w:id="111">
    <w:p w14:paraId="020D6744" w14:textId="0351FE3F" w:rsidR="004E0885" w:rsidRPr="00087806" w:rsidRDefault="004E0885" w:rsidP="004E0885">
      <w:pPr>
        <w:pStyle w:val="FootnoteText"/>
        <w:rPr>
          <w:sz w:val="18"/>
          <w:szCs w:val="18"/>
        </w:rPr>
      </w:pPr>
      <w:r w:rsidRPr="00087806">
        <w:rPr>
          <w:rStyle w:val="FootnoteReference"/>
          <w:sz w:val="18"/>
          <w:szCs w:val="18"/>
        </w:rPr>
        <w:footnoteRef/>
      </w:r>
      <w:r w:rsidRPr="00087806">
        <w:rPr>
          <w:sz w:val="18"/>
          <w:szCs w:val="18"/>
        </w:rPr>
        <w:t xml:space="preserve"> </w:t>
      </w:r>
      <w:r w:rsidR="004F5A0B">
        <w:rPr>
          <w:sz w:val="18"/>
          <w:szCs w:val="18"/>
        </w:rPr>
        <w:t>This</w:t>
      </w:r>
      <w:r w:rsidRPr="00087806">
        <w:rPr>
          <w:sz w:val="18"/>
          <w:szCs w:val="18"/>
        </w:rPr>
        <w:t xml:space="preserve"> refers to</w:t>
      </w:r>
      <w:r w:rsidR="004F5A0B">
        <w:rPr>
          <w:sz w:val="18"/>
          <w:szCs w:val="18"/>
        </w:rPr>
        <w:t xml:space="preserve"> a</w:t>
      </w:r>
      <w:r w:rsidRPr="00087806">
        <w:rPr>
          <w:sz w:val="18"/>
          <w:szCs w:val="18"/>
        </w:rPr>
        <w:t xml:space="preserve"> trader </w:t>
      </w:r>
      <w:r w:rsidR="004F5A0B">
        <w:rPr>
          <w:sz w:val="18"/>
          <w:szCs w:val="18"/>
        </w:rPr>
        <w:t>who</w:t>
      </w:r>
      <w:r w:rsidRPr="00087806">
        <w:rPr>
          <w:sz w:val="18"/>
          <w:szCs w:val="18"/>
        </w:rPr>
        <w:t xml:space="preserve"> disappears without declaring and remitting tax to the authority.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2B1E"/>
    <w:multiLevelType w:val="hybridMultilevel"/>
    <w:tmpl w:val="CB5A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85832"/>
    <w:multiLevelType w:val="hybridMultilevel"/>
    <w:tmpl w:val="54FA8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E0FC2"/>
    <w:multiLevelType w:val="hybridMultilevel"/>
    <w:tmpl w:val="A68E20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662E7F"/>
    <w:multiLevelType w:val="hybridMultilevel"/>
    <w:tmpl w:val="0E2E3ADE"/>
    <w:lvl w:ilvl="0" w:tplc="1CCE4AD2">
      <w:start w:val="1"/>
      <w:numFmt w:val="upperRoman"/>
      <w:lvlText w:val="%1."/>
      <w:lvlJc w:val="righ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720E1"/>
    <w:multiLevelType w:val="hybridMultilevel"/>
    <w:tmpl w:val="D67852FE"/>
    <w:lvl w:ilvl="0" w:tplc="954ACA0C">
      <w:start w:val="1"/>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5" w15:restartNumberingAfterBreak="0">
    <w:nsid w:val="0E6725F6"/>
    <w:multiLevelType w:val="hybridMultilevel"/>
    <w:tmpl w:val="8654A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4443A"/>
    <w:multiLevelType w:val="hybridMultilevel"/>
    <w:tmpl w:val="426A46F2"/>
    <w:lvl w:ilvl="0" w:tplc="185CE438">
      <w:start w:val="1"/>
      <w:numFmt w:val="bullet"/>
      <w:lvlText w:val=""/>
      <w:lvlJc w:val="left"/>
      <w:pPr>
        <w:ind w:left="1080" w:hanging="360"/>
      </w:pPr>
      <w:rPr>
        <w:rFonts w:ascii="Symbol" w:hAnsi="Symbol"/>
      </w:rPr>
    </w:lvl>
    <w:lvl w:ilvl="1" w:tplc="D020F154">
      <w:start w:val="1"/>
      <w:numFmt w:val="bullet"/>
      <w:lvlText w:val=""/>
      <w:lvlJc w:val="left"/>
      <w:pPr>
        <w:ind w:left="1080" w:hanging="360"/>
      </w:pPr>
      <w:rPr>
        <w:rFonts w:ascii="Symbol" w:hAnsi="Symbol"/>
      </w:rPr>
    </w:lvl>
    <w:lvl w:ilvl="2" w:tplc="B7085798">
      <w:start w:val="1"/>
      <w:numFmt w:val="bullet"/>
      <w:lvlText w:val=""/>
      <w:lvlJc w:val="left"/>
      <w:pPr>
        <w:ind w:left="1080" w:hanging="360"/>
      </w:pPr>
      <w:rPr>
        <w:rFonts w:ascii="Symbol" w:hAnsi="Symbol"/>
      </w:rPr>
    </w:lvl>
    <w:lvl w:ilvl="3" w:tplc="DE4CAE04">
      <w:start w:val="1"/>
      <w:numFmt w:val="bullet"/>
      <w:lvlText w:val=""/>
      <w:lvlJc w:val="left"/>
      <w:pPr>
        <w:ind w:left="1080" w:hanging="360"/>
      </w:pPr>
      <w:rPr>
        <w:rFonts w:ascii="Symbol" w:hAnsi="Symbol"/>
      </w:rPr>
    </w:lvl>
    <w:lvl w:ilvl="4" w:tplc="79E24FA8">
      <w:start w:val="1"/>
      <w:numFmt w:val="bullet"/>
      <w:lvlText w:val=""/>
      <w:lvlJc w:val="left"/>
      <w:pPr>
        <w:ind w:left="1080" w:hanging="360"/>
      </w:pPr>
      <w:rPr>
        <w:rFonts w:ascii="Symbol" w:hAnsi="Symbol"/>
      </w:rPr>
    </w:lvl>
    <w:lvl w:ilvl="5" w:tplc="4C6C3A2A">
      <w:start w:val="1"/>
      <w:numFmt w:val="bullet"/>
      <w:lvlText w:val=""/>
      <w:lvlJc w:val="left"/>
      <w:pPr>
        <w:ind w:left="1080" w:hanging="360"/>
      </w:pPr>
      <w:rPr>
        <w:rFonts w:ascii="Symbol" w:hAnsi="Symbol"/>
      </w:rPr>
    </w:lvl>
    <w:lvl w:ilvl="6" w:tplc="D7DCAD48">
      <w:start w:val="1"/>
      <w:numFmt w:val="bullet"/>
      <w:lvlText w:val=""/>
      <w:lvlJc w:val="left"/>
      <w:pPr>
        <w:ind w:left="1080" w:hanging="360"/>
      </w:pPr>
      <w:rPr>
        <w:rFonts w:ascii="Symbol" w:hAnsi="Symbol"/>
      </w:rPr>
    </w:lvl>
    <w:lvl w:ilvl="7" w:tplc="2C262AE4">
      <w:start w:val="1"/>
      <w:numFmt w:val="bullet"/>
      <w:lvlText w:val=""/>
      <w:lvlJc w:val="left"/>
      <w:pPr>
        <w:ind w:left="1080" w:hanging="360"/>
      </w:pPr>
      <w:rPr>
        <w:rFonts w:ascii="Symbol" w:hAnsi="Symbol"/>
      </w:rPr>
    </w:lvl>
    <w:lvl w:ilvl="8" w:tplc="B2B44BC2">
      <w:start w:val="1"/>
      <w:numFmt w:val="bullet"/>
      <w:lvlText w:val=""/>
      <w:lvlJc w:val="left"/>
      <w:pPr>
        <w:ind w:left="1080" w:hanging="360"/>
      </w:pPr>
      <w:rPr>
        <w:rFonts w:ascii="Symbol" w:hAnsi="Symbol"/>
      </w:rPr>
    </w:lvl>
  </w:abstractNum>
  <w:abstractNum w:abstractNumId="7" w15:restartNumberingAfterBreak="0">
    <w:nsid w:val="11B91E98"/>
    <w:multiLevelType w:val="hybridMultilevel"/>
    <w:tmpl w:val="C9CC2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254E86"/>
    <w:multiLevelType w:val="hybridMultilevel"/>
    <w:tmpl w:val="65C6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10126"/>
    <w:multiLevelType w:val="hybridMultilevel"/>
    <w:tmpl w:val="F33AA0B0"/>
    <w:lvl w:ilvl="0" w:tplc="E3F0FB42">
      <w:start w:val="1"/>
      <w:numFmt w:val="decimal"/>
      <w:lvlText w:val="%1."/>
      <w:lvlJc w:val="left"/>
      <w:pPr>
        <w:ind w:left="720" w:hanging="360"/>
      </w:pPr>
      <w:rPr>
        <w:rFonts w:hint="default"/>
        <w:b/>
        <w:bCs/>
        <w:i w:val="0"/>
        <w:iCs w:val="0"/>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B96A7F"/>
    <w:multiLevelType w:val="hybridMultilevel"/>
    <w:tmpl w:val="A68E2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FE22DD"/>
    <w:multiLevelType w:val="hybridMultilevel"/>
    <w:tmpl w:val="28CA4AB8"/>
    <w:lvl w:ilvl="0" w:tplc="0C09001B">
      <w:start w:val="1"/>
      <w:numFmt w:val="lowerRoman"/>
      <w:lvlText w:val="%1."/>
      <w:lvlJc w:val="right"/>
      <w:pPr>
        <w:ind w:left="720" w:hanging="360"/>
      </w:pPr>
      <w:rPr>
        <w:rFonts w:hint="default"/>
        <w:b/>
        <w:bCs/>
        <w:i w:val="0"/>
        <w:iCs w:val="0"/>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F7E5892"/>
    <w:multiLevelType w:val="hybridMultilevel"/>
    <w:tmpl w:val="24FA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57FFA"/>
    <w:multiLevelType w:val="hybridMultilevel"/>
    <w:tmpl w:val="EA986784"/>
    <w:lvl w:ilvl="0" w:tplc="F288D402">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B0048"/>
    <w:multiLevelType w:val="hybridMultilevel"/>
    <w:tmpl w:val="03B8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4245B"/>
    <w:multiLevelType w:val="hybridMultilevel"/>
    <w:tmpl w:val="710C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75AC6"/>
    <w:multiLevelType w:val="hybridMultilevel"/>
    <w:tmpl w:val="62D01C8E"/>
    <w:lvl w:ilvl="0" w:tplc="1CCE4AD2">
      <w:start w:val="1"/>
      <w:numFmt w:val="upperRoman"/>
      <w:lvlText w:val="%1."/>
      <w:lvlJc w:val="right"/>
      <w:pPr>
        <w:ind w:left="108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0B7165E"/>
    <w:multiLevelType w:val="hybridMultilevel"/>
    <w:tmpl w:val="F6E07B4C"/>
    <w:lvl w:ilvl="0" w:tplc="FFFFFFFF">
      <w:start w:val="1"/>
      <w:numFmt w:val="upperRoman"/>
      <w:lvlText w:val="%1."/>
      <w:lvlJc w:val="right"/>
      <w:pPr>
        <w:ind w:left="1080" w:hanging="360"/>
      </w:pPr>
      <w:rPr>
        <w:color w:val="auto"/>
      </w:rPr>
    </w:lvl>
    <w:lvl w:ilvl="1" w:tplc="FFFFFFFF">
      <w:start w:val="1"/>
      <w:numFmt w:val="decimal"/>
      <w:lvlText w:val="%2."/>
      <w:lvlJc w:val="left"/>
      <w:pPr>
        <w:ind w:left="1800" w:hanging="360"/>
      </w:pPr>
    </w:lvl>
    <w:lvl w:ilvl="2" w:tplc="FFFFFFFF">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2FA66E5"/>
    <w:multiLevelType w:val="hybridMultilevel"/>
    <w:tmpl w:val="5D24829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27C4"/>
    <w:multiLevelType w:val="hybridMultilevel"/>
    <w:tmpl w:val="9CDABCE6"/>
    <w:lvl w:ilvl="0" w:tplc="40B8578E">
      <w:numFmt w:val="bullet"/>
      <w:lvlText w:val="–"/>
      <w:lvlJc w:val="left"/>
      <w:pPr>
        <w:ind w:left="254" w:hanging="180"/>
      </w:pPr>
      <w:rPr>
        <w:rFonts w:ascii="Arial" w:eastAsia="Arial" w:hAnsi="Arial" w:cs="Arial" w:hint="default"/>
        <w:b w:val="0"/>
        <w:bCs w:val="0"/>
        <w:i w:val="0"/>
        <w:iCs w:val="0"/>
        <w:color w:val="231F20"/>
        <w:spacing w:val="0"/>
        <w:w w:val="94"/>
        <w:sz w:val="18"/>
        <w:szCs w:val="18"/>
        <w:lang w:val="en-US" w:eastAsia="en-US" w:bidi="ar-SA"/>
      </w:rPr>
    </w:lvl>
    <w:lvl w:ilvl="1" w:tplc="7DA6AF7C">
      <w:numFmt w:val="bullet"/>
      <w:lvlText w:val="•"/>
      <w:lvlJc w:val="left"/>
      <w:pPr>
        <w:ind w:left="607" w:hanging="180"/>
      </w:pPr>
      <w:rPr>
        <w:rFonts w:hint="default"/>
        <w:lang w:val="en-US" w:eastAsia="en-US" w:bidi="ar-SA"/>
      </w:rPr>
    </w:lvl>
    <w:lvl w:ilvl="2" w:tplc="C726A41A">
      <w:numFmt w:val="bullet"/>
      <w:lvlText w:val="•"/>
      <w:lvlJc w:val="left"/>
      <w:pPr>
        <w:ind w:left="954" w:hanging="180"/>
      </w:pPr>
      <w:rPr>
        <w:rFonts w:hint="default"/>
        <w:lang w:val="en-US" w:eastAsia="en-US" w:bidi="ar-SA"/>
      </w:rPr>
    </w:lvl>
    <w:lvl w:ilvl="3" w:tplc="14623516">
      <w:numFmt w:val="bullet"/>
      <w:lvlText w:val="•"/>
      <w:lvlJc w:val="left"/>
      <w:pPr>
        <w:ind w:left="1302" w:hanging="180"/>
      </w:pPr>
      <w:rPr>
        <w:rFonts w:hint="default"/>
        <w:lang w:val="en-US" w:eastAsia="en-US" w:bidi="ar-SA"/>
      </w:rPr>
    </w:lvl>
    <w:lvl w:ilvl="4" w:tplc="DAE2D07A">
      <w:numFmt w:val="bullet"/>
      <w:lvlText w:val="•"/>
      <w:lvlJc w:val="left"/>
      <w:pPr>
        <w:ind w:left="1649" w:hanging="180"/>
      </w:pPr>
      <w:rPr>
        <w:rFonts w:hint="default"/>
        <w:lang w:val="en-US" w:eastAsia="en-US" w:bidi="ar-SA"/>
      </w:rPr>
    </w:lvl>
    <w:lvl w:ilvl="5" w:tplc="58F4FBC2">
      <w:numFmt w:val="bullet"/>
      <w:lvlText w:val="•"/>
      <w:lvlJc w:val="left"/>
      <w:pPr>
        <w:ind w:left="1997" w:hanging="180"/>
      </w:pPr>
      <w:rPr>
        <w:rFonts w:hint="default"/>
        <w:lang w:val="en-US" w:eastAsia="en-US" w:bidi="ar-SA"/>
      </w:rPr>
    </w:lvl>
    <w:lvl w:ilvl="6" w:tplc="C3E6E45A">
      <w:numFmt w:val="bullet"/>
      <w:lvlText w:val="•"/>
      <w:lvlJc w:val="left"/>
      <w:pPr>
        <w:ind w:left="2344" w:hanging="180"/>
      </w:pPr>
      <w:rPr>
        <w:rFonts w:hint="default"/>
        <w:lang w:val="en-US" w:eastAsia="en-US" w:bidi="ar-SA"/>
      </w:rPr>
    </w:lvl>
    <w:lvl w:ilvl="7" w:tplc="0A248568">
      <w:numFmt w:val="bullet"/>
      <w:lvlText w:val="•"/>
      <w:lvlJc w:val="left"/>
      <w:pPr>
        <w:ind w:left="2691" w:hanging="180"/>
      </w:pPr>
      <w:rPr>
        <w:rFonts w:hint="default"/>
        <w:lang w:val="en-US" w:eastAsia="en-US" w:bidi="ar-SA"/>
      </w:rPr>
    </w:lvl>
    <w:lvl w:ilvl="8" w:tplc="776E4CE4">
      <w:numFmt w:val="bullet"/>
      <w:lvlText w:val="•"/>
      <w:lvlJc w:val="left"/>
      <w:pPr>
        <w:ind w:left="3039" w:hanging="180"/>
      </w:pPr>
      <w:rPr>
        <w:rFonts w:hint="default"/>
        <w:lang w:val="en-US" w:eastAsia="en-US" w:bidi="ar-SA"/>
      </w:rPr>
    </w:lvl>
  </w:abstractNum>
  <w:abstractNum w:abstractNumId="20" w15:restartNumberingAfterBreak="0">
    <w:nsid w:val="358B63CA"/>
    <w:multiLevelType w:val="hybridMultilevel"/>
    <w:tmpl w:val="F0EE8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63274"/>
    <w:multiLevelType w:val="hybridMultilevel"/>
    <w:tmpl w:val="418267D6"/>
    <w:lvl w:ilvl="0" w:tplc="E3F0FB42">
      <w:start w:val="1"/>
      <w:numFmt w:val="decimal"/>
      <w:lvlText w:val="%1."/>
      <w:lvlJc w:val="left"/>
      <w:pPr>
        <w:ind w:left="720" w:hanging="360"/>
      </w:pPr>
      <w:rPr>
        <w:b/>
        <w:bCs/>
        <w:i w:val="0"/>
        <w:iCs w:val="0"/>
        <w:sz w:val="22"/>
        <w:szCs w:val="22"/>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330E15"/>
    <w:multiLevelType w:val="hybridMultilevel"/>
    <w:tmpl w:val="5B2AF5FE"/>
    <w:lvl w:ilvl="0" w:tplc="A4B6865E">
      <w:start w:val="1"/>
      <w:numFmt w:val="upperRoman"/>
      <w:lvlText w:val="%1."/>
      <w:lvlJc w:val="right"/>
      <w:pPr>
        <w:ind w:left="1080" w:hanging="360"/>
      </w:pPr>
      <w:rPr>
        <w:b/>
        <w:bCs/>
        <w:color w:val="auto"/>
        <w:sz w:val="22"/>
        <w:szCs w:val="22"/>
      </w:rPr>
    </w:lvl>
    <w:lvl w:ilvl="1" w:tplc="0409000F">
      <w:start w:val="1"/>
      <w:numFmt w:val="decimal"/>
      <w:lvlText w:val="%2."/>
      <w:lvlJc w:val="left"/>
      <w:pPr>
        <w:ind w:left="1800" w:hanging="360"/>
      </w:pPr>
    </w:lvl>
    <w:lvl w:ilvl="2" w:tplc="04090001">
      <w:start w:val="1"/>
      <w:numFmt w:val="bullet"/>
      <w:lvlText w:val=""/>
      <w:lvlJc w:val="left"/>
      <w:pPr>
        <w:ind w:left="2700" w:hanging="36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53674F"/>
    <w:multiLevelType w:val="hybridMultilevel"/>
    <w:tmpl w:val="227A21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1D0EFC"/>
    <w:multiLevelType w:val="hybridMultilevel"/>
    <w:tmpl w:val="FAC84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372CE"/>
    <w:multiLevelType w:val="hybridMultilevel"/>
    <w:tmpl w:val="C812FC3C"/>
    <w:lvl w:ilvl="0" w:tplc="FFFFFFFF">
      <w:start w:val="1"/>
      <w:numFmt w:val="decimal"/>
      <w:lvlText w:val="%1."/>
      <w:lvlJc w:val="left"/>
      <w:pPr>
        <w:ind w:left="429" w:hanging="360"/>
      </w:pPr>
      <w:rPr>
        <w:rFonts w:hint="default"/>
      </w:rPr>
    </w:lvl>
    <w:lvl w:ilvl="1" w:tplc="FFFFFFFF" w:tentative="1">
      <w:start w:val="1"/>
      <w:numFmt w:val="lowerLetter"/>
      <w:lvlText w:val="%2."/>
      <w:lvlJc w:val="left"/>
      <w:pPr>
        <w:ind w:left="1149" w:hanging="360"/>
      </w:pPr>
    </w:lvl>
    <w:lvl w:ilvl="2" w:tplc="FFFFFFFF" w:tentative="1">
      <w:start w:val="1"/>
      <w:numFmt w:val="lowerRoman"/>
      <w:lvlText w:val="%3."/>
      <w:lvlJc w:val="right"/>
      <w:pPr>
        <w:ind w:left="1869" w:hanging="180"/>
      </w:pPr>
    </w:lvl>
    <w:lvl w:ilvl="3" w:tplc="FFFFFFFF" w:tentative="1">
      <w:start w:val="1"/>
      <w:numFmt w:val="decimal"/>
      <w:lvlText w:val="%4."/>
      <w:lvlJc w:val="left"/>
      <w:pPr>
        <w:ind w:left="2589" w:hanging="360"/>
      </w:pPr>
    </w:lvl>
    <w:lvl w:ilvl="4" w:tplc="FFFFFFFF" w:tentative="1">
      <w:start w:val="1"/>
      <w:numFmt w:val="lowerLetter"/>
      <w:lvlText w:val="%5."/>
      <w:lvlJc w:val="left"/>
      <w:pPr>
        <w:ind w:left="3309" w:hanging="360"/>
      </w:pPr>
    </w:lvl>
    <w:lvl w:ilvl="5" w:tplc="FFFFFFFF" w:tentative="1">
      <w:start w:val="1"/>
      <w:numFmt w:val="lowerRoman"/>
      <w:lvlText w:val="%6."/>
      <w:lvlJc w:val="right"/>
      <w:pPr>
        <w:ind w:left="4029" w:hanging="180"/>
      </w:pPr>
    </w:lvl>
    <w:lvl w:ilvl="6" w:tplc="FFFFFFFF" w:tentative="1">
      <w:start w:val="1"/>
      <w:numFmt w:val="decimal"/>
      <w:lvlText w:val="%7."/>
      <w:lvlJc w:val="left"/>
      <w:pPr>
        <w:ind w:left="4749" w:hanging="360"/>
      </w:pPr>
    </w:lvl>
    <w:lvl w:ilvl="7" w:tplc="FFFFFFFF" w:tentative="1">
      <w:start w:val="1"/>
      <w:numFmt w:val="lowerLetter"/>
      <w:lvlText w:val="%8."/>
      <w:lvlJc w:val="left"/>
      <w:pPr>
        <w:ind w:left="5469" w:hanging="360"/>
      </w:pPr>
    </w:lvl>
    <w:lvl w:ilvl="8" w:tplc="FFFFFFFF" w:tentative="1">
      <w:start w:val="1"/>
      <w:numFmt w:val="lowerRoman"/>
      <w:lvlText w:val="%9."/>
      <w:lvlJc w:val="right"/>
      <w:pPr>
        <w:ind w:left="6189" w:hanging="180"/>
      </w:pPr>
    </w:lvl>
  </w:abstractNum>
  <w:abstractNum w:abstractNumId="26" w15:restartNumberingAfterBreak="0">
    <w:nsid w:val="488437A3"/>
    <w:multiLevelType w:val="hybridMultilevel"/>
    <w:tmpl w:val="8CB46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100D1"/>
    <w:multiLevelType w:val="hybridMultilevel"/>
    <w:tmpl w:val="E250D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03C6B"/>
    <w:multiLevelType w:val="hybridMultilevel"/>
    <w:tmpl w:val="622EE6BA"/>
    <w:lvl w:ilvl="0" w:tplc="1CCE4AD2">
      <w:start w:val="1"/>
      <w:numFmt w:val="upperRoman"/>
      <w:lvlText w:val="%1."/>
      <w:lvlJc w:val="righ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AA71E60"/>
    <w:multiLevelType w:val="hybridMultilevel"/>
    <w:tmpl w:val="D67852FE"/>
    <w:lvl w:ilvl="0" w:tplc="FFFFFFFF">
      <w:start w:val="1"/>
      <w:numFmt w:val="decimal"/>
      <w:lvlText w:val="%1."/>
      <w:lvlJc w:val="left"/>
      <w:pPr>
        <w:ind w:left="429" w:hanging="360"/>
      </w:pPr>
      <w:rPr>
        <w:rFonts w:hint="default"/>
      </w:rPr>
    </w:lvl>
    <w:lvl w:ilvl="1" w:tplc="FFFFFFFF" w:tentative="1">
      <w:start w:val="1"/>
      <w:numFmt w:val="lowerLetter"/>
      <w:lvlText w:val="%2."/>
      <w:lvlJc w:val="left"/>
      <w:pPr>
        <w:ind w:left="1149" w:hanging="360"/>
      </w:pPr>
    </w:lvl>
    <w:lvl w:ilvl="2" w:tplc="FFFFFFFF" w:tentative="1">
      <w:start w:val="1"/>
      <w:numFmt w:val="lowerRoman"/>
      <w:lvlText w:val="%3."/>
      <w:lvlJc w:val="right"/>
      <w:pPr>
        <w:ind w:left="1869" w:hanging="180"/>
      </w:pPr>
    </w:lvl>
    <w:lvl w:ilvl="3" w:tplc="FFFFFFFF" w:tentative="1">
      <w:start w:val="1"/>
      <w:numFmt w:val="decimal"/>
      <w:lvlText w:val="%4."/>
      <w:lvlJc w:val="left"/>
      <w:pPr>
        <w:ind w:left="2589" w:hanging="360"/>
      </w:pPr>
    </w:lvl>
    <w:lvl w:ilvl="4" w:tplc="FFFFFFFF" w:tentative="1">
      <w:start w:val="1"/>
      <w:numFmt w:val="lowerLetter"/>
      <w:lvlText w:val="%5."/>
      <w:lvlJc w:val="left"/>
      <w:pPr>
        <w:ind w:left="3309" w:hanging="360"/>
      </w:pPr>
    </w:lvl>
    <w:lvl w:ilvl="5" w:tplc="FFFFFFFF" w:tentative="1">
      <w:start w:val="1"/>
      <w:numFmt w:val="lowerRoman"/>
      <w:lvlText w:val="%6."/>
      <w:lvlJc w:val="right"/>
      <w:pPr>
        <w:ind w:left="4029" w:hanging="180"/>
      </w:pPr>
    </w:lvl>
    <w:lvl w:ilvl="6" w:tplc="FFFFFFFF" w:tentative="1">
      <w:start w:val="1"/>
      <w:numFmt w:val="decimal"/>
      <w:lvlText w:val="%7."/>
      <w:lvlJc w:val="left"/>
      <w:pPr>
        <w:ind w:left="4749" w:hanging="360"/>
      </w:pPr>
    </w:lvl>
    <w:lvl w:ilvl="7" w:tplc="FFFFFFFF" w:tentative="1">
      <w:start w:val="1"/>
      <w:numFmt w:val="lowerLetter"/>
      <w:lvlText w:val="%8."/>
      <w:lvlJc w:val="left"/>
      <w:pPr>
        <w:ind w:left="5469" w:hanging="360"/>
      </w:pPr>
    </w:lvl>
    <w:lvl w:ilvl="8" w:tplc="FFFFFFFF" w:tentative="1">
      <w:start w:val="1"/>
      <w:numFmt w:val="lowerRoman"/>
      <w:lvlText w:val="%9."/>
      <w:lvlJc w:val="right"/>
      <w:pPr>
        <w:ind w:left="6189" w:hanging="180"/>
      </w:pPr>
    </w:lvl>
  </w:abstractNum>
  <w:abstractNum w:abstractNumId="30" w15:restartNumberingAfterBreak="0">
    <w:nsid w:val="4C342FE7"/>
    <w:multiLevelType w:val="hybridMultilevel"/>
    <w:tmpl w:val="CFD25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BF7B89"/>
    <w:multiLevelType w:val="hybridMultilevel"/>
    <w:tmpl w:val="02747E8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509B013B"/>
    <w:multiLevelType w:val="hybridMultilevel"/>
    <w:tmpl w:val="DA7AF73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6441DE"/>
    <w:multiLevelType w:val="hybridMultilevel"/>
    <w:tmpl w:val="29109F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610A5C"/>
    <w:multiLevelType w:val="hybridMultilevel"/>
    <w:tmpl w:val="57141EFC"/>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35" w15:restartNumberingAfterBreak="0">
    <w:nsid w:val="53DC6D0C"/>
    <w:multiLevelType w:val="hybridMultilevel"/>
    <w:tmpl w:val="4E1E26A2"/>
    <w:lvl w:ilvl="0" w:tplc="9730B9A2">
      <w:start w:val="1"/>
      <w:numFmt w:val="bullet"/>
      <w:lvlText w:val="•"/>
      <w:lvlJc w:val="left"/>
      <w:pPr>
        <w:tabs>
          <w:tab w:val="num" w:pos="720"/>
        </w:tabs>
        <w:ind w:left="720" w:hanging="360"/>
      </w:pPr>
      <w:rPr>
        <w:rFonts w:ascii="Arial" w:hAnsi="Arial" w:hint="default"/>
      </w:rPr>
    </w:lvl>
    <w:lvl w:ilvl="1" w:tplc="EF0C4214" w:tentative="1">
      <w:start w:val="1"/>
      <w:numFmt w:val="bullet"/>
      <w:lvlText w:val="•"/>
      <w:lvlJc w:val="left"/>
      <w:pPr>
        <w:tabs>
          <w:tab w:val="num" w:pos="1440"/>
        </w:tabs>
        <w:ind w:left="1440" w:hanging="360"/>
      </w:pPr>
      <w:rPr>
        <w:rFonts w:ascii="Arial" w:hAnsi="Arial" w:hint="default"/>
      </w:rPr>
    </w:lvl>
    <w:lvl w:ilvl="2" w:tplc="69C05D38" w:tentative="1">
      <w:start w:val="1"/>
      <w:numFmt w:val="bullet"/>
      <w:lvlText w:val="•"/>
      <w:lvlJc w:val="left"/>
      <w:pPr>
        <w:tabs>
          <w:tab w:val="num" w:pos="2160"/>
        </w:tabs>
        <w:ind w:left="2160" w:hanging="360"/>
      </w:pPr>
      <w:rPr>
        <w:rFonts w:ascii="Arial" w:hAnsi="Arial" w:hint="default"/>
      </w:rPr>
    </w:lvl>
    <w:lvl w:ilvl="3" w:tplc="8180A504" w:tentative="1">
      <w:start w:val="1"/>
      <w:numFmt w:val="bullet"/>
      <w:lvlText w:val="•"/>
      <w:lvlJc w:val="left"/>
      <w:pPr>
        <w:tabs>
          <w:tab w:val="num" w:pos="2880"/>
        </w:tabs>
        <w:ind w:left="2880" w:hanging="360"/>
      </w:pPr>
      <w:rPr>
        <w:rFonts w:ascii="Arial" w:hAnsi="Arial" w:hint="default"/>
      </w:rPr>
    </w:lvl>
    <w:lvl w:ilvl="4" w:tplc="F7F8B0DA" w:tentative="1">
      <w:start w:val="1"/>
      <w:numFmt w:val="bullet"/>
      <w:lvlText w:val="•"/>
      <w:lvlJc w:val="left"/>
      <w:pPr>
        <w:tabs>
          <w:tab w:val="num" w:pos="3600"/>
        </w:tabs>
        <w:ind w:left="3600" w:hanging="360"/>
      </w:pPr>
      <w:rPr>
        <w:rFonts w:ascii="Arial" w:hAnsi="Arial" w:hint="default"/>
      </w:rPr>
    </w:lvl>
    <w:lvl w:ilvl="5" w:tplc="0BB6B55E" w:tentative="1">
      <w:start w:val="1"/>
      <w:numFmt w:val="bullet"/>
      <w:lvlText w:val="•"/>
      <w:lvlJc w:val="left"/>
      <w:pPr>
        <w:tabs>
          <w:tab w:val="num" w:pos="4320"/>
        </w:tabs>
        <w:ind w:left="4320" w:hanging="360"/>
      </w:pPr>
      <w:rPr>
        <w:rFonts w:ascii="Arial" w:hAnsi="Arial" w:hint="default"/>
      </w:rPr>
    </w:lvl>
    <w:lvl w:ilvl="6" w:tplc="833657E0" w:tentative="1">
      <w:start w:val="1"/>
      <w:numFmt w:val="bullet"/>
      <w:lvlText w:val="•"/>
      <w:lvlJc w:val="left"/>
      <w:pPr>
        <w:tabs>
          <w:tab w:val="num" w:pos="5040"/>
        </w:tabs>
        <w:ind w:left="5040" w:hanging="360"/>
      </w:pPr>
      <w:rPr>
        <w:rFonts w:ascii="Arial" w:hAnsi="Arial" w:hint="default"/>
      </w:rPr>
    </w:lvl>
    <w:lvl w:ilvl="7" w:tplc="8674B9E4" w:tentative="1">
      <w:start w:val="1"/>
      <w:numFmt w:val="bullet"/>
      <w:lvlText w:val="•"/>
      <w:lvlJc w:val="left"/>
      <w:pPr>
        <w:tabs>
          <w:tab w:val="num" w:pos="5760"/>
        </w:tabs>
        <w:ind w:left="5760" w:hanging="360"/>
      </w:pPr>
      <w:rPr>
        <w:rFonts w:ascii="Arial" w:hAnsi="Arial" w:hint="default"/>
      </w:rPr>
    </w:lvl>
    <w:lvl w:ilvl="8" w:tplc="D384ED7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3A4C94"/>
    <w:multiLevelType w:val="hybridMultilevel"/>
    <w:tmpl w:val="F7484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4D2514"/>
    <w:multiLevelType w:val="hybridMultilevel"/>
    <w:tmpl w:val="B38C6E52"/>
    <w:lvl w:ilvl="0" w:tplc="AB904D86">
      <w:start w:val="1"/>
      <w:numFmt w:val="upperRoman"/>
      <w:lvlText w:val="%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57A01A4"/>
    <w:multiLevelType w:val="hybridMultilevel"/>
    <w:tmpl w:val="4162DD1E"/>
    <w:lvl w:ilvl="0" w:tplc="686A1F86">
      <w:numFmt w:val="bullet"/>
      <w:lvlText w:val="–"/>
      <w:lvlJc w:val="left"/>
      <w:pPr>
        <w:ind w:left="255" w:hanging="180"/>
      </w:pPr>
      <w:rPr>
        <w:rFonts w:ascii="Arial" w:eastAsia="Arial" w:hAnsi="Arial" w:cs="Arial" w:hint="default"/>
        <w:b w:val="0"/>
        <w:bCs w:val="0"/>
        <w:i w:val="0"/>
        <w:iCs w:val="0"/>
        <w:color w:val="231F20"/>
        <w:spacing w:val="0"/>
        <w:w w:val="94"/>
        <w:sz w:val="18"/>
        <w:szCs w:val="18"/>
        <w:lang w:val="en-US" w:eastAsia="en-US" w:bidi="ar-SA"/>
      </w:rPr>
    </w:lvl>
    <w:lvl w:ilvl="1" w:tplc="CF36F000">
      <w:numFmt w:val="bullet"/>
      <w:lvlText w:val="•"/>
      <w:lvlJc w:val="left"/>
      <w:pPr>
        <w:ind w:left="606" w:hanging="180"/>
      </w:pPr>
      <w:rPr>
        <w:rFonts w:hint="default"/>
        <w:lang w:val="en-US" w:eastAsia="en-US" w:bidi="ar-SA"/>
      </w:rPr>
    </w:lvl>
    <w:lvl w:ilvl="2" w:tplc="C7D0ECE8">
      <w:numFmt w:val="bullet"/>
      <w:lvlText w:val="•"/>
      <w:lvlJc w:val="left"/>
      <w:pPr>
        <w:ind w:left="953" w:hanging="180"/>
      </w:pPr>
      <w:rPr>
        <w:rFonts w:hint="default"/>
        <w:lang w:val="en-US" w:eastAsia="en-US" w:bidi="ar-SA"/>
      </w:rPr>
    </w:lvl>
    <w:lvl w:ilvl="3" w:tplc="17CC4E52">
      <w:numFmt w:val="bullet"/>
      <w:lvlText w:val="•"/>
      <w:lvlJc w:val="left"/>
      <w:pPr>
        <w:ind w:left="1300" w:hanging="180"/>
      </w:pPr>
      <w:rPr>
        <w:rFonts w:hint="default"/>
        <w:lang w:val="en-US" w:eastAsia="en-US" w:bidi="ar-SA"/>
      </w:rPr>
    </w:lvl>
    <w:lvl w:ilvl="4" w:tplc="15CC99C6">
      <w:numFmt w:val="bullet"/>
      <w:lvlText w:val="•"/>
      <w:lvlJc w:val="left"/>
      <w:pPr>
        <w:ind w:left="1647" w:hanging="180"/>
      </w:pPr>
      <w:rPr>
        <w:rFonts w:hint="default"/>
        <w:lang w:val="en-US" w:eastAsia="en-US" w:bidi="ar-SA"/>
      </w:rPr>
    </w:lvl>
    <w:lvl w:ilvl="5" w:tplc="C406B760">
      <w:numFmt w:val="bullet"/>
      <w:lvlText w:val="•"/>
      <w:lvlJc w:val="left"/>
      <w:pPr>
        <w:ind w:left="1994" w:hanging="180"/>
      </w:pPr>
      <w:rPr>
        <w:rFonts w:hint="default"/>
        <w:lang w:val="en-US" w:eastAsia="en-US" w:bidi="ar-SA"/>
      </w:rPr>
    </w:lvl>
    <w:lvl w:ilvl="6" w:tplc="85E2A3D2">
      <w:numFmt w:val="bullet"/>
      <w:lvlText w:val="•"/>
      <w:lvlJc w:val="left"/>
      <w:pPr>
        <w:ind w:left="2341" w:hanging="180"/>
      </w:pPr>
      <w:rPr>
        <w:rFonts w:hint="default"/>
        <w:lang w:val="en-US" w:eastAsia="en-US" w:bidi="ar-SA"/>
      </w:rPr>
    </w:lvl>
    <w:lvl w:ilvl="7" w:tplc="241A83E8">
      <w:numFmt w:val="bullet"/>
      <w:lvlText w:val="•"/>
      <w:lvlJc w:val="left"/>
      <w:pPr>
        <w:ind w:left="2688" w:hanging="180"/>
      </w:pPr>
      <w:rPr>
        <w:rFonts w:hint="default"/>
        <w:lang w:val="en-US" w:eastAsia="en-US" w:bidi="ar-SA"/>
      </w:rPr>
    </w:lvl>
    <w:lvl w:ilvl="8" w:tplc="B9B6F6E2">
      <w:numFmt w:val="bullet"/>
      <w:lvlText w:val="•"/>
      <w:lvlJc w:val="left"/>
      <w:pPr>
        <w:ind w:left="3035" w:hanging="180"/>
      </w:pPr>
      <w:rPr>
        <w:rFonts w:hint="default"/>
        <w:lang w:val="en-US" w:eastAsia="en-US" w:bidi="ar-SA"/>
      </w:rPr>
    </w:lvl>
  </w:abstractNum>
  <w:abstractNum w:abstractNumId="39" w15:restartNumberingAfterBreak="0">
    <w:nsid w:val="5A007984"/>
    <w:multiLevelType w:val="hybridMultilevel"/>
    <w:tmpl w:val="43F8F3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95684E"/>
    <w:multiLevelType w:val="hybridMultilevel"/>
    <w:tmpl w:val="8FBCC7A6"/>
    <w:lvl w:ilvl="0" w:tplc="CE622B62">
      <w:numFmt w:val="bullet"/>
      <w:lvlText w:val="–"/>
      <w:lvlJc w:val="left"/>
      <w:pPr>
        <w:ind w:left="254" w:hanging="180"/>
      </w:pPr>
      <w:rPr>
        <w:rFonts w:ascii="Arial" w:eastAsia="Arial" w:hAnsi="Arial" w:cs="Arial" w:hint="default"/>
        <w:b w:val="0"/>
        <w:bCs w:val="0"/>
        <w:i w:val="0"/>
        <w:iCs w:val="0"/>
        <w:color w:val="231F20"/>
        <w:spacing w:val="0"/>
        <w:w w:val="94"/>
        <w:sz w:val="18"/>
        <w:szCs w:val="18"/>
        <w:lang w:val="en-US" w:eastAsia="en-US" w:bidi="ar-SA"/>
      </w:rPr>
    </w:lvl>
    <w:lvl w:ilvl="1" w:tplc="D68A2242">
      <w:numFmt w:val="bullet"/>
      <w:lvlText w:val="•"/>
      <w:lvlJc w:val="left"/>
      <w:pPr>
        <w:ind w:left="607" w:hanging="180"/>
      </w:pPr>
      <w:rPr>
        <w:rFonts w:hint="default"/>
        <w:lang w:val="en-US" w:eastAsia="en-US" w:bidi="ar-SA"/>
      </w:rPr>
    </w:lvl>
    <w:lvl w:ilvl="2" w:tplc="9ECCA292">
      <w:numFmt w:val="bullet"/>
      <w:lvlText w:val="•"/>
      <w:lvlJc w:val="left"/>
      <w:pPr>
        <w:ind w:left="954" w:hanging="180"/>
      </w:pPr>
      <w:rPr>
        <w:rFonts w:hint="default"/>
        <w:lang w:val="en-US" w:eastAsia="en-US" w:bidi="ar-SA"/>
      </w:rPr>
    </w:lvl>
    <w:lvl w:ilvl="3" w:tplc="646E4CA6">
      <w:numFmt w:val="bullet"/>
      <w:lvlText w:val="•"/>
      <w:lvlJc w:val="left"/>
      <w:pPr>
        <w:ind w:left="1302" w:hanging="180"/>
      </w:pPr>
      <w:rPr>
        <w:rFonts w:hint="default"/>
        <w:lang w:val="en-US" w:eastAsia="en-US" w:bidi="ar-SA"/>
      </w:rPr>
    </w:lvl>
    <w:lvl w:ilvl="4" w:tplc="D9B0B6B6">
      <w:numFmt w:val="bullet"/>
      <w:lvlText w:val="•"/>
      <w:lvlJc w:val="left"/>
      <w:pPr>
        <w:ind w:left="1649" w:hanging="180"/>
      </w:pPr>
      <w:rPr>
        <w:rFonts w:hint="default"/>
        <w:lang w:val="en-US" w:eastAsia="en-US" w:bidi="ar-SA"/>
      </w:rPr>
    </w:lvl>
    <w:lvl w:ilvl="5" w:tplc="0240B9BE">
      <w:numFmt w:val="bullet"/>
      <w:lvlText w:val="•"/>
      <w:lvlJc w:val="left"/>
      <w:pPr>
        <w:ind w:left="1997" w:hanging="180"/>
      </w:pPr>
      <w:rPr>
        <w:rFonts w:hint="default"/>
        <w:lang w:val="en-US" w:eastAsia="en-US" w:bidi="ar-SA"/>
      </w:rPr>
    </w:lvl>
    <w:lvl w:ilvl="6" w:tplc="60D43BFE">
      <w:numFmt w:val="bullet"/>
      <w:lvlText w:val="•"/>
      <w:lvlJc w:val="left"/>
      <w:pPr>
        <w:ind w:left="2344" w:hanging="180"/>
      </w:pPr>
      <w:rPr>
        <w:rFonts w:hint="default"/>
        <w:lang w:val="en-US" w:eastAsia="en-US" w:bidi="ar-SA"/>
      </w:rPr>
    </w:lvl>
    <w:lvl w:ilvl="7" w:tplc="D360A73C">
      <w:numFmt w:val="bullet"/>
      <w:lvlText w:val="•"/>
      <w:lvlJc w:val="left"/>
      <w:pPr>
        <w:ind w:left="2691" w:hanging="180"/>
      </w:pPr>
      <w:rPr>
        <w:rFonts w:hint="default"/>
        <w:lang w:val="en-US" w:eastAsia="en-US" w:bidi="ar-SA"/>
      </w:rPr>
    </w:lvl>
    <w:lvl w:ilvl="8" w:tplc="1F9267CA">
      <w:numFmt w:val="bullet"/>
      <w:lvlText w:val="•"/>
      <w:lvlJc w:val="left"/>
      <w:pPr>
        <w:ind w:left="3039" w:hanging="180"/>
      </w:pPr>
      <w:rPr>
        <w:rFonts w:hint="default"/>
        <w:lang w:val="en-US" w:eastAsia="en-US" w:bidi="ar-SA"/>
      </w:rPr>
    </w:lvl>
  </w:abstractNum>
  <w:abstractNum w:abstractNumId="41" w15:restartNumberingAfterBreak="0">
    <w:nsid w:val="5FE47DAA"/>
    <w:multiLevelType w:val="hybridMultilevel"/>
    <w:tmpl w:val="5D76E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524A8D"/>
    <w:multiLevelType w:val="hybridMultilevel"/>
    <w:tmpl w:val="7F7899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B80F75"/>
    <w:multiLevelType w:val="hybridMultilevel"/>
    <w:tmpl w:val="84F40AA0"/>
    <w:lvl w:ilvl="0" w:tplc="04D4A68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E4E7B"/>
    <w:multiLevelType w:val="hybridMultilevel"/>
    <w:tmpl w:val="0E2E3F68"/>
    <w:lvl w:ilvl="0" w:tplc="1CCE4AD2">
      <w:start w:val="1"/>
      <w:numFmt w:val="upperRoman"/>
      <w:lvlText w:val="%1."/>
      <w:lvlJc w:val="right"/>
      <w:pPr>
        <w:ind w:left="1086" w:hanging="360"/>
      </w:pPr>
      <w:rPr>
        <w:rFonts w:hint="default"/>
        <w:b/>
        <w:bCs w:val="0"/>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45" w15:restartNumberingAfterBreak="0">
    <w:nsid w:val="6F206DE1"/>
    <w:multiLevelType w:val="hybridMultilevel"/>
    <w:tmpl w:val="3078F146"/>
    <w:lvl w:ilvl="0" w:tplc="8946C456">
      <w:start w:val="5"/>
      <w:numFmt w:val="decimal"/>
      <w:lvlText w:val="%1."/>
      <w:lvlJc w:val="left"/>
      <w:pPr>
        <w:ind w:left="129" w:hanging="720"/>
      </w:pPr>
      <w:rPr>
        <w:rFonts w:ascii="Segoe UI" w:eastAsia="Segoe UI" w:hAnsi="Segoe UI" w:cs="Segoe UI" w:hint="default"/>
        <w:b/>
        <w:bCs/>
        <w:i w:val="0"/>
        <w:iCs w:val="0"/>
        <w:w w:val="100"/>
        <w:sz w:val="21"/>
        <w:szCs w:val="21"/>
        <w:lang w:val="en-US" w:eastAsia="en-US" w:bidi="ar-SA"/>
      </w:rPr>
    </w:lvl>
    <w:lvl w:ilvl="1" w:tplc="8A00C4B4">
      <w:numFmt w:val="bullet"/>
      <w:lvlText w:val=""/>
      <w:lvlJc w:val="left"/>
      <w:pPr>
        <w:ind w:left="489" w:hanging="360"/>
      </w:pPr>
      <w:rPr>
        <w:rFonts w:ascii="Symbol" w:eastAsia="Symbol" w:hAnsi="Symbol" w:cs="Symbol" w:hint="default"/>
        <w:b w:val="0"/>
        <w:bCs w:val="0"/>
        <w:i w:val="0"/>
        <w:iCs w:val="0"/>
        <w:color w:val="4A82AC"/>
        <w:w w:val="100"/>
        <w:sz w:val="21"/>
        <w:szCs w:val="21"/>
        <w:lang w:val="en-US" w:eastAsia="en-US" w:bidi="ar-SA"/>
      </w:rPr>
    </w:lvl>
    <w:lvl w:ilvl="2" w:tplc="E362A3A8">
      <w:numFmt w:val="bullet"/>
      <w:lvlText w:val="•"/>
      <w:lvlJc w:val="left"/>
      <w:pPr>
        <w:ind w:left="1513" w:hanging="360"/>
      </w:pPr>
      <w:rPr>
        <w:rFonts w:hint="default"/>
        <w:lang w:val="en-US" w:eastAsia="en-US" w:bidi="ar-SA"/>
      </w:rPr>
    </w:lvl>
    <w:lvl w:ilvl="3" w:tplc="0192B142">
      <w:numFmt w:val="bullet"/>
      <w:lvlText w:val="•"/>
      <w:lvlJc w:val="left"/>
      <w:pPr>
        <w:ind w:left="2546" w:hanging="360"/>
      </w:pPr>
      <w:rPr>
        <w:rFonts w:hint="default"/>
        <w:lang w:val="en-US" w:eastAsia="en-US" w:bidi="ar-SA"/>
      </w:rPr>
    </w:lvl>
    <w:lvl w:ilvl="4" w:tplc="DEBECEAE">
      <w:numFmt w:val="bullet"/>
      <w:lvlText w:val="•"/>
      <w:lvlJc w:val="left"/>
      <w:pPr>
        <w:ind w:left="3580" w:hanging="360"/>
      </w:pPr>
      <w:rPr>
        <w:rFonts w:hint="default"/>
        <w:lang w:val="en-US" w:eastAsia="en-US" w:bidi="ar-SA"/>
      </w:rPr>
    </w:lvl>
    <w:lvl w:ilvl="5" w:tplc="73EC906E">
      <w:numFmt w:val="bullet"/>
      <w:lvlText w:val="•"/>
      <w:lvlJc w:val="left"/>
      <w:pPr>
        <w:ind w:left="4613" w:hanging="360"/>
      </w:pPr>
      <w:rPr>
        <w:rFonts w:hint="default"/>
        <w:lang w:val="en-US" w:eastAsia="en-US" w:bidi="ar-SA"/>
      </w:rPr>
    </w:lvl>
    <w:lvl w:ilvl="6" w:tplc="589605B2">
      <w:numFmt w:val="bullet"/>
      <w:lvlText w:val="•"/>
      <w:lvlJc w:val="left"/>
      <w:pPr>
        <w:ind w:left="5646" w:hanging="360"/>
      </w:pPr>
      <w:rPr>
        <w:rFonts w:hint="default"/>
        <w:lang w:val="en-US" w:eastAsia="en-US" w:bidi="ar-SA"/>
      </w:rPr>
    </w:lvl>
    <w:lvl w:ilvl="7" w:tplc="BCFEF97A">
      <w:numFmt w:val="bullet"/>
      <w:lvlText w:val="•"/>
      <w:lvlJc w:val="left"/>
      <w:pPr>
        <w:ind w:left="6680" w:hanging="360"/>
      </w:pPr>
      <w:rPr>
        <w:rFonts w:hint="default"/>
        <w:lang w:val="en-US" w:eastAsia="en-US" w:bidi="ar-SA"/>
      </w:rPr>
    </w:lvl>
    <w:lvl w:ilvl="8" w:tplc="71765454">
      <w:numFmt w:val="bullet"/>
      <w:lvlText w:val="•"/>
      <w:lvlJc w:val="left"/>
      <w:pPr>
        <w:ind w:left="7713" w:hanging="360"/>
      </w:pPr>
      <w:rPr>
        <w:rFonts w:hint="default"/>
        <w:lang w:val="en-US" w:eastAsia="en-US" w:bidi="ar-SA"/>
      </w:rPr>
    </w:lvl>
  </w:abstractNum>
  <w:abstractNum w:abstractNumId="46" w15:restartNumberingAfterBreak="0">
    <w:nsid w:val="6FC36804"/>
    <w:multiLevelType w:val="hybridMultilevel"/>
    <w:tmpl w:val="7F3EE0F4"/>
    <w:lvl w:ilvl="0" w:tplc="1CCE4AD2">
      <w:start w:val="1"/>
      <w:numFmt w:val="upperRoman"/>
      <w:lvlText w:val="%1."/>
      <w:lvlJc w:val="righ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FC6480"/>
    <w:multiLevelType w:val="hybridMultilevel"/>
    <w:tmpl w:val="7F80FA72"/>
    <w:lvl w:ilvl="0" w:tplc="B25E306A">
      <w:start w:val="1"/>
      <w:numFmt w:val="bullet"/>
      <w:lvlText w:val=""/>
      <w:lvlJc w:val="left"/>
      <w:pPr>
        <w:ind w:left="1800" w:hanging="360"/>
      </w:pPr>
      <w:rPr>
        <w:rFonts w:ascii="Symbol" w:hAnsi="Symbol"/>
      </w:rPr>
    </w:lvl>
    <w:lvl w:ilvl="1" w:tplc="BBB005D2">
      <w:start w:val="1"/>
      <w:numFmt w:val="bullet"/>
      <w:lvlText w:val=""/>
      <w:lvlJc w:val="left"/>
      <w:pPr>
        <w:ind w:left="1800" w:hanging="360"/>
      </w:pPr>
      <w:rPr>
        <w:rFonts w:ascii="Symbol" w:hAnsi="Symbol"/>
      </w:rPr>
    </w:lvl>
    <w:lvl w:ilvl="2" w:tplc="81F40382">
      <w:start w:val="1"/>
      <w:numFmt w:val="bullet"/>
      <w:lvlText w:val=""/>
      <w:lvlJc w:val="left"/>
      <w:pPr>
        <w:ind w:left="1800" w:hanging="360"/>
      </w:pPr>
      <w:rPr>
        <w:rFonts w:ascii="Symbol" w:hAnsi="Symbol"/>
      </w:rPr>
    </w:lvl>
    <w:lvl w:ilvl="3" w:tplc="11C05314">
      <w:start w:val="1"/>
      <w:numFmt w:val="bullet"/>
      <w:lvlText w:val=""/>
      <w:lvlJc w:val="left"/>
      <w:pPr>
        <w:ind w:left="1800" w:hanging="360"/>
      </w:pPr>
      <w:rPr>
        <w:rFonts w:ascii="Symbol" w:hAnsi="Symbol"/>
      </w:rPr>
    </w:lvl>
    <w:lvl w:ilvl="4" w:tplc="96967C54">
      <w:start w:val="1"/>
      <w:numFmt w:val="bullet"/>
      <w:lvlText w:val=""/>
      <w:lvlJc w:val="left"/>
      <w:pPr>
        <w:ind w:left="1800" w:hanging="360"/>
      </w:pPr>
      <w:rPr>
        <w:rFonts w:ascii="Symbol" w:hAnsi="Symbol"/>
      </w:rPr>
    </w:lvl>
    <w:lvl w:ilvl="5" w:tplc="13223BA0">
      <w:start w:val="1"/>
      <w:numFmt w:val="bullet"/>
      <w:lvlText w:val=""/>
      <w:lvlJc w:val="left"/>
      <w:pPr>
        <w:ind w:left="1800" w:hanging="360"/>
      </w:pPr>
      <w:rPr>
        <w:rFonts w:ascii="Symbol" w:hAnsi="Symbol"/>
      </w:rPr>
    </w:lvl>
    <w:lvl w:ilvl="6" w:tplc="D0A256FE">
      <w:start w:val="1"/>
      <w:numFmt w:val="bullet"/>
      <w:lvlText w:val=""/>
      <w:lvlJc w:val="left"/>
      <w:pPr>
        <w:ind w:left="1800" w:hanging="360"/>
      </w:pPr>
      <w:rPr>
        <w:rFonts w:ascii="Symbol" w:hAnsi="Symbol"/>
      </w:rPr>
    </w:lvl>
    <w:lvl w:ilvl="7" w:tplc="A15CEC00">
      <w:start w:val="1"/>
      <w:numFmt w:val="bullet"/>
      <w:lvlText w:val=""/>
      <w:lvlJc w:val="left"/>
      <w:pPr>
        <w:ind w:left="1800" w:hanging="360"/>
      </w:pPr>
      <w:rPr>
        <w:rFonts w:ascii="Symbol" w:hAnsi="Symbol"/>
      </w:rPr>
    </w:lvl>
    <w:lvl w:ilvl="8" w:tplc="41B08710">
      <w:start w:val="1"/>
      <w:numFmt w:val="bullet"/>
      <w:lvlText w:val=""/>
      <w:lvlJc w:val="left"/>
      <w:pPr>
        <w:ind w:left="1800" w:hanging="360"/>
      </w:pPr>
      <w:rPr>
        <w:rFonts w:ascii="Symbol" w:hAnsi="Symbol"/>
      </w:rPr>
    </w:lvl>
  </w:abstractNum>
  <w:abstractNum w:abstractNumId="48" w15:restartNumberingAfterBreak="0">
    <w:nsid w:val="74844667"/>
    <w:multiLevelType w:val="hybridMultilevel"/>
    <w:tmpl w:val="6212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A786D"/>
    <w:multiLevelType w:val="hybridMultilevel"/>
    <w:tmpl w:val="5CB4B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3041337">
    <w:abstractNumId w:val="43"/>
  </w:num>
  <w:num w:numId="2" w16cid:durableId="111829113">
    <w:abstractNumId w:val="13"/>
  </w:num>
  <w:num w:numId="3" w16cid:durableId="478427847">
    <w:abstractNumId w:val="30"/>
  </w:num>
  <w:num w:numId="4" w16cid:durableId="1560944828">
    <w:abstractNumId w:val="26"/>
  </w:num>
  <w:num w:numId="5" w16cid:durableId="2031253181">
    <w:abstractNumId w:val="5"/>
  </w:num>
  <w:num w:numId="6" w16cid:durableId="428744640">
    <w:abstractNumId w:val="45"/>
  </w:num>
  <w:num w:numId="7" w16cid:durableId="1248347472">
    <w:abstractNumId w:val="34"/>
  </w:num>
  <w:num w:numId="8" w16cid:durableId="438305776">
    <w:abstractNumId w:val="35"/>
  </w:num>
  <w:num w:numId="9" w16cid:durableId="1441101649">
    <w:abstractNumId w:val="14"/>
  </w:num>
  <w:num w:numId="10" w16cid:durableId="553543119">
    <w:abstractNumId w:val="48"/>
  </w:num>
  <w:num w:numId="11" w16cid:durableId="683822768">
    <w:abstractNumId w:val="41"/>
  </w:num>
  <w:num w:numId="12" w16cid:durableId="1489059754">
    <w:abstractNumId w:val="21"/>
  </w:num>
  <w:num w:numId="13" w16cid:durableId="224921999">
    <w:abstractNumId w:val="28"/>
  </w:num>
  <w:num w:numId="14" w16cid:durableId="1743865490">
    <w:abstractNumId w:val="37"/>
  </w:num>
  <w:num w:numId="15" w16cid:durableId="488061737">
    <w:abstractNumId w:val="22"/>
  </w:num>
  <w:num w:numId="16" w16cid:durableId="495802932">
    <w:abstractNumId w:val="27"/>
  </w:num>
  <w:num w:numId="17" w16cid:durableId="303974729">
    <w:abstractNumId w:val="31"/>
  </w:num>
  <w:num w:numId="18" w16cid:durableId="1785877178">
    <w:abstractNumId w:val="6"/>
  </w:num>
  <w:num w:numId="19" w16cid:durableId="2129856460">
    <w:abstractNumId w:val="47"/>
  </w:num>
  <w:num w:numId="20" w16cid:durableId="322584706">
    <w:abstractNumId w:val="1"/>
  </w:num>
  <w:num w:numId="21" w16cid:durableId="719864034">
    <w:abstractNumId w:val="12"/>
  </w:num>
  <w:num w:numId="22" w16cid:durableId="1665426067">
    <w:abstractNumId w:val="19"/>
  </w:num>
  <w:num w:numId="23" w16cid:durableId="1734741093">
    <w:abstractNumId w:val="40"/>
  </w:num>
  <w:num w:numId="24" w16cid:durableId="601035751">
    <w:abstractNumId w:val="38"/>
  </w:num>
  <w:num w:numId="25" w16cid:durableId="888418653">
    <w:abstractNumId w:val="0"/>
  </w:num>
  <w:num w:numId="26" w16cid:durableId="497431221">
    <w:abstractNumId w:val="49"/>
  </w:num>
  <w:num w:numId="27" w16cid:durableId="1986541498">
    <w:abstractNumId w:val="15"/>
  </w:num>
  <w:num w:numId="28" w16cid:durableId="1747845920">
    <w:abstractNumId w:val="10"/>
  </w:num>
  <w:num w:numId="29" w16cid:durableId="644701106">
    <w:abstractNumId w:val="36"/>
  </w:num>
  <w:num w:numId="30" w16cid:durableId="353267884">
    <w:abstractNumId w:val="4"/>
  </w:num>
  <w:num w:numId="31" w16cid:durableId="1462263897">
    <w:abstractNumId w:val="24"/>
  </w:num>
  <w:num w:numId="32" w16cid:durableId="1073772468">
    <w:abstractNumId w:val="8"/>
  </w:num>
  <w:num w:numId="33" w16cid:durableId="1074014595">
    <w:abstractNumId w:val="20"/>
  </w:num>
  <w:num w:numId="34" w16cid:durableId="872116283">
    <w:abstractNumId w:val="2"/>
  </w:num>
  <w:num w:numId="35" w16cid:durableId="254362181">
    <w:abstractNumId w:val="25"/>
  </w:num>
  <w:num w:numId="36" w16cid:durableId="303392323">
    <w:abstractNumId w:val="29"/>
  </w:num>
  <w:num w:numId="37" w16cid:durableId="970357209">
    <w:abstractNumId w:val="17"/>
  </w:num>
  <w:num w:numId="38" w16cid:durableId="305353220">
    <w:abstractNumId w:val="7"/>
  </w:num>
  <w:num w:numId="39" w16cid:durableId="1655841564">
    <w:abstractNumId w:val="18"/>
  </w:num>
  <w:num w:numId="40" w16cid:durableId="2010986634">
    <w:abstractNumId w:val="32"/>
  </w:num>
  <w:num w:numId="41" w16cid:durableId="905917375">
    <w:abstractNumId w:val="39"/>
  </w:num>
  <w:num w:numId="42" w16cid:durableId="360908100">
    <w:abstractNumId w:val="16"/>
  </w:num>
  <w:num w:numId="43" w16cid:durableId="1956519940">
    <w:abstractNumId w:val="42"/>
  </w:num>
  <w:num w:numId="44" w16cid:durableId="1073238231">
    <w:abstractNumId w:val="3"/>
  </w:num>
  <w:num w:numId="45" w16cid:durableId="1431000776">
    <w:abstractNumId w:val="46"/>
  </w:num>
  <w:num w:numId="46" w16cid:durableId="1314799572">
    <w:abstractNumId w:val="44"/>
  </w:num>
  <w:num w:numId="47" w16cid:durableId="419565960">
    <w:abstractNumId w:val="33"/>
  </w:num>
  <w:num w:numId="48" w16cid:durableId="842427864">
    <w:abstractNumId w:val="23"/>
  </w:num>
  <w:num w:numId="49" w16cid:durableId="1192299683">
    <w:abstractNumId w:val="9"/>
  </w:num>
  <w:num w:numId="50" w16cid:durableId="6069340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F8E"/>
    <w:rsid w:val="000000D8"/>
    <w:rsid w:val="00000199"/>
    <w:rsid w:val="000004CE"/>
    <w:rsid w:val="0000050A"/>
    <w:rsid w:val="00000633"/>
    <w:rsid w:val="00000760"/>
    <w:rsid w:val="00000A72"/>
    <w:rsid w:val="00000C19"/>
    <w:rsid w:val="00000E8A"/>
    <w:rsid w:val="00001285"/>
    <w:rsid w:val="000016D8"/>
    <w:rsid w:val="00001757"/>
    <w:rsid w:val="00001766"/>
    <w:rsid w:val="00001E08"/>
    <w:rsid w:val="00001F2E"/>
    <w:rsid w:val="000020AA"/>
    <w:rsid w:val="00002107"/>
    <w:rsid w:val="000022BA"/>
    <w:rsid w:val="000026DD"/>
    <w:rsid w:val="00002E1A"/>
    <w:rsid w:val="00002E1E"/>
    <w:rsid w:val="000031BD"/>
    <w:rsid w:val="000031DC"/>
    <w:rsid w:val="00003604"/>
    <w:rsid w:val="00003A24"/>
    <w:rsid w:val="00003A72"/>
    <w:rsid w:val="00004256"/>
    <w:rsid w:val="0000444A"/>
    <w:rsid w:val="000046F8"/>
    <w:rsid w:val="000047E6"/>
    <w:rsid w:val="000049C7"/>
    <w:rsid w:val="00004A4E"/>
    <w:rsid w:val="00004D04"/>
    <w:rsid w:val="00004D57"/>
    <w:rsid w:val="000051EA"/>
    <w:rsid w:val="00005288"/>
    <w:rsid w:val="0000529F"/>
    <w:rsid w:val="0000541C"/>
    <w:rsid w:val="00005459"/>
    <w:rsid w:val="00005574"/>
    <w:rsid w:val="00005805"/>
    <w:rsid w:val="00005983"/>
    <w:rsid w:val="00005AF1"/>
    <w:rsid w:val="00005B0D"/>
    <w:rsid w:val="00005B10"/>
    <w:rsid w:val="00005CD8"/>
    <w:rsid w:val="00005F67"/>
    <w:rsid w:val="0000620A"/>
    <w:rsid w:val="0000637E"/>
    <w:rsid w:val="0000653A"/>
    <w:rsid w:val="00006CDB"/>
    <w:rsid w:val="000070B6"/>
    <w:rsid w:val="0000711A"/>
    <w:rsid w:val="000078A9"/>
    <w:rsid w:val="000078F1"/>
    <w:rsid w:val="0000790B"/>
    <w:rsid w:val="00007B76"/>
    <w:rsid w:val="00007D96"/>
    <w:rsid w:val="00007DBB"/>
    <w:rsid w:val="00010311"/>
    <w:rsid w:val="00010379"/>
    <w:rsid w:val="000107A5"/>
    <w:rsid w:val="000107D9"/>
    <w:rsid w:val="00010A5B"/>
    <w:rsid w:val="00010E74"/>
    <w:rsid w:val="00010F59"/>
    <w:rsid w:val="00010F8C"/>
    <w:rsid w:val="000110C6"/>
    <w:rsid w:val="000111D9"/>
    <w:rsid w:val="0001142A"/>
    <w:rsid w:val="000115B3"/>
    <w:rsid w:val="000115EA"/>
    <w:rsid w:val="000116D1"/>
    <w:rsid w:val="000116DB"/>
    <w:rsid w:val="000118D5"/>
    <w:rsid w:val="00011932"/>
    <w:rsid w:val="00011A35"/>
    <w:rsid w:val="00011B37"/>
    <w:rsid w:val="00011C4B"/>
    <w:rsid w:val="00011E1A"/>
    <w:rsid w:val="000120BE"/>
    <w:rsid w:val="000123B1"/>
    <w:rsid w:val="00012673"/>
    <w:rsid w:val="000128A2"/>
    <w:rsid w:val="00012982"/>
    <w:rsid w:val="00012BD8"/>
    <w:rsid w:val="00012D82"/>
    <w:rsid w:val="00013017"/>
    <w:rsid w:val="00013347"/>
    <w:rsid w:val="00013816"/>
    <w:rsid w:val="00013D27"/>
    <w:rsid w:val="00013D59"/>
    <w:rsid w:val="00013E7E"/>
    <w:rsid w:val="00013F13"/>
    <w:rsid w:val="0001425B"/>
    <w:rsid w:val="000143E2"/>
    <w:rsid w:val="0001447A"/>
    <w:rsid w:val="000146AB"/>
    <w:rsid w:val="000146F7"/>
    <w:rsid w:val="00014A14"/>
    <w:rsid w:val="00014EF2"/>
    <w:rsid w:val="0001530C"/>
    <w:rsid w:val="00015331"/>
    <w:rsid w:val="00015F42"/>
    <w:rsid w:val="00016340"/>
    <w:rsid w:val="00016358"/>
    <w:rsid w:val="0001635A"/>
    <w:rsid w:val="00016E92"/>
    <w:rsid w:val="000172AA"/>
    <w:rsid w:val="0001761A"/>
    <w:rsid w:val="0001798E"/>
    <w:rsid w:val="00017C1E"/>
    <w:rsid w:val="00017D0D"/>
    <w:rsid w:val="000202BD"/>
    <w:rsid w:val="000202D7"/>
    <w:rsid w:val="000203C9"/>
    <w:rsid w:val="000206E2"/>
    <w:rsid w:val="000207D0"/>
    <w:rsid w:val="000208B8"/>
    <w:rsid w:val="00020EEC"/>
    <w:rsid w:val="0002106D"/>
    <w:rsid w:val="000210AB"/>
    <w:rsid w:val="000210D2"/>
    <w:rsid w:val="00021324"/>
    <w:rsid w:val="00021640"/>
    <w:rsid w:val="00021AC9"/>
    <w:rsid w:val="00021ACB"/>
    <w:rsid w:val="00021D6B"/>
    <w:rsid w:val="00021ECE"/>
    <w:rsid w:val="00021F5E"/>
    <w:rsid w:val="0002211B"/>
    <w:rsid w:val="00022121"/>
    <w:rsid w:val="00022353"/>
    <w:rsid w:val="0002242A"/>
    <w:rsid w:val="00022460"/>
    <w:rsid w:val="000225E1"/>
    <w:rsid w:val="00022AAC"/>
    <w:rsid w:val="00022B79"/>
    <w:rsid w:val="00022CD3"/>
    <w:rsid w:val="000231EA"/>
    <w:rsid w:val="00023216"/>
    <w:rsid w:val="00023322"/>
    <w:rsid w:val="00023334"/>
    <w:rsid w:val="000236E0"/>
    <w:rsid w:val="00023B44"/>
    <w:rsid w:val="00023CC0"/>
    <w:rsid w:val="00023F40"/>
    <w:rsid w:val="00023F93"/>
    <w:rsid w:val="00024575"/>
    <w:rsid w:val="00024CAA"/>
    <w:rsid w:val="00024D62"/>
    <w:rsid w:val="00024F84"/>
    <w:rsid w:val="0002506B"/>
    <w:rsid w:val="00025229"/>
    <w:rsid w:val="00025254"/>
    <w:rsid w:val="0002546B"/>
    <w:rsid w:val="00025599"/>
    <w:rsid w:val="00025624"/>
    <w:rsid w:val="00025653"/>
    <w:rsid w:val="00025CEC"/>
    <w:rsid w:val="00025F2B"/>
    <w:rsid w:val="000262C5"/>
    <w:rsid w:val="00026446"/>
    <w:rsid w:val="00026484"/>
    <w:rsid w:val="0002694F"/>
    <w:rsid w:val="00026D50"/>
    <w:rsid w:val="00026FFA"/>
    <w:rsid w:val="000273CC"/>
    <w:rsid w:val="0002753B"/>
    <w:rsid w:val="00027580"/>
    <w:rsid w:val="00027588"/>
    <w:rsid w:val="00027654"/>
    <w:rsid w:val="00027666"/>
    <w:rsid w:val="000277BA"/>
    <w:rsid w:val="0002790F"/>
    <w:rsid w:val="00027CE8"/>
    <w:rsid w:val="00027D78"/>
    <w:rsid w:val="000303D0"/>
    <w:rsid w:val="000308DA"/>
    <w:rsid w:val="00030B3F"/>
    <w:rsid w:val="00030BEA"/>
    <w:rsid w:val="0003121D"/>
    <w:rsid w:val="00031304"/>
    <w:rsid w:val="0003160F"/>
    <w:rsid w:val="00031926"/>
    <w:rsid w:val="0003192C"/>
    <w:rsid w:val="00031B10"/>
    <w:rsid w:val="00031DD1"/>
    <w:rsid w:val="00031DFA"/>
    <w:rsid w:val="00032399"/>
    <w:rsid w:val="000323D5"/>
    <w:rsid w:val="0003261C"/>
    <w:rsid w:val="000329AF"/>
    <w:rsid w:val="00032AD7"/>
    <w:rsid w:val="00032E21"/>
    <w:rsid w:val="0003308A"/>
    <w:rsid w:val="00033354"/>
    <w:rsid w:val="000335A8"/>
    <w:rsid w:val="00033667"/>
    <w:rsid w:val="00033858"/>
    <w:rsid w:val="00033B13"/>
    <w:rsid w:val="0003422E"/>
    <w:rsid w:val="00034356"/>
    <w:rsid w:val="000346A2"/>
    <w:rsid w:val="000346DF"/>
    <w:rsid w:val="000347E9"/>
    <w:rsid w:val="00034A46"/>
    <w:rsid w:val="00034B0E"/>
    <w:rsid w:val="00034C6C"/>
    <w:rsid w:val="00034CAE"/>
    <w:rsid w:val="00035399"/>
    <w:rsid w:val="0003542D"/>
    <w:rsid w:val="000356F7"/>
    <w:rsid w:val="00035702"/>
    <w:rsid w:val="00035BEB"/>
    <w:rsid w:val="00035ECC"/>
    <w:rsid w:val="000360CE"/>
    <w:rsid w:val="000360F1"/>
    <w:rsid w:val="00036225"/>
    <w:rsid w:val="00036A74"/>
    <w:rsid w:val="00036A7D"/>
    <w:rsid w:val="00036D35"/>
    <w:rsid w:val="0003716F"/>
    <w:rsid w:val="00037223"/>
    <w:rsid w:val="00037307"/>
    <w:rsid w:val="0003745B"/>
    <w:rsid w:val="000374E2"/>
    <w:rsid w:val="00037549"/>
    <w:rsid w:val="000376C8"/>
    <w:rsid w:val="00037738"/>
    <w:rsid w:val="00037881"/>
    <w:rsid w:val="000379EF"/>
    <w:rsid w:val="00037AC9"/>
    <w:rsid w:val="00037B06"/>
    <w:rsid w:val="00040188"/>
    <w:rsid w:val="0004018C"/>
    <w:rsid w:val="000401C2"/>
    <w:rsid w:val="0004031E"/>
    <w:rsid w:val="000404EC"/>
    <w:rsid w:val="00040520"/>
    <w:rsid w:val="00040526"/>
    <w:rsid w:val="000405DC"/>
    <w:rsid w:val="00040607"/>
    <w:rsid w:val="000409DE"/>
    <w:rsid w:val="000411BE"/>
    <w:rsid w:val="000412C0"/>
    <w:rsid w:val="000419DA"/>
    <w:rsid w:val="00041A86"/>
    <w:rsid w:val="00041CC1"/>
    <w:rsid w:val="00041EDA"/>
    <w:rsid w:val="00042193"/>
    <w:rsid w:val="00042211"/>
    <w:rsid w:val="0004266E"/>
    <w:rsid w:val="00042816"/>
    <w:rsid w:val="000429AF"/>
    <w:rsid w:val="00042AC7"/>
    <w:rsid w:val="00042C1B"/>
    <w:rsid w:val="00042C42"/>
    <w:rsid w:val="00042CC3"/>
    <w:rsid w:val="00042D51"/>
    <w:rsid w:val="00042DDA"/>
    <w:rsid w:val="00042FB7"/>
    <w:rsid w:val="000430B4"/>
    <w:rsid w:val="000434E8"/>
    <w:rsid w:val="000437ED"/>
    <w:rsid w:val="00043878"/>
    <w:rsid w:val="00043931"/>
    <w:rsid w:val="000439AF"/>
    <w:rsid w:val="00044017"/>
    <w:rsid w:val="00044341"/>
    <w:rsid w:val="0004460E"/>
    <w:rsid w:val="000446F2"/>
    <w:rsid w:val="000447DD"/>
    <w:rsid w:val="00044888"/>
    <w:rsid w:val="00044A68"/>
    <w:rsid w:val="00044B7C"/>
    <w:rsid w:val="00044B8F"/>
    <w:rsid w:val="00044BA2"/>
    <w:rsid w:val="00044D00"/>
    <w:rsid w:val="00044DD6"/>
    <w:rsid w:val="00044DF3"/>
    <w:rsid w:val="0004503C"/>
    <w:rsid w:val="000451A8"/>
    <w:rsid w:val="00045774"/>
    <w:rsid w:val="00045AA5"/>
    <w:rsid w:val="00045C3B"/>
    <w:rsid w:val="00045CB4"/>
    <w:rsid w:val="00045D41"/>
    <w:rsid w:val="00045DFC"/>
    <w:rsid w:val="00045E60"/>
    <w:rsid w:val="00045EB5"/>
    <w:rsid w:val="00045F34"/>
    <w:rsid w:val="000460AE"/>
    <w:rsid w:val="000460DA"/>
    <w:rsid w:val="000462FD"/>
    <w:rsid w:val="00046512"/>
    <w:rsid w:val="0004653D"/>
    <w:rsid w:val="0004668E"/>
    <w:rsid w:val="00046ADC"/>
    <w:rsid w:val="00046B55"/>
    <w:rsid w:val="00046BE4"/>
    <w:rsid w:val="00046F17"/>
    <w:rsid w:val="000472C8"/>
    <w:rsid w:val="000473C0"/>
    <w:rsid w:val="00047769"/>
    <w:rsid w:val="000478FB"/>
    <w:rsid w:val="00047971"/>
    <w:rsid w:val="0004797A"/>
    <w:rsid w:val="00047E49"/>
    <w:rsid w:val="0005035B"/>
    <w:rsid w:val="000506C4"/>
    <w:rsid w:val="00050815"/>
    <w:rsid w:val="00050B1E"/>
    <w:rsid w:val="00050B58"/>
    <w:rsid w:val="00050C39"/>
    <w:rsid w:val="00050D5F"/>
    <w:rsid w:val="00050D6A"/>
    <w:rsid w:val="00051107"/>
    <w:rsid w:val="00051481"/>
    <w:rsid w:val="000514F7"/>
    <w:rsid w:val="00051FFE"/>
    <w:rsid w:val="000525F7"/>
    <w:rsid w:val="0005277A"/>
    <w:rsid w:val="0005278F"/>
    <w:rsid w:val="00052B37"/>
    <w:rsid w:val="00052F0B"/>
    <w:rsid w:val="00052F2A"/>
    <w:rsid w:val="00052FD2"/>
    <w:rsid w:val="000530E0"/>
    <w:rsid w:val="000532A1"/>
    <w:rsid w:val="00053340"/>
    <w:rsid w:val="0005334F"/>
    <w:rsid w:val="000536E3"/>
    <w:rsid w:val="000536E5"/>
    <w:rsid w:val="00053A03"/>
    <w:rsid w:val="000542A3"/>
    <w:rsid w:val="00054421"/>
    <w:rsid w:val="00054657"/>
    <w:rsid w:val="00054DDE"/>
    <w:rsid w:val="00054EE8"/>
    <w:rsid w:val="00054FB6"/>
    <w:rsid w:val="0005517D"/>
    <w:rsid w:val="000555A3"/>
    <w:rsid w:val="00055AF2"/>
    <w:rsid w:val="00055C78"/>
    <w:rsid w:val="00055C87"/>
    <w:rsid w:val="0005604C"/>
    <w:rsid w:val="0005613C"/>
    <w:rsid w:val="0005625B"/>
    <w:rsid w:val="000562CE"/>
    <w:rsid w:val="00056740"/>
    <w:rsid w:val="000567D9"/>
    <w:rsid w:val="00056A42"/>
    <w:rsid w:val="00056B07"/>
    <w:rsid w:val="00056BEE"/>
    <w:rsid w:val="00056C90"/>
    <w:rsid w:val="00057531"/>
    <w:rsid w:val="0005766A"/>
    <w:rsid w:val="00057760"/>
    <w:rsid w:val="00057869"/>
    <w:rsid w:val="00057A68"/>
    <w:rsid w:val="00057AEC"/>
    <w:rsid w:val="00057B85"/>
    <w:rsid w:val="00057E08"/>
    <w:rsid w:val="00060678"/>
    <w:rsid w:val="000608BC"/>
    <w:rsid w:val="00060928"/>
    <w:rsid w:val="00060936"/>
    <w:rsid w:val="00060990"/>
    <w:rsid w:val="00060A8C"/>
    <w:rsid w:val="00060B06"/>
    <w:rsid w:val="00060B9D"/>
    <w:rsid w:val="00060E80"/>
    <w:rsid w:val="000611DE"/>
    <w:rsid w:val="00061412"/>
    <w:rsid w:val="0006150F"/>
    <w:rsid w:val="000618A9"/>
    <w:rsid w:val="000619FE"/>
    <w:rsid w:val="00061BAC"/>
    <w:rsid w:val="00061C94"/>
    <w:rsid w:val="00061CBA"/>
    <w:rsid w:val="00062419"/>
    <w:rsid w:val="0006249A"/>
    <w:rsid w:val="000625D0"/>
    <w:rsid w:val="000626AA"/>
    <w:rsid w:val="0006281B"/>
    <w:rsid w:val="000628AA"/>
    <w:rsid w:val="000629F3"/>
    <w:rsid w:val="00062B0B"/>
    <w:rsid w:val="00062E62"/>
    <w:rsid w:val="00062FFE"/>
    <w:rsid w:val="000632B4"/>
    <w:rsid w:val="000634F5"/>
    <w:rsid w:val="00063879"/>
    <w:rsid w:val="00063969"/>
    <w:rsid w:val="00063A5D"/>
    <w:rsid w:val="00063F83"/>
    <w:rsid w:val="00064277"/>
    <w:rsid w:val="00064531"/>
    <w:rsid w:val="000649F2"/>
    <w:rsid w:val="00064A74"/>
    <w:rsid w:val="00064B4B"/>
    <w:rsid w:val="00064CC2"/>
    <w:rsid w:val="00064DBC"/>
    <w:rsid w:val="00064FF2"/>
    <w:rsid w:val="000652F8"/>
    <w:rsid w:val="00065313"/>
    <w:rsid w:val="00065649"/>
    <w:rsid w:val="00065899"/>
    <w:rsid w:val="00065A2A"/>
    <w:rsid w:val="00065D7A"/>
    <w:rsid w:val="000660DB"/>
    <w:rsid w:val="0006632E"/>
    <w:rsid w:val="00066403"/>
    <w:rsid w:val="0006689E"/>
    <w:rsid w:val="00066A82"/>
    <w:rsid w:val="00066BAA"/>
    <w:rsid w:val="00066C49"/>
    <w:rsid w:val="00067079"/>
    <w:rsid w:val="00067516"/>
    <w:rsid w:val="000676AB"/>
    <w:rsid w:val="00067834"/>
    <w:rsid w:val="000678FC"/>
    <w:rsid w:val="000679C1"/>
    <w:rsid w:val="00067AB0"/>
    <w:rsid w:val="00067AB6"/>
    <w:rsid w:val="00067C1A"/>
    <w:rsid w:val="00067E99"/>
    <w:rsid w:val="00067EFC"/>
    <w:rsid w:val="00070014"/>
    <w:rsid w:val="000701A1"/>
    <w:rsid w:val="00070358"/>
    <w:rsid w:val="00070933"/>
    <w:rsid w:val="00070942"/>
    <w:rsid w:val="00070AE4"/>
    <w:rsid w:val="00070D45"/>
    <w:rsid w:val="00071056"/>
    <w:rsid w:val="000713C3"/>
    <w:rsid w:val="000715B1"/>
    <w:rsid w:val="0007164D"/>
    <w:rsid w:val="0007174F"/>
    <w:rsid w:val="00071833"/>
    <w:rsid w:val="000718A8"/>
    <w:rsid w:val="00071B10"/>
    <w:rsid w:val="00071BCB"/>
    <w:rsid w:val="0007204B"/>
    <w:rsid w:val="000722B1"/>
    <w:rsid w:val="00072889"/>
    <w:rsid w:val="00072B92"/>
    <w:rsid w:val="00072F0F"/>
    <w:rsid w:val="00073135"/>
    <w:rsid w:val="0007348D"/>
    <w:rsid w:val="0007359E"/>
    <w:rsid w:val="00073728"/>
    <w:rsid w:val="00073A84"/>
    <w:rsid w:val="00073E78"/>
    <w:rsid w:val="000740AF"/>
    <w:rsid w:val="00074281"/>
    <w:rsid w:val="000744CB"/>
    <w:rsid w:val="000746AE"/>
    <w:rsid w:val="00074748"/>
    <w:rsid w:val="00074B32"/>
    <w:rsid w:val="00074F9D"/>
    <w:rsid w:val="00075010"/>
    <w:rsid w:val="00075229"/>
    <w:rsid w:val="00075595"/>
    <w:rsid w:val="00075C23"/>
    <w:rsid w:val="00075DB5"/>
    <w:rsid w:val="00075EC3"/>
    <w:rsid w:val="0007665F"/>
    <w:rsid w:val="000766E7"/>
    <w:rsid w:val="000768DB"/>
    <w:rsid w:val="00076972"/>
    <w:rsid w:val="00076B4B"/>
    <w:rsid w:val="00076F40"/>
    <w:rsid w:val="00076F75"/>
    <w:rsid w:val="00076F85"/>
    <w:rsid w:val="00077097"/>
    <w:rsid w:val="000772A3"/>
    <w:rsid w:val="0007759F"/>
    <w:rsid w:val="0007766B"/>
    <w:rsid w:val="000777E7"/>
    <w:rsid w:val="00077A2B"/>
    <w:rsid w:val="00077E5E"/>
    <w:rsid w:val="00077F27"/>
    <w:rsid w:val="000803FA"/>
    <w:rsid w:val="00080558"/>
    <w:rsid w:val="000806A6"/>
    <w:rsid w:val="00080749"/>
    <w:rsid w:val="00080838"/>
    <w:rsid w:val="00080A32"/>
    <w:rsid w:val="00080BFA"/>
    <w:rsid w:val="00080F9F"/>
    <w:rsid w:val="00081030"/>
    <w:rsid w:val="000811B2"/>
    <w:rsid w:val="000813C8"/>
    <w:rsid w:val="00081422"/>
    <w:rsid w:val="00081535"/>
    <w:rsid w:val="000817EA"/>
    <w:rsid w:val="00081901"/>
    <w:rsid w:val="00081908"/>
    <w:rsid w:val="00081F29"/>
    <w:rsid w:val="0008213C"/>
    <w:rsid w:val="0008230C"/>
    <w:rsid w:val="0008243B"/>
    <w:rsid w:val="00082600"/>
    <w:rsid w:val="000828AC"/>
    <w:rsid w:val="0008292C"/>
    <w:rsid w:val="00082A8B"/>
    <w:rsid w:val="00082A9A"/>
    <w:rsid w:val="00082BA9"/>
    <w:rsid w:val="00083143"/>
    <w:rsid w:val="00083345"/>
    <w:rsid w:val="00083516"/>
    <w:rsid w:val="000837DB"/>
    <w:rsid w:val="000838A0"/>
    <w:rsid w:val="000839E0"/>
    <w:rsid w:val="00083A55"/>
    <w:rsid w:val="00083AF3"/>
    <w:rsid w:val="00084071"/>
    <w:rsid w:val="0008418F"/>
    <w:rsid w:val="000841C9"/>
    <w:rsid w:val="000842D0"/>
    <w:rsid w:val="00084737"/>
    <w:rsid w:val="00084ADA"/>
    <w:rsid w:val="00084AEF"/>
    <w:rsid w:val="00084DBD"/>
    <w:rsid w:val="00084EB8"/>
    <w:rsid w:val="000850F4"/>
    <w:rsid w:val="00085233"/>
    <w:rsid w:val="0008523D"/>
    <w:rsid w:val="00085241"/>
    <w:rsid w:val="00085399"/>
    <w:rsid w:val="00085676"/>
    <w:rsid w:val="00085721"/>
    <w:rsid w:val="0008577F"/>
    <w:rsid w:val="0008578E"/>
    <w:rsid w:val="000857F8"/>
    <w:rsid w:val="00085A26"/>
    <w:rsid w:val="00085A6F"/>
    <w:rsid w:val="00085F1C"/>
    <w:rsid w:val="000861B8"/>
    <w:rsid w:val="00086A9C"/>
    <w:rsid w:val="00086D84"/>
    <w:rsid w:val="00086E77"/>
    <w:rsid w:val="00086F25"/>
    <w:rsid w:val="00087097"/>
    <w:rsid w:val="000870A9"/>
    <w:rsid w:val="0008733B"/>
    <w:rsid w:val="00087425"/>
    <w:rsid w:val="00087806"/>
    <w:rsid w:val="00087864"/>
    <w:rsid w:val="0008795C"/>
    <w:rsid w:val="00087A80"/>
    <w:rsid w:val="00087C5B"/>
    <w:rsid w:val="00087CEB"/>
    <w:rsid w:val="00087E41"/>
    <w:rsid w:val="00087E61"/>
    <w:rsid w:val="0009001B"/>
    <w:rsid w:val="0009007A"/>
    <w:rsid w:val="00090B81"/>
    <w:rsid w:val="00091481"/>
    <w:rsid w:val="000914E0"/>
    <w:rsid w:val="00091509"/>
    <w:rsid w:val="000915D4"/>
    <w:rsid w:val="000916E4"/>
    <w:rsid w:val="0009192A"/>
    <w:rsid w:val="00091BFE"/>
    <w:rsid w:val="0009216B"/>
    <w:rsid w:val="000922D8"/>
    <w:rsid w:val="000925A1"/>
    <w:rsid w:val="0009272D"/>
    <w:rsid w:val="00092A71"/>
    <w:rsid w:val="00092CEA"/>
    <w:rsid w:val="00092E95"/>
    <w:rsid w:val="00093079"/>
    <w:rsid w:val="00093283"/>
    <w:rsid w:val="0009369A"/>
    <w:rsid w:val="000936C3"/>
    <w:rsid w:val="00093AD8"/>
    <w:rsid w:val="00093CCA"/>
    <w:rsid w:val="00093DBD"/>
    <w:rsid w:val="000946F5"/>
    <w:rsid w:val="00094778"/>
    <w:rsid w:val="000949D8"/>
    <w:rsid w:val="00094AF4"/>
    <w:rsid w:val="00094B0E"/>
    <w:rsid w:val="00094CA3"/>
    <w:rsid w:val="00094DDB"/>
    <w:rsid w:val="00095014"/>
    <w:rsid w:val="000950F1"/>
    <w:rsid w:val="00095A84"/>
    <w:rsid w:val="00095C66"/>
    <w:rsid w:val="00095EED"/>
    <w:rsid w:val="00095F14"/>
    <w:rsid w:val="000962DE"/>
    <w:rsid w:val="00096300"/>
    <w:rsid w:val="00096394"/>
    <w:rsid w:val="0009640B"/>
    <w:rsid w:val="00096757"/>
    <w:rsid w:val="00096A4B"/>
    <w:rsid w:val="00096AE7"/>
    <w:rsid w:val="00096B69"/>
    <w:rsid w:val="00096BE1"/>
    <w:rsid w:val="00096C52"/>
    <w:rsid w:val="00096D2A"/>
    <w:rsid w:val="00096E71"/>
    <w:rsid w:val="000971B9"/>
    <w:rsid w:val="000976CA"/>
    <w:rsid w:val="00097AAF"/>
    <w:rsid w:val="00097B1C"/>
    <w:rsid w:val="00097B33"/>
    <w:rsid w:val="00097B37"/>
    <w:rsid w:val="00097D0F"/>
    <w:rsid w:val="00097DE9"/>
    <w:rsid w:val="00097EA8"/>
    <w:rsid w:val="000A0485"/>
    <w:rsid w:val="000A04FF"/>
    <w:rsid w:val="000A1801"/>
    <w:rsid w:val="000A1B8C"/>
    <w:rsid w:val="000A24FA"/>
    <w:rsid w:val="000A2507"/>
    <w:rsid w:val="000A269F"/>
    <w:rsid w:val="000A26C3"/>
    <w:rsid w:val="000A26D7"/>
    <w:rsid w:val="000A28B2"/>
    <w:rsid w:val="000A2A88"/>
    <w:rsid w:val="000A3566"/>
    <w:rsid w:val="000A358C"/>
    <w:rsid w:val="000A3792"/>
    <w:rsid w:val="000A3D5A"/>
    <w:rsid w:val="000A3FD1"/>
    <w:rsid w:val="000A40F1"/>
    <w:rsid w:val="000A421E"/>
    <w:rsid w:val="000A4552"/>
    <w:rsid w:val="000A455F"/>
    <w:rsid w:val="000A477C"/>
    <w:rsid w:val="000A484F"/>
    <w:rsid w:val="000A4D37"/>
    <w:rsid w:val="000A4E8F"/>
    <w:rsid w:val="000A4F5B"/>
    <w:rsid w:val="000A519E"/>
    <w:rsid w:val="000A53E4"/>
    <w:rsid w:val="000A53F0"/>
    <w:rsid w:val="000A5546"/>
    <w:rsid w:val="000A608F"/>
    <w:rsid w:val="000A61A9"/>
    <w:rsid w:val="000A61C7"/>
    <w:rsid w:val="000A6623"/>
    <w:rsid w:val="000A6676"/>
    <w:rsid w:val="000A6B14"/>
    <w:rsid w:val="000A6C1D"/>
    <w:rsid w:val="000A6C52"/>
    <w:rsid w:val="000A6CFC"/>
    <w:rsid w:val="000A6DC4"/>
    <w:rsid w:val="000A7172"/>
    <w:rsid w:val="000A72F3"/>
    <w:rsid w:val="000A7769"/>
    <w:rsid w:val="000A7914"/>
    <w:rsid w:val="000A7A59"/>
    <w:rsid w:val="000A7C91"/>
    <w:rsid w:val="000A7D77"/>
    <w:rsid w:val="000B01FB"/>
    <w:rsid w:val="000B03CB"/>
    <w:rsid w:val="000B097F"/>
    <w:rsid w:val="000B0B3C"/>
    <w:rsid w:val="000B0DAF"/>
    <w:rsid w:val="000B165C"/>
    <w:rsid w:val="000B1ADC"/>
    <w:rsid w:val="000B1E77"/>
    <w:rsid w:val="000B2177"/>
    <w:rsid w:val="000B25E6"/>
    <w:rsid w:val="000B2A98"/>
    <w:rsid w:val="000B363B"/>
    <w:rsid w:val="000B378D"/>
    <w:rsid w:val="000B386E"/>
    <w:rsid w:val="000B38D2"/>
    <w:rsid w:val="000B39C8"/>
    <w:rsid w:val="000B3C6B"/>
    <w:rsid w:val="000B3C90"/>
    <w:rsid w:val="000B3D76"/>
    <w:rsid w:val="000B3E9F"/>
    <w:rsid w:val="000B3F38"/>
    <w:rsid w:val="000B40A4"/>
    <w:rsid w:val="000B41EC"/>
    <w:rsid w:val="000B4326"/>
    <w:rsid w:val="000B48F2"/>
    <w:rsid w:val="000B4B15"/>
    <w:rsid w:val="000B4D75"/>
    <w:rsid w:val="000B4ECD"/>
    <w:rsid w:val="000B4EE0"/>
    <w:rsid w:val="000B51A5"/>
    <w:rsid w:val="000B5286"/>
    <w:rsid w:val="000B55D8"/>
    <w:rsid w:val="000B5C10"/>
    <w:rsid w:val="000B5F27"/>
    <w:rsid w:val="000B65F9"/>
    <w:rsid w:val="000B67B4"/>
    <w:rsid w:val="000B69A2"/>
    <w:rsid w:val="000B6C85"/>
    <w:rsid w:val="000B6CBD"/>
    <w:rsid w:val="000B6FB4"/>
    <w:rsid w:val="000B7158"/>
    <w:rsid w:val="000B740B"/>
    <w:rsid w:val="000B771E"/>
    <w:rsid w:val="000B7763"/>
    <w:rsid w:val="000B790D"/>
    <w:rsid w:val="000B7917"/>
    <w:rsid w:val="000B7A14"/>
    <w:rsid w:val="000B7B75"/>
    <w:rsid w:val="000B7BA9"/>
    <w:rsid w:val="000B7D57"/>
    <w:rsid w:val="000B7F03"/>
    <w:rsid w:val="000B7FD6"/>
    <w:rsid w:val="000C05C3"/>
    <w:rsid w:val="000C06EF"/>
    <w:rsid w:val="000C071C"/>
    <w:rsid w:val="000C07E7"/>
    <w:rsid w:val="000C07F9"/>
    <w:rsid w:val="000C0A46"/>
    <w:rsid w:val="000C0A68"/>
    <w:rsid w:val="000C0B2D"/>
    <w:rsid w:val="000C0C3E"/>
    <w:rsid w:val="000C0D5D"/>
    <w:rsid w:val="000C0D8C"/>
    <w:rsid w:val="000C0F9A"/>
    <w:rsid w:val="000C0FD4"/>
    <w:rsid w:val="000C10E8"/>
    <w:rsid w:val="000C1280"/>
    <w:rsid w:val="000C1471"/>
    <w:rsid w:val="000C17D7"/>
    <w:rsid w:val="000C1977"/>
    <w:rsid w:val="000C204A"/>
    <w:rsid w:val="000C20AA"/>
    <w:rsid w:val="000C2632"/>
    <w:rsid w:val="000C2953"/>
    <w:rsid w:val="000C2A72"/>
    <w:rsid w:val="000C2ABC"/>
    <w:rsid w:val="000C2C03"/>
    <w:rsid w:val="000C2F26"/>
    <w:rsid w:val="000C2F47"/>
    <w:rsid w:val="000C2F97"/>
    <w:rsid w:val="000C3118"/>
    <w:rsid w:val="000C3236"/>
    <w:rsid w:val="000C33DD"/>
    <w:rsid w:val="000C37F0"/>
    <w:rsid w:val="000C3A36"/>
    <w:rsid w:val="000C3D99"/>
    <w:rsid w:val="000C40FB"/>
    <w:rsid w:val="000C4118"/>
    <w:rsid w:val="000C461F"/>
    <w:rsid w:val="000C46B1"/>
    <w:rsid w:val="000C4913"/>
    <w:rsid w:val="000C4955"/>
    <w:rsid w:val="000C4A01"/>
    <w:rsid w:val="000C4A65"/>
    <w:rsid w:val="000C4B07"/>
    <w:rsid w:val="000C4FDF"/>
    <w:rsid w:val="000C5137"/>
    <w:rsid w:val="000C521C"/>
    <w:rsid w:val="000C54BB"/>
    <w:rsid w:val="000C573B"/>
    <w:rsid w:val="000C5E0E"/>
    <w:rsid w:val="000C5E7A"/>
    <w:rsid w:val="000C5FEB"/>
    <w:rsid w:val="000C618A"/>
    <w:rsid w:val="000C6372"/>
    <w:rsid w:val="000C642A"/>
    <w:rsid w:val="000C65FF"/>
    <w:rsid w:val="000C6F0D"/>
    <w:rsid w:val="000C7395"/>
    <w:rsid w:val="000C7862"/>
    <w:rsid w:val="000C7AEB"/>
    <w:rsid w:val="000C7C68"/>
    <w:rsid w:val="000D009A"/>
    <w:rsid w:val="000D0200"/>
    <w:rsid w:val="000D0796"/>
    <w:rsid w:val="000D07E2"/>
    <w:rsid w:val="000D0B75"/>
    <w:rsid w:val="000D0D46"/>
    <w:rsid w:val="000D0FB8"/>
    <w:rsid w:val="000D1405"/>
    <w:rsid w:val="000D14E4"/>
    <w:rsid w:val="000D189E"/>
    <w:rsid w:val="000D1F70"/>
    <w:rsid w:val="000D1FDA"/>
    <w:rsid w:val="000D20B7"/>
    <w:rsid w:val="000D21F7"/>
    <w:rsid w:val="000D22DC"/>
    <w:rsid w:val="000D25C5"/>
    <w:rsid w:val="000D266E"/>
    <w:rsid w:val="000D2D14"/>
    <w:rsid w:val="000D30BD"/>
    <w:rsid w:val="000D34BA"/>
    <w:rsid w:val="000D3796"/>
    <w:rsid w:val="000D39B6"/>
    <w:rsid w:val="000D3C60"/>
    <w:rsid w:val="000D3E45"/>
    <w:rsid w:val="000D40A0"/>
    <w:rsid w:val="000D450D"/>
    <w:rsid w:val="000D4980"/>
    <w:rsid w:val="000D4ACF"/>
    <w:rsid w:val="000D4C5C"/>
    <w:rsid w:val="000D4EE7"/>
    <w:rsid w:val="000D4F0A"/>
    <w:rsid w:val="000D5136"/>
    <w:rsid w:val="000D54EC"/>
    <w:rsid w:val="000D5681"/>
    <w:rsid w:val="000D5682"/>
    <w:rsid w:val="000D577E"/>
    <w:rsid w:val="000D5B36"/>
    <w:rsid w:val="000D618F"/>
    <w:rsid w:val="000D62F0"/>
    <w:rsid w:val="000D6587"/>
    <w:rsid w:val="000D69EB"/>
    <w:rsid w:val="000D6CA1"/>
    <w:rsid w:val="000D701C"/>
    <w:rsid w:val="000D7608"/>
    <w:rsid w:val="000D7BAB"/>
    <w:rsid w:val="000D7D36"/>
    <w:rsid w:val="000E01CB"/>
    <w:rsid w:val="000E036B"/>
    <w:rsid w:val="000E0681"/>
    <w:rsid w:val="000E06DE"/>
    <w:rsid w:val="000E0A88"/>
    <w:rsid w:val="000E0BE5"/>
    <w:rsid w:val="000E0BF7"/>
    <w:rsid w:val="000E0F77"/>
    <w:rsid w:val="000E1721"/>
    <w:rsid w:val="000E1878"/>
    <w:rsid w:val="000E1D32"/>
    <w:rsid w:val="000E2259"/>
    <w:rsid w:val="000E22DE"/>
    <w:rsid w:val="000E2515"/>
    <w:rsid w:val="000E2809"/>
    <w:rsid w:val="000E2929"/>
    <w:rsid w:val="000E2A54"/>
    <w:rsid w:val="000E2A98"/>
    <w:rsid w:val="000E2C86"/>
    <w:rsid w:val="000E2CE4"/>
    <w:rsid w:val="000E2D0E"/>
    <w:rsid w:val="000E2F7D"/>
    <w:rsid w:val="000E3522"/>
    <w:rsid w:val="000E3688"/>
    <w:rsid w:val="000E3796"/>
    <w:rsid w:val="000E38CB"/>
    <w:rsid w:val="000E39C6"/>
    <w:rsid w:val="000E3D2F"/>
    <w:rsid w:val="000E4246"/>
    <w:rsid w:val="000E4443"/>
    <w:rsid w:val="000E47F7"/>
    <w:rsid w:val="000E4ECB"/>
    <w:rsid w:val="000E4F3E"/>
    <w:rsid w:val="000E5330"/>
    <w:rsid w:val="000E588E"/>
    <w:rsid w:val="000E58DC"/>
    <w:rsid w:val="000E604F"/>
    <w:rsid w:val="000E6338"/>
    <w:rsid w:val="000E64C8"/>
    <w:rsid w:val="000E659C"/>
    <w:rsid w:val="000E65E7"/>
    <w:rsid w:val="000E65FB"/>
    <w:rsid w:val="000E672C"/>
    <w:rsid w:val="000E6C27"/>
    <w:rsid w:val="000E6F64"/>
    <w:rsid w:val="000E7204"/>
    <w:rsid w:val="000E730E"/>
    <w:rsid w:val="000E7544"/>
    <w:rsid w:val="000E7934"/>
    <w:rsid w:val="000E79B6"/>
    <w:rsid w:val="000E79DA"/>
    <w:rsid w:val="000F0078"/>
    <w:rsid w:val="000F0165"/>
    <w:rsid w:val="000F040E"/>
    <w:rsid w:val="000F066C"/>
    <w:rsid w:val="000F0919"/>
    <w:rsid w:val="000F09CC"/>
    <w:rsid w:val="000F0A10"/>
    <w:rsid w:val="000F0B2E"/>
    <w:rsid w:val="000F0CA0"/>
    <w:rsid w:val="000F0FA1"/>
    <w:rsid w:val="000F12EC"/>
    <w:rsid w:val="000F16B0"/>
    <w:rsid w:val="000F1A4A"/>
    <w:rsid w:val="000F1DC0"/>
    <w:rsid w:val="000F1E2D"/>
    <w:rsid w:val="000F1F4E"/>
    <w:rsid w:val="000F1FA6"/>
    <w:rsid w:val="000F2096"/>
    <w:rsid w:val="000F2282"/>
    <w:rsid w:val="000F2292"/>
    <w:rsid w:val="000F262D"/>
    <w:rsid w:val="000F2797"/>
    <w:rsid w:val="000F286D"/>
    <w:rsid w:val="000F2CCA"/>
    <w:rsid w:val="000F2DAE"/>
    <w:rsid w:val="000F2DE6"/>
    <w:rsid w:val="000F2EFA"/>
    <w:rsid w:val="000F2FE3"/>
    <w:rsid w:val="000F3722"/>
    <w:rsid w:val="000F3956"/>
    <w:rsid w:val="000F3A3A"/>
    <w:rsid w:val="000F3ACB"/>
    <w:rsid w:val="000F3DDB"/>
    <w:rsid w:val="000F42E2"/>
    <w:rsid w:val="000F48B5"/>
    <w:rsid w:val="000F494A"/>
    <w:rsid w:val="000F4A66"/>
    <w:rsid w:val="000F4B2C"/>
    <w:rsid w:val="000F4CB0"/>
    <w:rsid w:val="000F4D30"/>
    <w:rsid w:val="000F4F5F"/>
    <w:rsid w:val="000F5162"/>
    <w:rsid w:val="000F52AB"/>
    <w:rsid w:val="000F53B7"/>
    <w:rsid w:val="000F551B"/>
    <w:rsid w:val="000F5601"/>
    <w:rsid w:val="000F57D9"/>
    <w:rsid w:val="000F5990"/>
    <w:rsid w:val="000F5A1D"/>
    <w:rsid w:val="000F5ADF"/>
    <w:rsid w:val="000F5D36"/>
    <w:rsid w:val="000F5DC6"/>
    <w:rsid w:val="000F5F7F"/>
    <w:rsid w:val="000F6142"/>
    <w:rsid w:val="000F61FF"/>
    <w:rsid w:val="000F626E"/>
    <w:rsid w:val="000F629B"/>
    <w:rsid w:val="000F631D"/>
    <w:rsid w:val="000F653C"/>
    <w:rsid w:val="000F6B87"/>
    <w:rsid w:val="000F71DD"/>
    <w:rsid w:val="000F72EC"/>
    <w:rsid w:val="000F7567"/>
    <w:rsid w:val="000F7643"/>
    <w:rsid w:val="000F7922"/>
    <w:rsid w:val="000F7963"/>
    <w:rsid w:val="000F7AE0"/>
    <w:rsid w:val="000F7D22"/>
    <w:rsid w:val="000F7F14"/>
    <w:rsid w:val="00100696"/>
    <w:rsid w:val="00100D92"/>
    <w:rsid w:val="00100E28"/>
    <w:rsid w:val="0010125C"/>
    <w:rsid w:val="001013B1"/>
    <w:rsid w:val="0010164D"/>
    <w:rsid w:val="0010165B"/>
    <w:rsid w:val="0010173E"/>
    <w:rsid w:val="00101ADD"/>
    <w:rsid w:val="00102269"/>
    <w:rsid w:val="001022C7"/>
    <w:rsid w:val="001024A7"/>
    <w:rsid w:val="00102591"/>
    <w:rsid w:val="0010262B"/>
    <w:rsid w:val="001027DB"/>
    <w:rsid w:val="00102929"/>
    <w:rsid w:val="00102A67"/>
    <w:rsid w:val="00102CFB"/>
    <w:rsid w:val="00102DA7"/>
    <w:rsid w:val="00103155"/>
    <w:rsid w:val="001034BE"/>
    <w:rsid w:val="001034DC"/>
    <w:rsid w:val="00103586"/>
    <w:rsid w:val="00103651"/>
    <w:rsid w:val="00103A37"/>
    <w:rsid w:val="00103CAC"/>
    <w:rsid w:val="00103CC3"/>
    <w:rsid w:val="00104043"/>
    <w:rsid w:val="001042E5"/>
    <w:rsid w:val="0010438E"/>
    <w:rsid w:val="001045BA"/>
    <w:rsid w:val="00104899"/>
    <w:rsid w:val="0010520E"/>
    <w:rsid w:val="0010522D"/>
    <w:rsid w:val="001054AB"/>
    <w:rsid w:val="00105624"/>
    <w:rsid w:val="00105B13"/>
    <w:rsid w:val="00105C2A"/>
    <w:rsid w:val="00105D9B"/>
    <w:rsid w:val="00105FF5"/>
    <w:rsid w:val="00106364"/>
    <w:rsid w:val="001067F5"/>
    <w:rsid w:val="00106821"/>
    <w:rsid w:val="001068C5"/>
    <w:rsid w:val="001068CA"/>
    <w:rsid w:val="0010692B"/>
    <w:rsid w:val="00106E25"/>
    <w:rsid w:val="00106E51"/>
    <w:rsid w:val="001070E7"/>
    <w:rsid w:val="00107137"/>
    <w:rsid w:val="001073CF"/>
    <w:rsid w:val="00107497"/>
    <w:rsid w:val="001074E3"/>
    <w:rsid w:val="00107544"/>
    <w:rsid w:val="0010761B"/>
    <w:rsid w:val="00107671"/>
    <w:rsid w:val="0010794F"/>
    <w:rsid w:val="0010799D"/>
    <w:rsid w:val="001103FC"/>
    <w:rsid w:val="001107B0"/>
    <w:rsid w:val="001108C5"/>
    <w:rsid w:val="00110C54"/>
    <w:rsid w:val="00110C9B"/>
    <w:rsid w:val="00110D24"/>
    <w:rsid w:val="00110D7C"/>
    <w:rsid w:val="001111C7"/>
    <w:rsid w:val="001117A7"/>
    <w:rsid w:val="00111915"/>
    <w:rsid w:val="00112055"/>
    <w:rsid w:val="00112116"/>
    <w:rsid w:val="00112354"/>
    <w:rsid w:val="0011297B"/>
    <w:rsid w:val="001129BA"/>
    <w:rsid w:val="00112A78"/>
    <w:rsid w:val="00112C91"/>
    <w:rsid w:val="00112E94"/>
    <w:rsid w:val="00112EAC"/>
    <w:rsid w:val="00112F02"/>
    <w:rsid w:val="00113399"/>
    <w:rsid w:val="0011388E"/>
    <w:rsid w:val="00113A20"/>
    <w:rsid w:val="00113BB7"/>
    <w:rsid w:val="00114084"/>
    <w:rsid w:val="001140B9"/>
    <w:rsid w:val="00114802"/>
    <w:rsid w:val="0011489B"/>
    <w:rsid w:val="00114FA0"/>
    <w:rsid w:val="00114FB3"/>
    <w:rsid w:val="0011511B"/>
    <w:rsid w:val="00115163"/>
    <w:rsid w:val="00115300"/>
    <w:rsid w:val="0011546C"/>
    <w:rsid w:val="00115A01"/>
    <w:rsid w:val="00115C25"/>
    <w:rsid w:val="00115CF0"/>
    <w:rsid w:val="00115E4D"/>
    <w:rsid w:val="00115FD8"/>
    <w:rsid w:val="0011633B"/>
    <w:rsid w:val="001163AF"/>
    <w:rsid w:val="001165EC"/>
    <w:rsid w:val="00116AB6"/>
    <w:rsid w:val="00116B58"/>
    <w:rsid w:val="00116C14"/>
    <w:rsid w:val="00116D2E"/>
    <w:rsid w:val="00116E04"/>
    <w:rsid w:val="001172EC"/>
    <w:rsid w:val="001174B5"/>
    <w:rsid w:val="001174D9"/>
    <w:rsid w:val="001175CA"/>
    <w:rsid w:val="001176B8"/>
    <w:rsid w:val="001178D7"/>
    <w:rsid w:val="00117CE0"/>
    <w:rsid w:val="00117E7E"/>
    <w:rsid w:val="00117F06"/>
    <w:rsid w:val="001201CD"/>
    <w:rsid w:val="00120271"/>
    <w:rsid w:val="00120309"/>
    <w:rsid w:val="001206E8"/>
    <w:rsid w:val="00120838"/>
    <w:rsid w:val="00120CEA"/>
    <w:rsid w:val="00120FCA"/>
    <w:rsid w:val="001210CB"/>
    <w:rsid w:val="0012112A"/>
    <w:rsid w:val="00121C0D"/>
    <w:rsid w:val="00121ECD"/>
    <w:rsid w:val="001222E8"/>
    <w:rsid w:val="0012231F"/>
    <w:rsid w:val="0012256F"/>
    <w:rsid w:val="00122622"/>
    <w:rsid w:val="001226BD"/>
    <w:rsid w:val="00122802"/>
    <w:rsid w:val="00122CD1"/>
    <w:rsid w:val="00122D54"/>
    <w:rsid w:val="00122DED"/>
    <w:rsid w:val="00123052"/>
    <w:rsid w:val="0012314D"/>
    <w:rsid w:val="0012339F"/>
    <w:rsid w:val="0012354F"/>
    <w:rsid w:val="00123688"/>
    <w:rsid w:val="00123931"/>
    <w:rsid w:val="00123943"/>
    <w:rsid w:val="00123E45"/>
    <w:rsid w:val="0012402A"/>
    <w:rsid w:val="001242C5"/>
    <w:rsid w:val="001243E5"/>
    <w:rsid w:val="00124614"/>
    <w:rsid w:val="00124913"/>
    <w:rsid w:val="00124D3E"/>
    <w:rsid w:val="00124DD5"/>
    <w:rsid w:val="00124E6B"/>
    <w:rsid w:val="00125063"/>
    <w:rsid w:val="0012531A"/>
    <w:rsid w:val="001255CE"/>
    <w:rsid w:val="001256E7"/>
    <w:rsid w:val="001256E8"/>
    <w:rsid w:val="001257CD"/>
    <w:rsid w:val="00125A5C"/>
    <w:rsid w:val="00125ABE"/>
    <w:rsid w:val="00125E33"/>
    <w:rsid w:val="0012600F"/>
    <w:rsid w:val="00126285"/>
    <w:rsid w:val="001265D6"/>
    <w:rsid w:val="001266F4"/>
    <w:rsid w:val="00126848"/>
    <w:rsid w:val="001268AB"/>
    <w:rsid w:val="00126ECE"/>
    <w:rsid w:val="001270C9"/>
    <w:rsid w:val="0012782E"/>
    <w:rsid w:val="0012797B"/>
    <w:rsid w:val="0012797C"/>
    <w:rsid w:val="001279AD"/>
    <w:rsid w:val="00127C54"/>
    <w:rsid w:val="00127F0D"/>
    <w:rsid w:val="0013007B"/>
    <w:rsid w:val="001300C5"/>
    <w:rsid w:val="0013013C"/>
    <w:rsid w:val="0013025C"/>
    <w:rsid w:val="0013045E"/>
    <w:rsid w:val="0013074B"/>
    <w:rsid w:val="001308EE"/>
    <w:rsid w:val="00130BE0"/>
    <w:rsid w:val="00131060"/>
    <w:rsid w:val="001312C1"/>
    <w:rsid w:val="001315DA"/>
    <w:rsid w:val="0013166E"/>
    <w:rsid w:val="00131D8C"/>
    <w:rsid w:val="00131EC7"/>
    <w:rsid w:val="00132389"/>
    <w:rsid w:val="001323BE"/>
    <w:rsid w:val="00132649"/>
    <w:rsid w:val="001327D9"/>
    <w:rsid w:val="00132848"/>
    <w:rsid w:val="001328DF"/>
    <w:rsid w:val="00132C13"/>
    <w:rsid w:val="00132E71"/>
    <w:rsid w:val="001330AC"/>
    <w:rsid w:val="00133245"/>
    <w:rsid w:val="00133360"/>
    <w:rsid w:val="00133590"/>
    <w:rsid w:val="00133838"/>
    <w:rsid w:val="00133ABF"/>
    <w:rsid w:val="00133DF1"/>
    <w:rsid w:val="00133E13"/>
    <w:rsid w:val="001340F3"/>
    <w:rsid w:val="0013422E"/>
    <w:rsid w:val="001342CC"/>
    <w:rsid w:val="0013442D"/>
    <w:rsid w:val="0013449A"/>
    <w:rsid w:val="001344F5"/>
    <w:rsid w:val="00134524"/>
    <w:rsid w:val="00134865"/>
    <w:rsid w:val="00134C03"/>
    <w:rsid w:val="00134D47"/>
    <w:rsid w:val="00134E58"/>
    <w:rsid w:val="00134F91"/>
    <w:rsid w:val="001351F4"/>
    <w:rsid w:val="00135458"/>
    <w:rsid w:val="0013546E"/>
    <w:rsid w:val="0013599C"/>
    <w:rsid w:val="00136070"/>
    <w:rsid w:val="0013622A"/>
    <w:rsid w:val="00136259"/>
    <w:rsid w:val="0013636A"/>
    <w:rsid w:val="00136677"/>
    <w:rsid w:val="00136828"/>
    <w:rsid w:val="0013699F"/>
    <w:rsid w:val="001369E9"/>
    <w:rsid w:val="001373BC"/>
    <w:rsid w:val="00137F96"/>
    <w:rsid w:val="00140108"/>
    <w:rsid w:val="001402BD"/>
    <w:rsid w:val="001408A3"/>
    <w:rsid w:val="00140936"/>
    <w:rsid w:val="00140AA8"/>
    <w:rsid w:val="00140B7C"/>
    <w:rsid w:val="00141247"/>
    <w:rsid w:val="00141495"/>
    <w:rsid w:val="00141574"/>
    <w:rsid w:val="00141C2B"/>
    <w:rsid w:val="00141D59"/>
    <w:rsid w:val="00141DBE"/>
    <w:rsid w:val="001421A5"/>
    <w:rsid w:val="00142238"/>
    <w:rsid w:val="001428F1"/>
    <w:rsid w:val="0014291B"/>
    <w:rsid w:val="00142D3F"/>
    <w:rsid w:val="00142F6A"/>
    <w:rsid w:val="00142F7B"/>
    <w:rsid w:val="00143656"/>
    <w:rsid w:val="001437D0"/>
    <w:rsid w:val="00143872"/>
    <w:rsid w:val="00143D1F"/>
    <w:rsid w:val="00143ECD"/>
    <w:rsid w:val="00144162"/>
    <w:rsid w:val="001441FC"/>
    <w:rsid w:val="0014429A"/>
    <w:rsid w:val="001442BF"/>
    <w:rsid w:val="001443EF"/>
    <w:rsid w:val="0014451C"/>
    <w:rsid w:val="001446D4"/>
    <w:rsid w:val="00144797"/>
    <w:rsid w:val="0014497F"/>
    <w:rsid w:val="00144A29"/>
    <w:rsid w:val="00144BBC"/>
    <w:rsid w:val="00144E1E"/>
    <w:rsid w:val="00144E83"/>
    <w:rsid w:val="001450C6"/>
    <w:rsid w:val="00145758"/>
    <w:rsid w:val="00145861"/>
    <w:rsid w:val="00145B5E"/>
    <w:rsid w:val="00145B65"/>
    <w:rsid w:val="00145CA7"/>
    <w:rsid w:val="00145D18"/>
    <w:rsid w:val="00145E7C"/>
    <w:rsid w:val="00145EE6"/>
    <w:rsid w:val="00146041"/>
    <w:rsid w:val="001466BA"/>
    <w:rsid w:val="00146740"/>
    <w:rsid w:val="00146B73"/>
    <w:rsid w:val="00146D1D"/>
    <w:rsid w:val="00146E4E"/>
    <w:rsid w:val="00147005"/>
    <w:rsid w:val="00147172"/>
    <w:rsid w:val="00147A5C"/>
    <w:rsid w:val="00147BDF"/>
    <w:rsid w:val="00147C8D"/>
    <w:rsid w:val="00147DEF"/>
    <w:rsid w:val="00147EA8"/>
    <w:rsid w:val="00147EE9"/>
    <w:rsid w:val="0015006C"/>
    <w:rsid w:val="00150295"/>
    <w:rsid w:val="001503D3"/>
    <w:rsid w:val="00150752"/>
    <w:rsid w:val="00150776"/>
    <w:rsid w:val="00150A4D"/>
    <w:rsid w:val="00150B57"/>
    <w:rsid w:val="00150E5E"/>
    <w:rsid w:val="0015102F"/>
    <w:rsid w:val="001510A2"/>
    <w:rsid w:val="0015112E"/>
    <w:rsid w:val="0015131B"/>
    <w:rsid w:val="0015134C"/>
    <w:rsid w:val="00151548"/>
    <w:rsid w:val="00151831"/>
    <w:rsid w:val="00151990"/>
    <w:rsid w:val="00151ACF"/>
    <w:rsid w:val="00152213"/>
    <w:rsid w:val="0015228A"/>
    <w:rsid w:val="00152406"/>
    <w:rsid w:val="00152459"/>
    <w:rsid w:val="001528A5"/>
    <w:rsid w:val="00152AD1"/>
    <w:rsid w:val="00152BC0"/>
    <w:rsid w:val="001535F2"/>
    <w:rsid w:val="00153683"/>
    <w:rsid w:val="00153813"/>
    <w:rsid w:val="00153AD3"/>
    <w:rsid w:val="00153E19"/>
    <w:rsid w:val="001540CB"/>
    <w:rsid w:val="001542E5"/>
    <w:rsid w:val="001543E2"/>
    <w:rsid w:val="00154665"/>
    <w:rsid w:val="0015471A"/>
    <w:rsid w:val="00154757"/>
    <w:rsid w:val="00154AA4"/>
    <w:rsid w:val="00154AAA"/>
    <w:rsid w:val="00154C59"/>
    <w:rsid w:val="00155202"/>
    <w:rsid w:val="00155642"/>
    <w:rsid w:val="001556D5"/>
    <w:rsid w:val="00155754"/>
    <w:rsid w:val="0015583B"/>
    <w:rsid w:val="0015594F"/>
    <w:rsid w:val="00155B02"/>
    <w:rsid w:val="00155CA3"/>
    <w:rsid w:val="00155CB8"/>
    <w:rsid w:val="001563FD"/>
    <w:rsid w:val="001564C8"/>
    <w:rsid w:val="001566BA"/>
    <w:rsid w:val="00156A45"/>
    <w:rsid w:val="00157041"/>
    <w:rsid w:val="0015750B"/>
    <w:rsid w:val="00157548"/>
    <w:rsid w:val="0015755B"/>
    <w:rsid w:val="0015782A"/>
    <w:rsid w:val="001578B6"/>
    <w:rsid w:val="00157ABF"/>
    <w:rsid w:val="00157F6C"/>
    <w:rsid w:val="00157F7E"/>
    <w:rsid w:val="00160020"/>
    <w:rsid w:val="00160066"/>
    <w:rsid w:val="001602E0"/>
    <w:rsid w:val="0016031C"/>
    <w:rsid w:val="001604F8"/>
    <w:rsid w:val="0016096E"/>
    <w:rsid w:val="001609D8"/>
    <w:rsid w:val="00160CA0"/>
    <w:rsid w:val="00160D86"/>
    <w:rsid w:val="00160DC4"/>
    <w:rsid w:val="00160E77"/>
    <w:rsid w:val="001617A3"/>
    <w:rsid w:val="001617CA"/>
    <w:rsid w:val="00161912"/>
    <w:rsid w:val="00161923"/>
    <w:rsid w:val="00161B45"/>
    <w:rsid w:val="00161B4B"/>
    <w:rsid w:val="00161CC4"/>
    <w:rsid w:val="00161DEF"/>
    <w:rsid w:val="00161E19"/>
    <w:rsid w:val="00161E68"/>
    <w:rsid w:val="00162218"/>
    <w:rsid w:val="0016221D"/>
    <w:rsid w:val="001624C5"/>
    <w:rsid w:val="00162521"/>
    <w:rsid w:val="00162B1C"/>
    <w:rsid w:val="00162B8E"/>
    <w:rsid w:val="00162FF0"/>
    <w:rsid w:val="00163169"/>
    <w:rsid w:val="0016326A"/>
    <w:rsid w:val="00163333"/>
    <w:rsid w:val="001635FE"/>
    <w:rsid w:val="0016368F"/>
    <w:rsid w:val="00163883"/>
    <w:rsid w:val="00163902"/>
    <w:rsid w:val="00163972"/>
    <w:rsid w:val="00163ABC"/>
    <w:rsid w:val="00163B98"/>
    <w:rsid w:val="00163F8B"/>
    <w:rsid w:val="00163F94"/>
    <w:rsid w:val="00164044"/>
    <w:rsid w:val="00164320"/>
    <w:rsid w:val="00164384"/>
    <w:rsid w:val="001643FD"/>
    <w:rsid w:val="0016445A"/>
    <w:rsid w:val="0016455B"/>
    <w:rsid w:val="001649AB"/>
    <w:rsid w:val="00164E98"/>
    <w:rsid w:val="00165096"/>
    <w:rsid w:val="00165256"/>
    <w:rsid w:val="001652AC"/>
    <w:rsid w:val="001653BA"/>
    <w:rsid w:val="00165426"/>
    <w:rsid w:val="001655F6"/>
    <w:rsid w:val="0016593C"/>
    <w:rsid w:val="00165956"/>
    <w:rsid w:val="00165970"/>
    <w:rsid w:val="001659F0"/>
    <w:rsid w:val="00165BB5"/>
    <w:rsid w:val="00165D90"/>
    <w:rsid w:val="00165F1D"/>
    <w:rsid w:val="001662E8"/>
    <w:rsid w:val="0016646C"/>
    <w:rsid w:val="00166A33"/>
    <w:rsid w:val="00166BA4"/>
    <w:rsid w:val="00166DCF"/>
    <w:rsid w:val="0016721D"/>
    <w:rsid w:val="001673C9"/>
    <w:rsid w:val="0016789D"/>
    <w:rsid w:val="00167992"/>
    <w:rsid w:val="00167B86"/>
    <w:rsid w:val="00167CCA"/>
    <w:rsid w:val="00167D5B"/>
    <w:rsid w:val="0017084D"/>
    <w:rsid w:val="001708F7"/>
    <w:rsid w:val="001709F6"/>
    <w:rsid w:val="00170A66"/>
    <w:rsid w:val="00170A76"/>
    <w:rsid w:val="00170EDF"/>
    <w:rsid w:val="00170EF5"/>
    <w:rsid w:val="001715F6"/>
    <w:rsid w:val="00171C64"/>
    <w:rsid w:val="00171DAC"/>
    <w:rsid w:val="001720F1"/>
    <w:rsid w:val="001721D1"/>
    <w:rsid w:val="00172517"/>
    <w:rsid w:val="0017259D"/>
    <w:rsid w:val="00172A87"/>
    <w:rsid w:val="00173001"/>
    <w:rsid w:val="0017313C"/>
    <w:rsid w:val="001731F0"/>
    <w:rsid w:val="00173A67"/>
    <w:rsid w:val="00173B3A"/>
    <w:rsid w:val="001740F8"/>
    <w:rsid w:val="001741B8"/>
    <w:rsid w:val="00174276"/>
    <w:rsid w:val="00174456"/>
    <w:rsid w:val="001744CE"/>
    <w:rsid w:val="00174741"/>
    <w:rsid w:val="001748C7"/>
    <w:rsid w:val="0017497E"/>
    <w:rsid w:val="00174CD9"/>
    <w:rsid w:val="00174CE8"/>
    <w:rsid w:val="00174F85"/>
    <w:rsid w:val="00175016"/>
    <w:rsid w:val="001750F3"/>
    <w:rsid w:val="001754FF"/>
    <w:rsid w:val="001756AF"/>
    <w:rsid w:val="00175A23"/>
    <w:rsid w:val="00175D98"/>
    <w:rsid w:val="00175F93"/>
    <w:rsid w:val="00175F9B"/>
    <w:rsid w:val="001760B4"/>
    <w:rsid w:val="00176342"/>
    <w:rsid w:val="0017658E"/>
    <w:rsid w:val="00176694"/>
    <w:rsid w:val="001766C6"/>
    <w:rsid w:val="00176719"/>
    <w:rsid w:val="00176885"/>
    <w:rsid w:val="001768B3"/>
    <w:rsid w:val="00176B32"/>
    <w:rsid w:val="00176C5A"/>
    <w:rsid w:val="00176E4D"/>
    <w:rsid w:val="00177AEE"/>
    <w:rsid w:val="00177BC4"/>
    <w:rsid w:val="00177BFB"/>
    <w:rsid w:val="00177C6F"/>
    <w:rsid w:val="00177D11"/>
    <w:rsid w:val="00177DF6"/>
    <w:rsid w:val="00177E4E"/>
    <w:rsid w:val="0018009F"/>
    <w:rsid w:val="0018010A"/>
    <w:rsid w:val="0018015A"/>
    <w:rsid w:val="001801ED"/>
    <w:rsid w:val="00180337"/>
    <w:rsid w:val="00180B6E"/>
    <w:rsid w:val="00180DB8"/>
    <w:rsid w:val="00180E65"/>
    <w:rsid w:val="00180F9D"/>
    <w:rsid w:val="00181131"/>
    <w:rsid w:val="001811CE"/>
    <w:rsid w:val="00181242"/>
    <w:rsid w:val="00181268"/>
    <w:rsid w:val="00181756"/>
    <w:rsid w:val="00181CC6"/>
    <w:rsid w:val="00181CCB"/>
    <w:rsid w:val="00181FCE"/>
    <w:rsid w:val="0018249B"/>
    <w:rsid w:val="001826AD"/>
    <w:rsid w:val="00182B8F"/>
    <w:rsid w:val="00182DCE"/>
    <w:rsid w:val="00183014"/>
    <w:rsid w:val="00183151"/>
    <w:rsid w:val="00183260"/>
    <w:rsid w:val="001837BD"/>
    <w:rsid w:val="00183CA9"/>
    <w:rsid w:val="00183F01"/>
    <w:rsid w:val="00183F73"/>
    <w:rsid w:val="00183FFF"/>
    <w:rsid w:val="00184390"/>
    <w:rsid w:val="00184470"/>
    <w:rsid w:val="00184524"/>
    <w:rsid w:val="001845F6"/>
    <w:rsid w:val="00184AD9"/>
    <w:rsid w:val="00184BDD"/>
    <w:rsid w:val="00184CE4"/>
    <w:rsid w:val="00184E40"/>
    <w:rsid w:val="001850B9"/>
    <w:rsid w:val="0018516A"/>
    <w:rsid w:val="0018533B"/>
    <w:rsid w:val="001853CC"/>
    <w:rsid w:val="00185621"/>
    <w:rsid w:val="001858E2"/>
    <w:rsid w:val="00185ECB"/>
    <w:rsid w:val="00186655"/>
    <w:rsid w:val="00186821"/>
    <w:rsid w:val="001868F6"/>
    <w:rsid w:val="00186C1C"/>
    <w:rsid w:val="001872BB"/>
    <w:rsid w:val="00187317"/>
    <w:rsid w:val="001873F1"/>
    <w:rsid w:val="001874DE"/>
    <w:rsid w:val="001875B7"/>
    <w:rsid w:val="001878BA"/>
    <w:rsid w:val="00187A2C"/>
    <w:rsid w:val="00187C5B"/>
    <w:rsid w:val="00187C95"/>
    <w:rsid w:val="00187D28"/>
    <w:rsid w:val="00190387"/>
    <w:rsid w:val="00190A1D"/>
    <w:rsid w:val="00190E31"/>
    <w:rsid w:val="0019112D"/>
    <w:rsid w:val="00191350"/>
    <w:rsid w:val="00191519"/>
    <w:rsid w:val="001915C6"/>
    <w:rsid w:val="0019163E"/>
    <w:rsid w:val="001916FF"/>
    <w:rsid w:val="00191773"/>
    <w:rsid w:val="00191805"/>
    <w:rsid w:val="00191B50"/>
    <w:rsid w:val="00192099"/>
    <w:rsid w:val="00192323"/>
    <w:rsid w:val="00192333"/>
    <w:rsid w:val="001924EA"/>
    <w:rsid w:val="00192687"/>
    <w:rsid w:val="001927BC"/>
    <w:rsid w:val="00192803"/>
    <w:rsid w:val="00192850"/>
    <w:rsid w:val="00192A7D"/>
    <w:rsid w:val="00192A8B"/>
    <w:rsid w:val="001931AC"/>
    <w:rsid w:val="0019345E"/>
    <w:rsid w:val="00193774"/>
    <w:rsid w:val="00193A9F"/>
    <w:rsid w:val="00193C70"/>
    <w:rsid w:val="00193F19"/>
    <w:rsid w:val="00193FC5"/>
    <w:rsid w:val="00194092"/>
    <w:rsid w:val="00194238"/>
    <w:rsid w:val="00194654"/>
    <w:rsid w:val="00194801"/>
    <w:rsid w:val="00194B29"/>
    <w:rsid w:val="00194B4E"/>
    <w:rsid w:val="00194BE2"/>
    <w:rsid w:val="00194C2D"/>
    <w:rsid w:val="00194E92"/>
    <w:rsid w:val="001953D2"/>
    <w:rsid w:val="00195473"/>
    <w:rsid w:val="0019554E"/>
    <w:rsid w:val="001956F3"/>
    <w:rsid w:val="00195876"/>
    <w:rsid w:val="00195AFB"/>
    <w:rsid w:val="00195CCE"/>
    <w:rsid w:val="00195D85"/>
    <w:rsid w:val="00195E04"/>
    <w:rsid w:val="00195EEC"/>
    <w:rsid w:val="00196413"/>
    <w:rsid w:val="0019645D"/>
    <w:rsid w:val="001966D0"/>
    <w:rsid w:val="00196AE4"/>
    <w:rsid w:val="00196B58"/>
    <w:rsid w:val="00196BFA"/>
    <w:rsid w:val="00196C0C"/>
    <w:rsid w:val="00196F09"/>
    <w:rsid w:val="001972E8"/>
    <w:rsid w:val="0019730D"/>
    <w:rsid w:val="00197379"/>
    <w:rsid w:val="00197679"/>
    <w:rsid w:val="001976D3"/>
    <w:rsid w:val="001977F2"/>
    <w:rsid w:val="00197B2D"/>
    <w:rsid w:val="00197E49"/>
    <w:rsid w:val="00197ED6"/>
    <w:rsid w:val="00197F07"/>
    <w:rsid w:val="001A0031"/>
    <w:rsid w:val="001A00BC"/>
    <w:rsid w:val="001A01AF"/>
    <w:rsid w:val="001A02C6"/>
    <w:rsid w:val="001A02EC"/>
    <w:rsid w:val="001A0422"/>
    <w:rsid w:val="001A07CE"/>
    <w:rsid w:val="001A0937"/>
    <w:rsid w:val="001A098C"/>
    <w:rsid w:val="001A0AAF"/>
    <w:rsid w:val="001A0CDB"/>
    <w:rsid w:val="001A0D9B"/>
    <w:rsid w:val="001A0DB1"/>
    <w:rsid w:val="001A101D"/>
    <w:rsid w:val="001A15A2"/>
    <w:rsid w:val="001A19A4"/>
    <w:rsid w:val="001A1C1A"/>
    <w:rsid w:val="001A20C1"/>
    <w:rsid w:val="001A251A"/>
    <w:rsid w:val="001A278C"/>
    <w:rsid w:val="001A2847"/>
    <w:rsid w:val="001A288D"/>
    <w:rsid w:val="001A2E9A"/>
    <w:rsid w:val="001A2F64"/>
    <w:rsid w:val="001A3059"/>
    <w:rsid w:val="001A30DD"/>
    <w:rsid w:val="001A32DC"/>
    <w:rsid w:val="001A348B"/>
    <w:rsid w:val="001A45CE"/>
    <w:rsid w:val="001A481A"/>
    <w:rsid w:val="001A4836"/>
    <w:rsid w:val="001A4B33"/>
    <w:rsid w:val="001A4B87"/>
    <w:rsid w:val="001A4C8F"/>
    <w:rsid w:val="001A4F4D"/>
    <w:rsid w:val="001A4F9A"/>
    <w:rsid w:val="001A5001"/>
    <w:rsid w:val="001A51A9"/>
    <w:rsid w:val="001A52AF"/>
    <w:rsid w:val="001A53B6"/>
    <w:rsid w:val="001A5614"/>
    <w:rsid w:val="001A5631"/>
    <w:rsid w:val="001A6069"/>
    <w:rsid w:val="001A62B3"/>
    <w:rsid w:val="001A6363"/>
    <w:rsid w:val="001A63AD"/>
    <w:rsid w:val="001A6524"/>
    <w:rsid w:val="001A658B"/>
    <w:rsid w:val="001A6863"/>
    <w:rsid w:val="001A6B11"/>
    <w:rsid w:val="001A6C8F"/>
    <w:rsid w:val="001A6E9E"/>
    <w:rsid w:val="001A6F02"/>
    <w:rsid w:val="001A6F2C"/>
    <w:rsid w:val="001A71C4"/>
    <w:rsid w:val="001A7298"/>
    <w:rsid w:val="001A7345"/>
    <w:rsid w:val="001A75B0"/>
    <w:rsid w:val="001A7660"/>
    <w:rsid w:val="001A7820"/>
    <w:rsid w:val="001A783C"/>
    <w:rsid w:val="001A79A1"/>
    <w:rsid w:val="001A7C50"/>
    <w:rsid w:val="001A7FF0"/>
    <w:rsid w:val="001B01D7"/>
    <w:rsid w:val="001B01EA"/>
    <w:rsid w:val="001B0448"/>
    <w:rsid w:val="001B0489"/>
    <w:rsid w:val="001B083A"/>
    <w:rsid w:val="001B08C2"/>
    <w:rsid w:val="001B0B3C"/>
    <w:rsid w:val="001B0BE2"/>
    <w:rsid w:val="001B0D2A"/>
    <w:rsid w:val="001B0D33"/>
    <w:rsid w:val="001B0D92"/>
    <w:rsid w:val="001B0FEA"/>
    <w:rsid w:val="001B1183"/>
    <w:rsid w:val="001B179D"/>
    <w:rsid w:val="001B17B6"/>
    <w:rsid w:val="001B1820"/>
    <w:rsid w:val="001B1D1B"/>
    <w:rsid w:val="001B1EC9"/>
    <w:rsid w:val="001B1FB2"/>
    <w:rsid w:val="001B1FF8"/>
    <w:rsid w:val="001B2022"/>
    <w:rsid w:val="001B207B"/>
    <w:rsid w:val="001B22F1"/>
    <w:rsid w:val="001B2500"/>
    <w:rsid w:val="001B2C64"/>
    <w:rsid w:val="001B2ED4"/>
    <w:rsid w:val="001B2F4D"/>
    <w:rsid w:val="001B2F4E"/>
    <w:rsid w:val="001B33EC"/>
    <w:rsid w:val="001B340D"/>
    <w:rsid w:val="001B3ACB"/>
    <w:rsid w:val="001B3AE1"/>
    <w:rsid w:val="001B3C95"/>
    <w:rsid w:val="001B3CF7"/>
    <w:rsid w:val="001B40FB"/>
    <w:rsid w:val="001B4256"/>
    <w:rsid w:val="001B44F9"/>
    <w:rsid w:val="001B479A"/>
    <w:rsid w:val="001B4840"/>
    <w:rsid w:val="001B4983"/>
    <w:rsid w:val="001B49C4"/>
    <w:rsid w:val="001B4A21"/>
    <w:rsid w:val="001B4B68"/>
    <w:rsid w:val="001B4F59"/>
    <w:rsid w:val="001B50A6"/>
    <w:rsid w:val="001B518C"/>
    <w:rsid w:val="001B573F"/>
    <w:rsid w:val="001B5853"/>
    <w:rsid w:val="001B58C3"/>
    <w:rsid w:val="001B5C1C"/>
    <w:rsid w:val="001B5D3E"/>
    <w:rsid w:val="001B5F48"/>
    <w:rsid w:val="001B62CC"/>
    <w:rsid w:val="001B6416"/>
    <w:rsid w:val="001B64BE"/>
    <w:rsid w:val="001B70B3"/>
    <w:rsid w:val="001B764D"/>
    <w:rsid w:val="001B764E"/>
    <w:rsid w:val="001B766D"/>
    <w:rsid w:val="001B7695"/>
    <w:rsid w:val="001B7905"/>
    <w:rsid w:val="001B7C52"/>
    <w:rsid w:val="001B7F20"/>
    <w:rsid w:val="001C02CC"/>
    <w:rsid w:val="001C06F8"/>
    <w:rsid w:val="001C07E6"/>
    <w:rsid w:val="001C0D38"/>
    <w:rsid w:val="001C0E19"/>
    <w:rsid w:val="001C0F5C"/>
    <w:rsid w:val="001C102D"/>
    <w:rsid w:val="001C1616"/>
    <w:rsid w:val="001C1667"/>
    <w:rsid w:val="001C1688"/>
    <w:rsid w:val="001C1770"/>
    <w:rsid w:val="001C1CCC"/>
    <w:rsid w:val="001C21AA"/>
    <w:rsid w:val="001C226C"/>
    <w:rsid w:val="001C22C0"/>
    <w:rsid w:val="001C2495"/>
    <w:rsid w:val="001C2748"/>
    <w:rsid w:val="001C2900"/>
    <w:rsid w:val="001C2D03"/>
    <w:rsid w:val="001C2E38"/>
    <w:rsid w:val="001C3054"/>
    <w:rsid w:val="001C30D2"/>
    <w:rsid w:val="001C312C"/>
    <w:rsid w:val="001C32D9"/>
    <w:rsid w:val="001C3415"/>
    <w:rsid w:val="001C347E"/>
    <w:rsid w:val="001C35B8"/>
    <w:rsid w:val="001C35EB"/>
    <w:rsid w:val="001C3716"/>
    <w:rsid w:val="001C37CB"/>
    <w:rsid w:val="001C3A4F"/>
    <w:rsid w:val="001C3A72"/>
    <w:rsid w:val="001C3B5A"/>
    <w:rsid w:val="001C3FDF"/>
    <w:rsid w:val="001C41D6"/>
    <w:rsid w:val="001C42B6"/>
    <w:rsid w:val="001C42E0"/>
    <w:rsid w:val="001C439D"/>
    <w:rsid w:val="001C4690"/>
    <w:rsid w:val="001C4771"/>
    <w:rsid w:val="001C47B3"/>
    <w:rsid w:val="001C48A3"/>
    <w:rsid w:val="001C4A92"/>
    <w:rsid w:val="001C4BE2"/>
    <w:rsid w:val="001C4CB2"/>
    <w:rsid w:val="001C4E83"/>
    <w:rsid w:val="001C4F69"/>
    <w:rsid w:val="001C52AB"/>
    <w:rsid w:val="001C5413"/>
    <w:rsid w:val="001C56E9"/>
    <w:rsid w:val="001C5712"/>
    <w:rsid w:val="001C599E"/>
    <w:rsid w:val="001C5A2B"/>
    <w:rsid w:val="001C5CAA"/>
    <w:rsid w:val="001C633A"/>
    <w:rsid w:val="001C6453"/>
    <w:rsid w:val="001C672C"/>
    <w:rsid w:val="001C69B2"/>
    <w:rsid w:val="001C6AB9"/>
    <w:rsid w:val="001C6C32"/>
    <w:rsid w:val="001C6D3B"/>
    <w:rsid w:val="001C6D88"/>
    <w:rsid w:val="001C6E57"/>
    <w:rsid w:val="001C6E9B"/>
    <w:rsid w:val="001C7008"/>
    <w:rsid w:val="001C711F"/>
    <w:rsid w:val="001C71DA"/>
    <w:rsid w:val="001C7559"/>
    <w:rsid w:val="001C761E"/>
    <w:rsid w:val="001C7973"/>
    <w:rsid w:val="001C7A13"/>
    <w:rsid w:val="001C7CEE"/>
    <w:rsid w:val="001C7FB7"/>
    <w:rsid w:val="001C7FD7"/>
    <w:rsid w:val="001D0417"/>
    <w:rsid w:val="001D0599"/>
    <w:rsid w:val="001D05CC"/>
    <w:rsid w:val="001D097B"/>
    <w:rsid w:val="001D0CA3"/>
    <w:rsid w:val="001D119F"/>
    <w:rsid w:val="001D1442"/>
    <w:rsid w:val="001D1649"/>
    <w:rsid w:val="001D188B"/>
    <w:rsid w:val="001D20A2"/>
    <w:rsid w:val="001D2228"/>
    <w:rsid w:val="001D2230"/>
    <w:rsid w:val="001D2973"/>
    <w:rsid w:val="001D2A78"/>
    <w:rsid w:val="001D2B68"/>
    <w:rsid w:val="001D2BCA"/>
    <w:rsid w:val="001D2E83"/>
    <w:rsid w:val="001D302C"/>
    <w:rsid w:val="001D30E0"/>
    <w:rsid w:val="001D3254"/>
    <w:rsid w:val="001D3FB8"/>
    <w:rsid w:val="001D40BD"/>
    <w:rsid w:val="001D41C1"/>
    <w:rsid w:val="001D43B1"/>
    <w:rsid w:val="001D43EF"/>
    <w:rsid w:val="001D4596"/>
    <w:rsid w:val="001D4792"/>
    <w:rsid w:val="001D4AA4"/>
    <w:rsid w:val="001D4C41"/>
    <w:rsid w:val="001D4D56"/>
    <w:rsid w:val="001D4DED"/>
    <w:rsid w:val="001D5029"/>
    <w:rsid w:val="001D50E1"/>
    <w:rsid w:val="001D5148"/>
    <w:rsid w:val="001D5194"/>
    <w:rsid w:val="001D5388"/>
    <w:rsid w:val="001D55E4"/>
    <w:rsid w:val="001D57D7"/>
    <w:rsid w:val="001D5856"/>
    <w:rsid w:val="001D58D9"/>
    <w:rsid w:val="001D59D4"/>
    <w:rsid w:val="001D5C5F"/>
    <w:rsid w:val="001D608E"/>
    <w:rsid w:val="001D61B6"/>
    <w:rsid w:val="001D6393"/>
    <w:rsid w:val="001D644D"/>
    <w:rsid w:val="001D64F9"/>
    <w:rsid w:val="001D6554"/>
    <w:rsid w:val="001D66E1"/>
    <w:rsid w:val="001D66E3"/>
    <w:rsid w:val="001D6840"/>
    <w:rsid w:val="001D684E"/>
    <w:rsid w:val="001D697F"/>
    <w:rsid w:val="001D6991"/>
    <w:rsid w:val="001D69E5"/>
    <w:rsid w:val="001D6AE6"/>
    <w:rsid w:val="001D6D3C"/>
    <w:rsid w:val="001D6DBB"/>
    <w:rsid w:val="001D6E28"/>
    <w:rsid w:val="001D6F1B"/>
    <w:rsid w:val="001D709E"/>
    <w:rsid w:val="001D757F"/>
    <w:rsid w:val="001D7BAA"/>
    <w:rsid w:val="001E0058"/>
    <w:rsid w:val="001E01D6"/>
    <w:rsid w:val="001E0244"/>
    <w:rsid w:val="001E05D4"/>
    <w:rsid w:val="001E0AB4"/>
    <w:rsid w:val="001E0C35"/>
    <w:rsid w:val="001E0C3B"/>
    <w:rsid w:val="001E0CDD"/>
    <w:rsid w:val="001E136E"/>
    <w:rsid w:val="001E1895"/>
    <w:rsid w:val="001E1A4A"/>
    <w:rsid w:val="001E1D8B"/>
    <w:rsid w:val="001E1F48"/>
    <w:rsid w:val="001E2759"/>
    <w:rsid w:val="001E2BD0"/>
    <w:rsid w:val="001E2BDC"/>
    <w:rsid w:val="001E2DDB"/>
    <w:rsid w:val="001E3305"/>
    <w:rsid w:val="001E340A"/>
    <w:rsid w:val="001E34CA"/>
    <w:rsid w:val="001E361F"/>
    <w:rsid w:val="001E38B8"/>
    <w:rsid w:val="001E39E3"/>
    <w:rsid w:val="001E3AAD"/>
    <w:rsid w:val="001E3AAE"/>
    <w:rsid w:val="001E3B44"/>
    <w:rsid w:val="001E3E1D"/>
    <w:rsid w:val="001E3E85"/>
    <w:rsid w:val="001E4106"/>
    <w:rsid w:val="001E41C8"/>
    <w:rsid w:val="001E4768"/>
    <w:rsid w:val="001E491D"/>
    <w:rsid w:val="001E4ABD"/>
    <w:rsid w:val="001E4BC5"/>
    <w:rsid w:val="001E4F6C"/>
    <w:rsid w:val="001E4FA3"/>
    <w:rsid w:val="001E4FBC"/>
    <w:rsid w:val="001E5125"/>
    <w:rsid w:val="001E5257"/>
    <w:rsid w:val="001E52B0"/>
    <w:rsid w:val="001E52C2"/>
    <w:rsid w:val="001E5411"/>
    <w:rsid w:val="001E566A"/>
    <w:rsid w:val="001E5687"/>
    <w:rsid w:val="001E56BB"/>
    <w:rsid w:val="001E587B"/>
    <w:rsid w:val="001E5AA5"/>
    <w:rsid w:val="001E5E79"/>
    <w:rsid w:val="001E5F37"/>
    <w:rsid w:val="001E607B"/>
    <w:rsid w:val="001E6128"/>
    <w:rsid w:val="001E632D"/>
    <w:rsid w:val="001E6449"/>
    <w:rsid w:val="001E6800"/>
    <w:rsid w:val="001E6913"/>
    <w:rsid w:val="001E6D78"/>
    <w:rsid w:val="001E6FF4"/>
    <w:rsid w:val="001E6FF6"/>
    <w:rsid w:val="001E7087"/>
    <w:rsid w:val="001E70B3"/>
    <w:rsid w:val="001E71F7"/>
    <w:rsid w:val="001E7482"/>
    <w:rsid w:val="001E74FF"/>
    <w:rsid w:val="001E7588"/>
    <w:rsid w:val="001E78A0"/>
    <w:rsid w:val="001E7B4F"/>
    <w:rsid w:val="001E7F22"/>
    <w:rsid w:val="001F03CC"/>
    <w:rsid w:val="001F03E8"/>
    <w:rsid w:val="001F044F"/>
    <w:rsid w:val="001F08D5"/>
    <w:rsid w:val="001F0B59"/>
    <w:rsid w:val="001F0FFD"/>
    <w:rsid w:val="001F1322"/>
    <w:rsid w:val="001F13EF"/>
    <w:rsid w:val="001F16E9"/>
    <w:rsid w:val="001F1741"/>
    <w:rsid w:val="001F17BC"/>
    <w:rsid w:val="001F19EA"/>
    <w:rsid w:val="001F1A28"/>
    <w:rsid w:val="001F1C9E"/>
    <w:rsid w:val="001F1F87"/>
    <w:rsid w:val="001F202F"/>
    <w:rsid w:val="001F2091"/>
    <w:rsid w:val="001F22A0"/>
    <w:rsid w:val="001F27EE"/>
    <w:rsid w:val="001F2871"/>
    <w:rsid w:val="001F2A8E"/>
    <w:rsid w:val="001F2CAE"/>
    <w:rsid w:val="001F2D15"/>
    <w:rsid w:val="001F3030"/>
    <w:rsid w:val="001F3485"/>
    <w:rsid w:val="001F3975"/>
    <w:rsid w:val="001F3C7A"/>
    <w:rsid w:val="001F3E50"/>
    <w:rsid w:val="001F3EA1"/>
    <w:rsid w:val="001F433D"/>
    <w:rsid w:val="001F4652"/>
    <w:rsid w:val="001F4872"/>
    <w:rsid w:val="001F4A78"/>
    <w:rsid w:val="001F4BEB"/>
    <w:rsid w:val="001F4D83"/>
    <w:rsid w:val="001F4EBD"/>
    <w:rsid w:val="001F5034"/>
    <w:rsid w:val="001F5073"/>
    <w:rsid w:val="001F511A"/>
    <w:rsid w:val="001F53EE"/>
    <w:rsid w:val="001F56CE"/>
    <w:rsid w:val="001F5938"/>
    <w:rsid w:val="001F5A7C"/>
    <w:rsid w:val="001F5CC4"/>
    <w:rsid w:val="001F5D31"/>
    <w:rsid w:val="001F5F44"/>
    <w:rsid w:val="001F6006"/>
    <w:rsid w:val="001F6240"/>
    <w:rsid w:val="001F6651"/>
    <w:rsid w:val="001F6808"/>
    <w:rsid w:val="001F6910"/>
    <w:rsid w:val="001F698B"/>
    <w:rsid w:val="001F70D4"/>
    <w:rsid w:val="001F71D4"/>
    <w:rsid w:val="001F72B8"/>
    <w:rsid w:val="001F73EE"/>
    <w:rsid w:val="001F754A"/>
    <w:rsid w:val="001F78FD"/>
    <w:rsid w:val="001F79A2"/>
    <w:rsid w:val="001F7C4B"/>
    <w:rsid w:val="00200B50"/>
    <w:rsid w:val="00200C26"/>
    <w:rsid w:val="0020103E"/>
    <w:rsid w:val="0020110D"/>
    <w:rsid w:val="00201174"/>
    <w:rsid w:val="00201273"/>
    <w:rsid w:val="002012EC"/>
    <w:rsid w:val="00201338"/>
    <w:rsid w:val="002018F6"/>
    <w:rsid w:val="00201930"/>
    <w:rsid w:val="00201E6B"/>
    <w:rsid w:val="00201EE2"/>
    <w:rsid w:val="00201F27"/>
    <w:rsid w:val="002024A5"/>
    <w:rsid w:val="00202B73"/>
    <w:rsid w:val="00202BA3"/>
    <w:rsid w:val="00202BDA"/>
    <w:rsid w:val="00202F1B"/>
    <w:rsid w:val="00202FD7"/>
    <w:rsid w:val="00203375"/>
    <w:rsid w:val="0020344E"/>
    <w:rsid w:val="002034A7"/>
    <w:rsid w:val="002037B4"/>
    <w:rsid w:val="0020389B"/>
    <w:rsid w:val="0020399A"/>
    <w:rsid w:val="00203A9A"/>
    <w:rsid w:val="00203C3F"/>
    <w:rsid w:val="00203D98"/>
    <w:rsid w:val="00203DF0"/>
    <w:rsid w:val="002040DB"/>
    <w:rsid w:val="00204197"/>
    <w:rsid w:val="002041C7"/>
    <w:rsid w:val="00204205"/>
    <w:rsid w:val="002042B6"/>
    <w:rsid w:val="002046FB"/>
    <w:rsid w:val="00204AAD"/>
    <w:rsid w:val="00204B3F"/>
    <w:rsid w:val="00204C4F"/>
    <w:rsid w:val="00205218"/>
    <w:rsid w:val="0020557C"/>
    <w:rsid w:val="00205AAB"/>
    <w:rsid w:val="00205B70"/>
    <w:rsid w:val="00205BF6"/>
    <w:rsid w:val="00205EF6"/>
    <w:rsid w:val="002062D1"/>
    <w:rsid w:val="00206531"/>
    <w:rsid w:val="002065A6"/>
    <w:rsid w:val="00206AC4"/>
    <w:rsid w:val="00207322"/>
    <w:rsid w:val="00207450"/>
    <w:rsid w:val="00207607"/>
    <w:rsid w:val="0020783B"/>
    <w:rsid w:val="00207890"/>
    <w:rsid w:val="00207909"/>
    <w:rsid w:val="0020792A"/>
    <w:rsid w:val="0020799A"/>
    <w:rsid w:val="00207ADA"/>
    <w:rsid w:val="00210341"/>
    <w:rsid w:val="0021036E"/>
    <w:rsid w:val="00210562"/>
    <w:rsid w:val="002108C6"/>
    <w:rsid w:val="00210938"/>
    <w:rsid w:val="00210AD1"/>
    <w:rsid w:val="00210BD4"/>
    <w:rsid w:val="00210C1B"/>
    <w:rsid w:val="002110BC"/>
    <w:rsid w:val="002110EA"/>
    <w:rsid w:val="00211133"/>
    <w:rsid w:val="0021148C"/>
    <w:rsid w:val="00211701"/>
    <w:rsid w:val="0021184A"/>
    <w:rsid w:val="0021187E"/>
    <w:rsid w:val="002118D6"/>
    <w:rsid w:val="00211A3E"/>
    <w:rsid w:val="00211EE3"/>
    <w:rsid w:val="00211FAE"/>
    <w:rsid w:val="00212635"/>
    <w:rsid w:val="00212828"/>
    <w:rsid w:val="0021283B"/>
    <w:rsid w:val="0021284E"/>
    <w:rsid w:val="002128BC"/>
    <w:rsid w:val="00212E9F"/>
    <w:rsid w:val="00212FE5"/>
    <w:rsid w:val="0021323D"/>
    <w:rsid w:val="002136A9"/>
    <w:rsid w:val="00213948"/>
    <w:rsid w:val="0021395B"/>
    <w:rsid w:val="00213A89"/>
    <w:rsid w:val="00213A98"/>
    <w:rsid w:val="00213BB9"/>
    <w:rsid w:val="00213EDD"/>
    <w:rsid w:val="00213FB6"/>
    <w:rsid w:val="002140A8"/>
    <w:rsid w:val="0021410C"/>
    <w:rsid w:val="002142DD"/>
    <w:rsid w:val="0021432F"/>
    <w:rsid w:val="0021447A"/>
    <w:rsid w:val="00214588"/>
    <w:rsid w:val="002145D2"/>
    <w:rsid w:val="002145E6"/>
    <w:rsid w:val="002146AF"/>
    <w:rsid w:val="00214856"/>
    <w:rsid w:val="002148DC"/>
    <w:rsid w:val="00214B0C"/>
    <w:rsid w:val="00214CB3"/>
    <w:rsid w:val="00214D82"/>
    <w:rsid w:val="00215166"/>
    <w:rsid w:val="00215387"/>
    <w:rsid w:val="00215B48"/>
    <w:rsid w:val="002162FC"/>
    <w:rsid w:val="00216454"/>
    <w:rsid w:val="002164E1"/>
    <w:rsid w:val="002164F6"/>
    <w:rsid w:val="00216526"/>
    <w:rsid w:val="0021657C"/>
    <w:rsid w:val="00216987"/>
    <w:rsid w:val="00216BA9"/>
    <w:rsid w:val="00216D91"/>
    <w:rsid w:val="00216F84"/>
    <w:rsid w:val="00217043"/>
    <w:rsid w:val="00217050"/>
    <w:rsid w:val="0021732A"/>
    <w:rsid w:val="002173E6"/>
    <w:rsid w:val="00217954"/>
    <w:rsid w:val="002179A4"/>
    <w:rsid w:val="002179CC"/>
    <w:rsid w:val="002179E9"/>
    <w:rsid w:val="00217BD2"/>
    <w:rsid w:val="002201FF"/>
    <w:rsid w:val="002202A5"/>
    <w:rsid w:val="002203A2"/>
    <w:rsid w:val="002203D6"/>
    <w:rsid w:val="00220808"/>
    <w:rsid w:val="002209BE"/>
    <w:rsid w:val="002209C3"/>
    <w:rsid w:val="00220AC5"/>
    <w:rsid w:val="00220E3C"/>
    <w:rsid w:val="00220FE6"/>
    <w:rsid w:val="00221170"/>
    <w:rsid w:val="002211D0"/>
    <w:rsid w:val="00221296"/>
    <w:rsid w:val="002212CA"/>
    <w:rsid w:val="0022155F"/>
    <w:rsid w:val="0022167C"/>
    <w:rsid w:val="00221937"/>
    <w:rsid w:val="00221EF0"/>
    <w:rsid w:val="0022254C"/>
    <w:rsid w:val="00222790"/>
    <w:rsid w:val="00222E1D"/>
    <w:rsid w:val="00222E58"/>
    <w:rsid w:val="002231D0"/>
    <w:rsid w:val="00223262"/>
    <w:rsid w:val="00223405"/>
    <w:rsid w:val="00223471"/>
    <w:rsid w:val="002236BE"/>
    <w:rsid w:val="0022387A"/>
    <w:rsid w:val="00223A6D"/>
    <w:rsid w:val="00223C10"/>
    <w:rsid w:val="00224124"/>
    <w:rsid w:val="00224140"/>
    <w:rsid w:val="002241DA"/>
    <w:rsid w:val="0022455A"/>
    <w:rsid w:val="00224573"/>
    <w:rsid w:val="002245FC"/>
    <w:rsid w:val="00224CDF"/>
    <w:rsid w:val="00224CE0"/>
    <w:rsid w:val="00225230"/>
    <w:rsid w:val="002255A9"/>
    <w:rsid w:val="0022575D"/>
    <w:rsid w:val="0022589F"/>
    <w:rsid w:val="00225A17"/>
    <w:rsid w:val="00225A3A"/>
    <w:rsid w:val="00225A82"/>
    <w:rsid w:val="00225C25"/>
    <w:rsid w:val="00225C5A"/>
    <w:rsid w:val="002262B5"/>
    <w:rsid w:val="002262BD"/>
    <w:rsid w:val="0022643F"/>
    <w:rsid w:val="00226566"/>
    <w:rsid w:val="00226C8B"/>
    <w:rsid w:val="00226D5D"/>
    <w:rsid w:val="00226DD5"/>
    <w:rsid w:val="00226FCE"/>
    <w:rsid w:val="002275F5"/>
    <w:rsid w:val="0022794C"/>
    <w:rsid w:val="00227AE3"/>
    <w:rsid w:val="00227BB7"/>
    <w:rsid w:val="00227FB7"/>
    <w:rsid w:val="0023040F"/>
    <w:rsid w:val="00230789"/>
    <w:rsid w:val="00230A86"/>
    <w:rsid w:val="00230E48"/>
    <w:rsid w:val="0023110D"/>
    <w:rsid w:val="002315F5"/>
    <w:rsid w:val="00231798"/>
    <w:rsid w:val="00231AE0"/>
    <w:rsid w:val="00232344"/>
    <w:rsid w:val="002329A6"/>
    <w:rsid w:val="00233032"/>
    <w:rsid w:val="00233068"/>
    <w:rsid w:val="0023329A"/>
    <w:rsid w:val="002335BA"/>
    <w:rsid w:val="00233852"/>
    <w:rsid w:val="002339C2"/>
    <w:rsid w:val="00233FCF"/>
    <w:rsid w:val="00234239"/>
    <w:rsid w:val="002344D1"/>
    <w:rsid w:val="00234972"/>
    <w:rsid w:val="00234A49"/>
    <w:rsid w:val="00234A7C"/>
    <w:rsid w:val="00234EAE"/>
    <w:rsid w:val="00234F63"/>
    <w:rsid w:val="0023508C"/>
    <w:rsid w:val="00235346"/>
    <w:rsid w:val="00235380"/>
    <w:rsid w:val="0023555E"/>
    <w:rsid w:val="002356C2"/>
    <w:rsid w:val="00235CEE"/>
    <w:rsid w:val="00235D8F"/>
    <w:rsid w:val="00235E1D"/>
    <w:rsid w:val="00235F0E"/>
    <w:rsid w:val="00235F61"/>
    <w:rsid w:val="00235FD1"/>
    <w:rsid w:val="0023601E"/>
    <w:rsid w:val="00236378"/>
    <w:rsid w:val="00236703"/>
    <w:rsid w:val="002367F5"/>
    <w:rsid w:val="00236DF4"/>
    <w:rsid w:val="00236E2F"/>
    <w:rsid w:val="00237089"/>
    <w:rsid w:val="00237158"/>
    <w:rsid w:val="0023741B"/>
    <w:rsid w:val="002374CC"/>
    <w:rsid w:val="0023752B"/>
    <w:rsid w:val="002375EF"/>
    <w:rsid w:val="0023774E"/>
    <w:rsid w:val="00237758"/>
    <w:rsid w:val="002379E3"/>
    <w:rsid w:val="00237AC6"/>
    <w:rsid w:val="00237B57"/>
    <w:rsid w:val="00237B7E"/>
    <w:rsid w:val="00237D1F"/>
    <w:rsid w:val="00237E95"/>
    <w:rsid w:val="00237EA3"/>
    <w:rsid w:val="00237F97"/>
    <w:rsid w:val="002404B3"/>
    <w:rsid w:val="00240597"/>
    <w:rsid w:val="002409B1"/>
    <w:rsid w:val="00240A12"/>
    <w:rsid w:val="00240AB6"/>
    <w:rsid w:val="00240EE1"/>
    <w:rsid w:val="00240F29"/>
    <w:rsid w:val="00241302"/>
    <w:rsid w:val="00241375"/>
    <w:rsid w:val="00241410"/>
    <w:rsid w:val="0024154D"/>
    <w:rsid w:val="002416BF"/>
    <w:rsid w:val="00241786"/>
    <w:rsid w:val="00241A06"/>
    <w:rsid w:val="002422DF"/>
    <w:rsid w:val="0024238D"/>
    <w:rsid w:val="00242716"/>
    <w:rsid w:val="0024279E"/>
    <w:rsid w:val="002427FA"/>
    <w:rsid w:val="00242A4A"/>
    <w:rsid w:val="00242AEA"/>
    <w:rsid w:val="00242B34"/>
    <w:rsid w:val="00242BAB"/>
    <w:rsid w:val="00243392"/>
    <w:rsid w:val="002433FD"/>
    <w:rsid w:val="00243489"/>
    <w:rsid w:val="002438D2"/>
    <w:rsid w:val="002439E2"/>
    <w:rsid w:val="00243CD8"/>
    <w:rsid w:val="00243EAC"/>
    <w:rsid w:val="002442CA"/>
    <w:rsid w:val="00244377"/>
    <w:rsid w:val="00244720"/>
    <w:rsid w:val="00244795"/>
    <w:rsid w:val="0024481F"/>
    <w:rsid w:val="00244865"/>
    <w:rsid w:val="00244A26"/>
    <w:rsid w:val="00244B20"/>
    <w:rsid w:val="00244E4E"/>
    <w:rsid w:val="0024504C"/>
    <w:rsid w:val="0024583D"/>
    <w:rsid w:val="00245A99"/>
    <w:rsid w:val="00245E67"/>
    <w:rsid w:val="00246091"/>
    <w:rsid w:val="002461BC"/>
    <w:rsid w:val="002461DF"/>
    <w:rsid w:val="002466B6"/>
    <w:rsid w:val="002468CA"/>
    <w:rsid w:val="00246908"/>
    <w:rsid w:val="00246BC5"/>
    <w:rsid w:val="00246BDE"/>
    <w:rsid w:val="00246D41"/>
    <w:rsid w:val="00246EA2"/>
    <w:rsid w:val="00246F5F"/>
    <w:rsid w:val="00246FA3"/>
    <w:rsid w:val="0024704F"/>
    <w:rsid w:val="002471AA"/>
    <w:rsid w:val="0024749F"/>
    <w:rsid w:val="002474DB"/>
    <w:rsid w:val="002475AA"/>
    <w:rsid w:val="002476EE"/>
    <w:rsid w:val="00247C15"/>
    <w:rsid w:val="00247CD7"/>
    <w:rsid w:val="00247EBA"/>
    <w:rsid w:val="002501E6"/>
    <w:rsid w:val="002504AC"/>
    <w:rsid w:val="00250507"/>
    <w:rsid w:val="002507A4"/>
    <w:rsid w:val="00250943"/>
    <w:rsid w:val="002509C3"/>
    <w:rsid w:val="00250F5E"/>
    <w:rsid w:val="00251256"/>
    <w:rsid w:val="00251705"/>
    <w:rsid w:val="0025190C"/>
    <w:rsid w:val="00251ACE"/>
    <w:rsid w:val="00251DBE"/>
    <w:rsid w:val="00251FDA"/>
    <w:rsid w:val="0025216D"/>
    <w:rsid w:val="00252881"/>
    <w:rsid w:val="002529DA"/>
    <w:rsid w:val="00252A44"/>
    <w:rsid w:val="00252AB8"/>
    <w:rsid w:val="00252AF0"/>
    <w:rsid w:val="00252BD6"/>
    <w:rsid w:val="00252D45"/>
    <w:rsid w:val="00252EFF"/>
    <w:rsid w:val="0025306B"/>
    <w:rsid w:val="002532B7"/>
    <w:rsid w:val="0025337D"/>
    <w:rsid w:val="002535A4"/>
    <w:rsid w:val="00253888"/>
    <w:rsid w:val="00253BEF"/>
    <w:rsid w:val="00253E24"/>
    <w:rsid w:val="00253F11"/>
    <w:rsid w:val="00254019"/>
    <w:rsid w:val="002544DF"/>
    <w:rsid w:val="0025466A"/>
    <w:rsid w:val="002547FF"/>
    <w:rsid w:val="002548CC"/>
    <w:rsid w:val="00254923"/>
    <w:rsid w:val="00254977"/>
    <w:rsid w:val="00254A8E"/>
    <w:rsid w:val="00254FED"/>
    <w:rsid w:val="00255172"/>
    <w:rsid w:val="002553DE"/>
    <w:rsid w:val="0025574C"/>
    <w:rsid w:val="002557BB"/>
    <w:rsid w:val="00255CE2"/>
    <w:rsid w:val="00255E0B"/>
    <w:rsid w:val="00255FDC"/>
    <w:rsid w:val="0025621F"/>
    <w:rsid w:val="00256280"/>
    <w:rsid w:val="00256897"/>
    <w:rsid w:val="00256AC3"/>
    <w:rsid w:val="00256AF5"/>
    <w:rsid w:val="00256BD1"/>
    <w:rsid w:val="00256C69"/>
    <w:rsid w:val="00256DAC"/>
    <w:rsid w:val="00256E78"/>
    <w:rsid w:val="00256ED5"/>
    <w:rsid w:val="002573CD"/>
    <w:rsid w:val="00257CAB"/>
    <w:rsid w:val="00257D9D"/>
    <w:rsid w:val="00260399"/>
    <w:rsid w:val="002605D9"/>
    <w:rsid w:val="00260782"/>
    <w:rsid w:val="00260877"/>
    <w:rsid w:val="002608F5"/>
    <w:rsid w:val="0026091F"/>
    <w:rsid w:val="00260A85"/>
    <w:rsid w:val="00260F44"/>
    <w:rsid w:val="002610E1"/>
    <w:rsid w:val="002611FC"/>
    <w:rsid w:val="00261BE2"/>
    <w:rsid w:val="00261FB1"/>
    <w:rsid w:val="00262328"/>
    <w:rsid w:val="00262397"/>
    <w:rsid w:val="002624B8"/>
    <w:rsid w:val="002625DD"/>
    <w:rsid w:val="00262757"/>
    <w:rsid w:val="002627B1"/>
    <w:rsid w:val="00262818"/>
    <w:rsid w:val="00262927"/>
    <w:rsid w:val="00262951"/>
    <w:rsid w:val="002629AA"/>
    <w:rsid w:val="002629D6"/>
    <w:rsid w:val="00262D50"/>
    <w:rsid w:val="00262E83"/>
    <w:rsid w:val="00263448"/>
    <w:rsid w:val="0026353D"/>
    <w:rsid w:val="00263B26"/>
    <w:rsid w:val="00263C73"/>
    <w:rsid w:val="00263E4D"/>
    <w:rsid w:val="002643B9"/>
    <w:rsid w:val="00264C80"/>
    <w:rsid w:val="00264DE4"/>
    <w:rsid w:val="00264F01"/>
    <w:rsid w:val="002651F1"/>
    <w:rsid w:val="00265212"/>
    <w:rsid w:val="002653C5"/>
    <w:rsid w:val="00265530"/>
    <w:rsid w:val="00265978"/>
    <w:rsid w:val="00265A7C"/>
    <w:rsid w:val="00265C4E"/>
    <w:rsid w:val="00265D6E"/>
    <w:rsid w:val="0026601D"/>
    <w:rsid w:val="0026631B"/>
    <w:rsid w:val="002663D7"/>
    <w:rsid w:val="0026652E"/>
    <w:rsid w:val="00266585"/>
    <w:rsid w:val="00266A39"/>
    <w:rsid w:val="00266A60"/>
    <w:rsid w:val="00266CE2"/>
    <w:rsid w:val="00266ED8"/>
    <w:rsid w:val="00266EE9"/>
    <w:rsid w:val="002676C4"/>
    <w:rsid w:val="0026797D"/>
    <w:rsid w:val="002679BD"/>
    <w:rsid w:val="00267B99"/>
    <w:rsid w:val="00267BA7"/>
    <w:rsid w:val="00267BE6"/>
    <w:rsid w:val="00267C8C"/>
    <w:rsid w:val="00267F67"/>
    <w:rsid w:val="002700C4"/>
    <w:rsid w:val="00270124"/>
    <w:rsid w:val="0027063C"/>
    <w:rsid w:val="00270757"/>
    <w:rsid w:val="00270838"/>
    <w:rsid w:val="00270C49"/>
    <w:rsid w:val="0027107D"/>
    <w:rsid w:val="00271200"/>
    <w:rsid w:val="00271239"/>
    <w:rsid w:val="0027184F"/>
    <w:rsid w:val="00271AD6"/>
    <w:rsid w:val="00271F86"/>
    <w:rsid w:val="00271FB8"/>
    <w:rsid w:val="002722B9"/>
    <w:rsid w:val="002723DB"/>
    <w:rsid w:val="0027245C"/>
    <w:rsid w:val="0027258D"/>
    <w:rsid w:val="0027265B"/>
    <w:rsid w:val="0027276D"/>
    <w:rsid w:val="00272B65"/>
    <w:rsid w:val="00272C22"/>
    <w:rsid w:val="00272E93"/>
    <w:rsid w:val="00272F58"/>
    <w:rsid w:val="002731DB"/>
    <w:rsid w:val="0027358A"/>
    <w:rsid w:val="002735A0"/>
    <w:rsid w:val="002735C4"/>
    <w:rsid w:val="00273ABD"/>
    <w:rsid w:val="00273B85"/>
    <w:rsid w:val="00273F51"/>
    <w:rsid w:val="002740EB"/>
    <w:rsid w:val="002740F3"/>
    <w:rsid w:val="002744BB"/>
    <w:rsid w:val="0027462B"/>
    <w:rsid w:val="002746AF"/>
    <w:rsid w:val="002747EC"/>
    <w:rsid w:val="00274BF2"/>
    <w:rsid w:val="00274C6B"/>
    <w:rsid w:val="002750B4"/>
    <w:rsid w:val="0027535E"/>
    <w:rsid w:val="002753E2"/>
    <w:rsid w:val="002756B8"/>
    <w:rsid w:val="00275AE7"/>
    <w:rsid w:val="00275CAE"/>
    <w:rsid w:val="00275CE1"/>
    <w:rsid w:val="00275D7D"/>
    <w:rsid w:val="002760FE"/>
    <w:rsid w:val="002764DA"/>
    <w:rsid w:val="002767CF"/>
    <w:rsid w:val="002768AE"/>
    <w:rsid w:val="002769CF"/>
    <w:rsid w:val="002769E9"/>
    <w:rsid w:val="00276A22"/>
    <w:rsid w:val="00276A25"/>
    <w:rsid w:val="00276C44"/>
    <w:rsid w:val="00276CA5"/>
    <w:rsid w:val="00277065"/>
    <w:rsid w:val="00277338"/>
    <w:rsid w:val="002773BE"/>
    <w:rsid w:val="002774FC"/>
    <w:rsid w:val="00277A58"/>
    <w:rsid w:val="00277B1A"/>
    <w:rsid w:val="00277B2D"/>
    <w:rsid w:val="00277C15"/>
    <w:rsid w:val="00277DC1"/>
    <w:rsid w:val="00277EC1"/>
    <w:rsid w:val="002800A7"/>
    <w:rsid w:val="002800B5"/>
    <w:rsid w:val="00280364"/>
    <w:rsid w:val="002804C9"/>
    <w:rsid w:val="002805BE"/>
    <w:rsid w:val="002806BA"/>
    <w:rsid w:val="002807D1"/>
    <w:rsid w:val="002808F3"/>
    <w:rsid w:val="00280B7D"/>
    <w:rsid w:val="002810AD"/>
    <w:rsid w:val="00281166"/>
    <w:rsid w:val="0028159F"/>
    <w:rsid w:val="00281651"/>
    <w:rsid w:val="0028185B"/>
    <w:rsid w:val="0028198D"/>
    <w:rsid w:val="00281D69"/>
    <w:rsid w:val="00281DDE"/>
    <w:rsid w:val="0028241C"/>
    <w:rsid w:val="00282438"/>
    <w:rsid w:val="002826E0"/>
    <w:rsid w:val="00282AA8"/>
    <w:rsid w:val="00282BED"/>
    <w:rsid w:val="00282C54"/>
    <w:rsid w:val="00282DB2"/>
    <w:rsid w:val="00282DF9"/>
    <w:rsid w:val="00283083"/>
    <w:rsid w:val="002830BA"/>
    <w:rsid w:val="0028320D"/>
    <w:rsid w:val="002832FD"/>
    <w:rsid w:val="00283398"/>
    <w:rsid w:val="002834AC"/>
    <w:rsid w:val="0028402F"/>
    <w:rsid w:val="0028424A"/>
    <w:rsid w:val="00284958"/>
    <w:rsid w:val="00284E63"/>
    <w:rsid w:val="00285334"/>
    <w:rsid w:val="00285422"/>
    <w:rsid w:val="00285682"/>
    <w:rsid w:val="002858F9"/>
    <w:rsid w:val="00285B85"/>
    <w:rsid w:val="00286042"/>
    <w:rsid w:val="0028628C"/>
    <w:rsid w:val="00286557"/>
    <w:rsid w:val="00286A64"/>
    <w:rsid w:val="00286AEC"/>
    <w:rsid w:val="00286CB4"/>
    <w:rsid w:val="00286E26"/>
    <w:rsid w:val="002870A1"/>
    <w:rsid w:val="0028748E"/>
    <w:rsid w:val="002874F3"/>
    <w:rsid w:val="002875C4"/>
    <w:rsid w:val="00287617"/>
    <w:rsid w:val="002876AD"/>
    <w:rsid w:val="002877CB"/>
    <w:rsid w:val="002878ED"/>
    <w:rsid w:val="00287E89"/>
    <w:rsid w:val="002900C5"/>
    <w:rsid w:val="002907AF"/>
    <w:rsid w:val="00290818"/>
    <w:rsid w:val="00290840"/>
    <w:rsid w:val="00290A67"/>
    <w:rsid w:val="00290A80"/>
    <w:rsid w:val="00290BAD"/>
    <w:rsid w:val="00290BBF"/>
    <w:rsid w:val="00290D90"/>
    <w:rsid w:val="00291023"/>
    <w:rsid w:val="002912B6"/>
    <w:rsid w:val="002912E2"/>
    <w:rsid w:val="00291A37"/>
    <w:rsid w:val="00291BD5"/>
    <w:rsid w:val="00291D6E"/>
    <w:rsid w:val="00292011"/>
    <w:rsid w:val="002920C1"/>
    <w:rsid w:val="002926AA"/>
    <w:rsid w:val="00292C60"/>
    <w:rsid w:val="00292FB2"/>
    <w:rsid w:val="00293302"/>
    <w:rsid w:val="002934CB"/>
    <w:rsid w:val="0029396E"/>
    <w:rsid w:val="00293C23"/>
    <w:rsid w:val="00293CDE"/>
    <w:rsid w:val="00293D9F"/>
    <w:rsid w:val="00294345"/>
    <w:rsid w:val="00294462"/>
    <w:rsid w:val="00294844"/>
    <w:rsid w:val="002949F3"/>
    <w:rsid w:val="00294A56"/>
    <w:rsid w:val="00294B10"/>
    <w:rsid w:val="00294B2C"/>
    <w:rsid w:val="00294C73"/>
    <w:rsid w:val="00294FFA"/>
    <w:rsid w:val="0029525F"/>
    <w:rsid w:val="002954DF"/>
    <w:rsid w:val="00295876"/>
    <w:rsid w:val="00295D01"/>
    <w:rsid w:val="00295F0D"/>
    <w:rsid w:val="002961F1"/>
    <w:rsid w:val="002966F7"/>
    <w:rsid w:val="00296770"/>
    <w:rsid w:val="00296A14"/>
    <w:rsid w:val="00296A51"/>
    <w:rsid w:val="00296A72"/>
    <w:rsid w:val="0029702A"/>
    <w:rsid w:val="002972A2"/>
    <w:rsid w:val="002972AC"/>
    <w:rsid w:val="00297630"/>
    <w:rsid w:val="002976E9"/>
    <w:rsid w:val="00297A6C"/>
    <w:rsid w:val="00297AF4"/>
    <w:rsid w:val="00297C10"/>
    <w:rsid w:val="00297CF5"/>
    <w:rsid w:val="002A000A"/>
    <w:rsid w:val="002A0316"/>
    <w:rsid w:val="002A07B2"/>
    <w:rsid w:val="002A0A28"/>
    <w:rsid w:val="002A0B18"/>
    <w:rsid w:val="002A0CC3"/>
    <w:rsid w:val="002A0D3D"/>
    <w:rsid w:val="002A0DA4"/>
    <w:rsid w:val="002A151F"/>
    <w:rsid w:val="002A173F"/>
    <w:rsid w:val="002A19FB"/>
    <w:rsid w:val="002A1BBA"/>
    <w:rsid w:val="002A24B2"/>
    <w:rsid w:val="002A2946"/>
    <w:rsid w:val="002A2B57"/>
    <w:rsid w:val="002A2C89"/>
    <w:rsid w:val="002A2F59"/>
    <w:rsid w:val="002A315E"/>
    <w:rsid w:val="002A31FF"/>
    <w:rsid w:val="002A33CD"/>
    <w:rsid w:val="002A3783"/>
    <w:rsid w:val="002A381F"/>
    <w:rsid w:val="002A3886"/>
    <w:rsid w:val="002A3905"/>
    <w:rsid w:val="002A3C2A"/>
    <w:rsid w:val="002A409A"/>
    <w:rsid w:val="002A42C3"/>
    <w:rsid w:val="002A44CE"/>
    <w:rsid w:val="002A4542"/>
    <w:rsid w:val="002A4547"/>
    <w:rsid w:val="002A4652"/>
    <w:rsid w:val="002A467C"/>
    <w:rsid w:val="002A49DC"/>
    <w:rsid w:val="002A4DE2"/>
    <w:rsid w:val="002A52F7"/>
    <w:rsid w:val="002A550A"/>
    <w:rsid w:val="002A59F0"/>
    <w:rsid w:val="002A5E7A"/>
    <w:rsid w:val="002A61F0"/>
    <w:rsid w:val="002A63C7"/>
    <w:rsid w:val="002A64A0"/>
    <w:rsid w:val="002A67C7"/>
    <w:rsid w:val="002A680D"/>
    <w:rsid w:val="002A6C0C"/>
    <w:rsid w:val="002A6E86"/>
    <w:rsid w:val="002A7292"/>
    <w:rsid w:val="002A73DF"/>
    <w:rsid w:val="002A751A"/>
    <w:rsid w:val="002A75E6"/>
    <w:rsid w:val="002A76C8"/>
    <w:rsid w:val="002A7764"/>
    <w:rsid w:val="002A7A91"/>
    <w:rsid w:val="002A7AC5"/>
    <w:rsid w:val="002A7C53"/>
    <w:rsid w:val="002A7F4A"/>
    <w:rsid w:val="002B00BF"/>
    <w:rsid w:val="002B027E"/>
    <w:rsid w:val="002B0357"/>
    <w:rsid w:val="002B043F"/>
    <w:rsid w:val="002B0643"/>
    <w:rsid w:val="002B0990"/>
    <w:rsid w:val="002B0DD7"/>
    <w:rsid w:val="002B0F95"/>
    <w:rsid w:val="002B1553"/>
    <w:rsid w:val="002B187B"/>
    <w:rsid w:val="002B1DEC"/>
    <w:rsid w:val="002B209E"/>
    <w:rsid w:val="002B24F6"/>
    <w:rsid w:val="002B25E4"/>
    <w:rsid w:val="002B27F2"/>
    <w:rsid w:val="002B28B2"/>
    <w:rsid w:val="002B29C2"/>
    <w:rsid w:val="002B2A2E"/>
    <w:rsid w:val="002B2F04"/>
    <w:rsid w:val="002B2FC2"/>
    <w:rsid w:val="002B3018"/>
    <w:rsid w:val="002B3116"/>
    <w:rsid w:val="002B321C"/>
    <w:rsid w:val="002B341C"/>
    <w:rsid w:val="002B345F"/>
    <w:rsid w:val="002B377E"/>
    <w:rsid w:val="002B3A0E"/>
    <w:rsid w:val="002B3AAA"/>
    <w:rsid w:val="002B404C"/>
    <w:rsid w:val="002B45DB"/>
    <w:rsid w:val="002B49AC"/>
    <w:rsid w:val="002B4AC9"/>
    <w:rsid w:val="002B4E3F"/>
    <w:rsid w:val="002B4F1F"/>
    <w:rsid w:val="002B5014"/>
    <w:rsid w:val="002B546E"/>
    <w:rsid w:val="002B5752"/>
    <w:rsid w:val="002B59A1"/>
    <w:rsid w:val="002B5C07"/>
    <w:rsid w:val="002B5DAF"/>
    <w:rsid w:val="002B605A"/>
    <w:rsid w:val="002B64F0"/>
    <w:rsid w:val="002B6655"/>
    <w:rsid w:val="002B67A6"/>
    <w:rsid w:val="002B685B"/>
    <w:rsid w:val="002B68D2"/>
    <w:rsid w:val="002B69BB"/>
    <w:rsid w:val="002B6A52"/>
    <w:rsid w:val="002B6D6C"/>
    <w:rsid w:val="002B6E19"/>
    <w:rsid w:val="002B6F00"/>
    <w:rsid w:val="002B7219"/>
    <w:rsid w:val="002B7345"/>
    <w:rsid w:val="002B7685"/>
    <w:rsid w:val="002B76B6"/>
    <w:rsid w:val="002B7C96"/>
    <w:rsid w:val="002B7EBB"/>
    <w:rsid w:val="002B7F84"/>
    <w:rsid w:val="002C0078"/>
    <w:rsid w:val="002C00A2"/>
    <w:rsid w:val="002C02B7"/>
    <w:rsid w:val="002C07A6"/>
    <w:rsid w:val="002C0824"/>
    <w:rsid w:val="002C08EA"/>
    <w:rsid w:val="002C0904"/>
    <w:rsid w:val="002C0AA8"/>
    <w:rsid w:val="002C0DB7"/>
    <w:rsid w:val="002C0ECB"/>
    <w:rsid w:val="002C1115"/>
    <w:rsid w:val="002C1184"/>
    <w:rsid w:val="002C12B1"/>
    <w:rsid w:val="002C1305"/>
    <w:rsid w:val="002C135C"/>
    <w:rsid w:val="002C13A6"/>
    <w:rsid w:val="002C15AF"/>
    <w:rsid w:val="002C16ED"/>
    <w:rsid w:val="002C19E3"/>
    <w:rsid w:val="002C1D1F"/>
    <w:rsid w:val="002C1EEB"/>
    <w:rsid w:val="002C2075"/>
    <w:rsid w:val="002C2110"/>
    <w:rsid w:val="002C2116"/>
    <w:rsid w:val="002C215F"/>
    <w:rsid w:val="002C2239"/>
    <w:rsid w:val="002C2368"/>
    <w:rsid w:val="002C275B"/>
    <w:rsid w:val="002C29B1"/>
    <w:rsid w:val="002C2AAA"/>
    <w:rsid w:val="002C2BAE"/>
    <w:rsid w:val="002C2D82"/>
    <w:rsid w:val="002C2F03"/>
    <w:rsid w:val="002C328E"/>
    <w:rsid w:val="002C340F"/>
    <w:rsid w:val="002C361C"/>
    <w:rsid w:val="002C36DA"/>
    <w:rsid w:val="002C38CF"/>
    <w:rsid w:val="002C3F9F"/>
    <w:rsid w:val="002C3FC3"/>
    <w:rsid w:val="002C4030"/>
    <w:rsid w:val="002C4356"/>
    <w:rsid w:val="002C4414"/>
    <w:rsid w:val="002C4625"/>
    <w:rsid w:val="002C4694"/>
    <w:rsid w:val="002C4C7D"/>
    <w:rsid w:val="002C4E73"/>
    <w:rsid w:val="002C4FD4"/>
    <w:rsid w:val="002C5026"/>
    <w:rsid w:val="002C5423"/>
    <w:rsid w:val="002C5451"/>
    <w:rsid w:val="002C5491"/>
    <w:rsid w:val="002C551D"/>
    <w:rsid w:val="002C597F"/>
    <w:rsid w:val="002C59C6"/>
    <w:rsid w:val="002C5AC9"/>
    <w:rsid w:val="002C5F6B"/>
    <w:rsid w:val="002C62F1"/>
    <w:rsid w:val="002C636D"/>
    <w:rsid w:val="002C63C6"/>
    <w:rsid w:val="002C63CF"/>
    <w:rsid w:val="002C6599"/>
    <w:rsid w:val="002C67C5"/>
    <w:rsid w:val="002C6A4E"/>
    <w:rsid w:val="002C6B15"/>
    <w:rsid w:val="002C6B16"/>
    <w:rsid w:val="002C6BA6"/>
    <w:rsid w:val="002C7479"/>
    <w:rsid w:val="002C7640"/>
    <w:rsid w:val="002C7898"/>
    <w:rsid w:val="002C7949"/>
    <w:rsid w:val="002C7A54"/>
    <w:rsid w:val="002C7AD4"/>
    <w:rsid w:val="002C7DA9"/>
    <w:rsid w:val="002C7E37"/>
    <w:rsid w:val="002C7FC4"/>
    <w:rsid w:val="002D0806"/>
    <w:rsid w:val="002D0B64"/>
    <w:rsid w:val="002D0F8B"/>
    <w:rsid w:val="002D117E"/>
    <w:rsid w:val="002D11CA"/>
    <w:rsid w:val="002D11DE"/>
    <w:rsid w:val="002D13C7"/>
    <w:rsid w:val="002D1616"/>
    <w:rsid w:val="002D16D8"/>
    <w:rsid w:val="002D18FE"/>
    <w:rsid w:val="002D198A"/>
    <w:rsid w:val="002D1F80"/>
    <w:rsid w:val="002D21C9"/>
    <w:rsid w:val="002D22C0"/>
    <w:rsid w:val="002D22FD"/>
    <w:rsid w:val="002D2B6E"/>
    <w:rsid w:val="002D2B87"/>
    <w:rsid w:val="002D2F4A"/>
    <w:rsid w:val="002D3019"/>
    <w:rsid w:val="002D32A4"/>
    <w:rsid w:val="002D33CF"/>
    <w:rsid w:val="002D3457"/>
    <w:rsid w:val="002D351E"/>
    <w:rsid w:val="002D35F7"/>
    <w:rsid w:val="002D3628"/>
    <w:rsid w:val="002D3A99"/>
    <w:rsid w:val="002D3D55"/>
    <w:rsid w:val="002D477E"/>
    <w:rsid w:val="002D4A04"/>
    <w:rsid w:val="002D4BBA"/>
    <w:rsid w:val="002D4E0E"/>
    <w:rsid w:val="002D4E2E"/>
    <w:rsid w:val="002D5010"/>
    <w:rsid w:val="002D521C"/>
    <w:rsid w:val="002D555B"/>
    <w:rsid w:val="002D560C"/>
    <w:rsid w:val="002D5849"/>
    <w:rsid w:val="002D5942"/>
    <w:rsid w:val="002D5DE2"/>
    <w:rsid w:val="002D5DFE"/>
    <w:rsid w:val="002D5EBC"/>
    <w:rsid w:val="002D6238"/>
    <w:rsid w:val="002D6904"/>
    <w:rsid w:val="002D6DC3"/>
    <w:rsid w:val="002D703C"/>
    <w:rsid w:val="002D7327"/>
    <w:rsid w:val="002D73C7"/>
    <w:rsid w:val="002D73F1"/>
    <w:rsid w:val="002D7983"/>
    <w:rsid w:val="002D7B82"/>
    <w:rsid w:val="002D7C1D"/>
    <w:rsid w:val="002D7FC7"/>
    <w:rsid w:val="002E0007"/>
    <w:rsid w:val="002E00D1"/>
    <w:rsid w:val="002E0175"/>
    <w:rsid w:val="002E01CE"/>
    <w:rsid w:val="002E04A6"/>
    <w:rsid w:val="002E05DB"/>
    <w:rsid w:val="002E06B6"/>
    <w:rsid w:val="002E0AE5"/>
    <w:rsid w:val="002E0B4B"/>
    <w:rsid w:val="002E0DC4"/>
    <w:rsid w:val="002E0E6F"/>
    <w:rsid w:val="002E0F5A"/>
    <w:rsid w:val="002E106C"/>
    <w:rsid w:val="002E1132"/>
    <w:rsid w:val="002E1281"/>
    <w:rsid w:val="002E175E"/>
    <w:rsid w:val="002E1944"/>
    <w:rsid w:val="002E1A1C"/>
    <w:rsid w:val="002E1A98"/>
    <w:rsid w:val="002E1AD3"/>
    <w:rsid w:val="002E1BA5"/>
    <w:rsid w:val="002E1E63"/>
    <w:rsid w:val="002E203A"/>
    <w:rsid w:val="002E205E"/>
    <w:rsid w:val="002E22B2"/>
    <w:rsid w:val="002E23A2"/>
    <w:rsid w:val="002E2849"/>
    <w:rsid w:val="002E28D0"/>
    <w:rsid w:val="002E2B90"/>
    <w:rsid w:val="002E2E2D"/>
    <w:rsid w:val="002E331B"/>
    <w:rsid w:val="002E3475"/>
    <w:rsid w:val="002E3847"/>
    <w:rsid w:val="002E38C0"/>
    <w:rsid w:val="002E3B49"/>
    <w:rsid w:val="002E3C26"/>
    <w:rsid w:val="002E441D"/>
    <w:rsid w:val="002E44E0"/>
    <w:rsid w:val="002E45BF"/>
    <w:rsid w:val="002E45C8"/>
    <w:rsid w:val="002E48B2"/>
    <w:rsid w:val="002E4CBA"/>
    <w:rsid w:val="002E4D12"/>
    <w:rsid w:val="002E4D3F"/>
    <w:rsid w:val="002E50DD"/>
    <w:rsid w:val="002E55BE"/>
    <w:rsid w:val="002E566F"/>
    <w:rsid w:val="002E59AB"/>
    <w:rsid w:val="002E5B82"/>
    <w:rsid w:val="002E5BE0"/>
    <w:rsid w:val="002E5C2F"/>
    <w:rsid w:val="002E5DD2"/>
    <w:rsid w:val="002E5E45"/>
    <w:rsid w:val="002E5E62"/>
    <w:rsid w:val="002E6010"/>
    <w:rsid w:val="002E6045"/>
    <w:rsid w:val="002E6239"/>
    <w:rsid w:val="002E6343"/>
    <w:rsid w:val="002E63A3"/>
    <w:rsid w:val="002E6BD1"/>
    <w:rsid w:val="002E6EBA"/>
    <w:rsid w:val="002E72D2"/>
    <w:rsid w:val="002E75CB"/>
    <w:rsid w:val="002E76F7"/>
    <w:rsid w:val="002E7AAC"/>
    <w:rsid w:val="002E7C7A"/>
    <w:rsid w:val="002E7CF2"/>
    <w:rsid w:val="002E7D1A"/>
    <w:rsid w:val="002F00B4"/>
    <w:rsid w:val="002F05CC"/>
    <w:rsid w:val="002F07EB"/>
    <w:rsid w:val="002F0C72"/>
    <w:rsid w:val="002F1150"/>
    <w:rsid w:val="002F17EB"/>
    <w:rsid w:val="002F1B78"/>
    <w:rsid w:val="002F1BC9"/>
    <w:rsid w:val="002F28A7"/>
    <w:rsid w:val="002F2A90"/>
    <w:rsid w:val="002F2B1F"/>
    <w:rsid w:val="002F3363"/>
    <w:rsid w:val="002F374B"/>
    <w:rsid w:val="002F38E2"/>
    <w:rsid w:val="002F3B53"/>
    <w:rsid w:val="002F3B7E"/>
    <w:rsid w:val="002F3DAD"/>
    <w:rsid w:val="002F3F39"/>
    <w:rsid w:val="002F41B0"/>
    <w:rsid w:val="002F4224"/>
    <w:rsid w:val="002F4368"/>
    <w:rsid w:val="002F43A8"/>
    <w:rsid w:val="002F4520"/>
    <w:rsid w:val="002F4898"/>
    <w:rsid w:val="002F4B46"/>
    <w:rsid w:val="002F4DD0"/>
    <w:rsid w:val="002F5020"/>
    <w:rsid w:val="002F5990"/>
    <w:rsid w:val="002F5AA6"/>
    <w:rsid w:val="002F61DF"/>
    <w:rsid w:val="002F64D6"/>
    <w:rsid w:val="002F65CF"/>
    <w:rsid w:val="002F68AB"/>
    <w:rsid w:val="002F6EEB"/>
    <w:rsid w:val="002F6F24"/>
    <w:rsid w:val="002F7030"/>
    <w:rsid w:val="002F70EC"/>
    <w:rsid w:val="002F727E"/>
    <w:rsid w:val="002F73AD"/>
    <w:rsid w:val="002F756C"/>
    <w:rsid w:val="002F7612"/>
    <w:rsid w:val="002F76FF"/>
    <w:rsid w:val="002F77B8"/>
    <w:rsid w:val="0030007D"/>
    <w:rsid w:val="00300337"/>
    <w:rsid w:val="0030046D"/>
    <w:rsid w:val="003006B3"/>
    <w:rsid w:val="003008B2"/>
    <w:rsid w:val="00300A7C"/>
    <w:rsid w:val="00300A92"/>
    <w:rsid w:val="00301051"/>
    <w:rsid w:val="003013E6"/>
    <w:rsid w:val="0030166E"/>
    <w:rsid w:val="003016E5"/>
    <w:rsid w:val="00301897"/>
    <w:rsid w:val="003018AF"/>
    <w:rsid w:val="00301A7B"/>
    <w:rsid w:val="00301AD2"/>
    <w:rsid w:val="00301E2A"/>
    <w:rsid w:val="00301EF9"/>
    <w:rsid w:val="00302502"/>
    <w:rsid w:val="00302714"/>
    <w:rsid w:val="00302B63"/>
    <w:rsid w:val="00302D95"/>
    <w:rsid w:val="003033F3"/>
    <w:rsid w:val="003033F6"/>
    <w:rsid w:val="00303B19"/>
    <w:rsid w:val="00303F44"/>
    <w:rsid w:val="00303F8A"/>
    <w:rsid w:val="00303FB4"/>
    <w:rsid w:val="0030471B"/>
    <w:rsid w:val="00304C01"/>
    <w:rsid w:val="00304CDF"/>
    <w:rsid w:val="00305096"/>
    <w:rsid w:val="003050E3"/>
    <w:rsid w:val="003051A1"/>
    <w:rsid w:val="0030526E"/>
    <w:rsid w:val="0030537E"/>
    <w:rsid w:val="003053DE"/>
    <w:rsid w:val="003054FA"/>
    <w:rsid w:val="003056FC"/>
    <w:rsid w:val="00305B24"/>
    <w:rsid w:val="00305B64"/>
    <w:rsid w:val="00305B82"/>
    <w:rsid w:val="00305D9C"/>
    <w:rsid w:val="00305F36"/>
    <w:rsid w:val="00306020"/>
    <w:rsid w:val="00306218"/>
    <w:rsid w:val="00306406"/>
    <w:rsid w:val="00306435"/>
    <w:rsid w:val="00306540"/>
    <w:rsid w:val="0030695C"/>
    <w:rsid w:val="00306A9B"/>
    <w:rsid w:val="00306B50"/>
    <w:rsid w:val="00306BF8"/>
    <w:rsid w:val="00306FD2"/>
    <w:rsid w:val="003070B1"/>
    <w:rsid w:val="00307568"/>
    <w:rsid w:val="003075D9"/>
    <w:rsid w:val="00307C4D"/>
    <w:rsid w:val="00310898"/>
    <w:rsid w:val="00310931"/>
    <w:rsid w:val="00310D0E"/>
    <w:rsid w:val="00311131"/>
    <w:rsid w:val="00311206"/>
    <w:rsid w:val="00311822"/>
    <w:rsid w:val="0031187E"/>
    <w:rsid w:val="00311936"/>
    <w:rsid w:val="00311AFF"/>
    <w:rsid w:val="00311C03"/>
    <w:rsid w:val="00311CB8"/>
    <w:rsid w:val="00311D45"/>
    <w:rsid w:val="00311E22"/>
    <w:rsid w:val="0031229D"/>
    <w:rsid w:val="003125AC"/>
    <w:rsid w:val="00312C00"/>
    <w:rsid w:val="00312D38"/>
    <w:rsid w:val="00312D3F"/>
    <w:rsid w:val="00312EE2"/>
    <w:rsid w:val="0031308F"/>
    <w:rsid w:val="003135E5"/>
    <w:rsid w:val="003137E4"/>
    <w:rsid w:val="00313C92"/>
    <w:rsid w:val="0031425E"/>
    <w:rsid w:val="003142D1"/>
    <w:rsid w:val="0031433E"/>
    <w:rsid w:val="003144DD"/>
    <w:rsid w:val="00314513"/>
    <w:rsid w:val="0031451A"/>
    <w:rsid w:val="0031455B"/>
    <w:rsid w:val="00314661"/>
    <w:rsid w:val="0031486F"/>
    <w:rsid w:val="00314BC1"/>
    <w:rsid w:val="00314C08"/>
    <w:rsid w:val="00314D4D"/>
    <w:rsid w:val="00314DAC"/>
    <w:rsid w:val="003154C0"/>
    <w:rsid w:val="003155A6"/>
    <w:rsid w:val="00315770"/>
    <w:rsid w:val="00315B01"/>
    <w:rsid w:val="00315D74"/>
    <w:rsid w:val="00316068"/>
    <w:rsid w:val="00316207"/>
    <w:rsid w:val="00316377"/>
    <w:rsid w:val="003165D0"/>
    <w:rsid w:val="003165FE"/>
    <w:rsid w:val="0031675E"/>
    <w:rsid w:val="003168CD"/>
    <w:rsid w:val="00316B8C"/>
    <w:rsid w:val="00316F26"/>
    <w:rsid w:val="0031776C"/>
    <w:rsid w:val="00317A7A"/>
    <w:rsid w:val="00317C32"/>
    <w:rsid w:val="00317CD2"/>
    <w:rsid w:val="00317D68"/>
    <w:rsid w:val="003200A8"/>
    <w:rsid w:val="0032012C"/>
    <w:rsid w:val="00320280"/>
    <w:rsid w:val="0032056F"/>
    <w:rsid w:val="0032089C"/>
    <w:rsid w:val="003208CF"/>
    <w:rsid w:val="00320CA5"/>
    <w:rsid w:val="00320DAF"/>
    <w:rsid w:val="00320EFC"/>
    <w:rsid w:val="00321064"/>
    <w:rsid w:val="003210BD"/>
    <w:rsid w:val="003211E6"/>
    <w:rsid w:val="00321531"/>
    <w:rsid w:val="00321686"/>
    <w:rsid w:val="003218D0"/>
    <w:rsid w:val="00321977"/>
    <w:rsid w:val="003219E3"/>
    <w:rsid w:val="00321E4C"/>
    <w:rsid w:val="00322338"/>
    <w:rsid w:val="00322410"/>
    <w:rsid w:val="003226B3"/>
    <w:rsid w:val="003229C0"/>
    <w:rsid w:val="00322B65"/>
    <w:rsid w:val="00322BEC"/>
    <w:rsid w:val="00322D79"/>
    <w:rsid w:val="00322D96"/>
    <w:rsid w:val="00323412"/>
    <w:rsid w:val="0032350A"/>
    <w:rsid w:val="003236BA"/>
    <w:rsid w:val="0032417C"/>
    <w:rsid w:val="00324180"/>
    <w:rsid w:val="003241AE"/>
    <w:rsid w:val="0032424A"/>
    <w:rsid w:val="00324263"/>
    <w:rsid w:val="0032452B"/>
    <w:rsid w:val="00324561"/>
    <w:rsid w:val="00324725"/>
    <w:rsid w:val="003247A5"/>
    <w:rsid w:val="00324915"/>
    <w:rsid w:val="00324B28"/>
    <w:rsid w:val="00324D57"/>
    <w:rsid w:val="00324DBD"/>
    <w:rsid w:val="00325475"/>
    <w:rsid w:val="0032565A"/>
    <w:rsid w:val="00325810"/>
    <w:rsid w:val="0032594D"/>
    <w:rsid w:val="00325AFF"/>
    <w:rsid w:val="00325CB5"/>
    <w:rsid w:val="00325D39"/>
    <w:rsid w:val="00325DAD"/>
    <w:rsid w:val="00325FCD"/>
    <w:rsid w:val="00326382"/>
    <w:rsid w:val="0032639C"/>
    <w:rsid w:val="00326566"/>
    <w:rsid w:val="0032667A"/>
    <w:rsid w:val="00326808"/>
    <w:rsid w:val="0032688B"/>
    <w:rsid w:val="00326980"/>
    <w:rsid w:val="00326BD5"/>
    <w:rsid w:val="00326C8D"/>
    <w:rsid w:val="00326FD6"/>
    <w:rsid w:val="003270D5"/>
    <w:rsid w:val="00327431"/>
    <w:rsid w:val="00327E97"/>
    <w:rsid w:val="0033003C"/>
    <w:rsid w:val="003301AC"/>
    <w:rsid w:val="00330792"/>
    <w:rsid w:val="0033092E"/>
    <w:rsid w:val="00330D00"/>
    <w:rsid w:val="00330F7B"/>
    <w:rsid w:val="00330F93"/>
    <w:rsid w:val="003313A7"/>
    <w:rsid w:val="0033174E"/>
    <w:rsid w:val="00331802"/>
    <w:rsid w:val="00331844"/>
    <w:rsid w:val="00331E33"/>
    <w:rsid w:val="00332067"/>
    <w:rsid w:val="003326E9"/>
    <w:rsid w:val="00332891"/>
    <w:rsid w:val="00332C8A"/>
    <w:rsid w:val="00332DCC"/>
    <w:rsid w:val="00332F6E"/>
    <w:rsid w:val="00333756"/>
    <w:rsid w:val="003338D6"/>
    <w:rsid w:val="00333BF7"/>
    <w:rsid w:val="003340FE"/>
    <w:rsid w:val="0033418F"/>
    <w:rsid w:val="003345FC"/>
    <w:rsid w:val="00334763"/>
    <w:rsid w:val="00334871"/>
    <w:rsid w:val="0033489D"/>
    <w:rsid w:val="00334A59"/>
    <w:rsid w:val="00334A5D"/>
    <w:rsid w:val="00334C51"/>
    <w:rsid w:val="00334D9D"/>
    <w:rsid w:val="00335037"/>
    <w:rsid w:val="00335356"/>
    <w:rsid w:val="00335750"/>
    <w:rsid w:val="00335789"/>
    <w:rsid w:val="003357F4"/>
    <w:rsid w:val="003358AC"/>
    <w:rsid w:val="003359FF"/>
    <w:rsid w:val="00335BE7"/>
    <w:rsid w:val="00335D8F"/>
    <w:rsid w:val="0033622E"/>
    <w:rsid w:val="00336353"/>
    <w:rsid w:val="0033648C"/>
    <w:rsid w:val="0033653B"/>
    <w:rsid w:val="003366A1"/>
    <w:rsid w:val="00336A9F"/>
    <w:rsid w:val="00336BA1"/>
    <w:rsid w:val="00336FA1"/>
    <w:rsid w:val="00337082"/>
    <w:rsid w:val="00337370"/>
    <w:rsid w:val="003373C9"/>
    <w:rsid w:val="003374EA"/>
    <w:rsid w:val="003377E0"/>
    <w:rsid w:val="0033789F"/>
    <w:rsid w:val="003378CA"/>
    <w:rsid w:val="00337A64"/>
    <w:rsid w:val="00337AEC"/>
    <w:rsid w:val="00337C0F"/>
    <w:rsid w:val="00337D9B"/>
    <w:rsid w:val="00337E0B"/>
    <w:rsid w:val="00337E2B"/>
    <w:rsid w:val="003400BA"/>
    <w:rsid w:val="0034046C"/>
    <w:rsid w:val="00340500"/>
    <w:rsid w:val="003405B5"/>
    <w:rsid w:val="003407E0"/>
    <w:rsid w:val="00340A39"/>
    <w:rsid w:val="00340B72"/>
    <w:rsid w:val="00340B86"/>
    <w:rsid w:val="00340FDB"/>
    <w:rsid w:val="003415D7"/>
    <w:rsid w:val="00341760"/>
    <w:rsid w:val="00341766"/>
    <w:rsid w:val="003419CF"/>
    <w:rsid w:val="003419E0"/>
    <w:rsid w:val="00341B06"/>
    <w:rsid w:val="00341D56"/>
    <w:rsid w:val="003424FA"/>
    <w:rsid w:val="003425B1"/>
    <w:rsid w:val="00342733"/>
    <w:rsid w:val="00342A89"/>
    <w:rsid w:val="0034402E"/>
    <w:rsid w:val="00344154"/>
    <w:rsid w:val="0034422E"/>
    <w:rsid w:val="00344262"/>
    <w:rsid w:val="00344584"/>
    <w:rsid w:val="003445A0"/>
    <w:rsid w:val="003446C9"/>
    <w:rsid w:val="00344CD7"/>
    <w:rsid w:val="00344CEC"/>
    <w:rsid w:val="00344D71"/>
    <w:rsid w:val="003450A2"/>
    <w:rsid w:val="003450C0"/>
    <w:rsid w:val="003461EB"/>
    <w:rsid w:val="0034647A"/>
    <w:rsid w:val="00346520"/>
    <w:rsid w:val="003468C4"/>
    <w:rsid w:val="00346ACB"/>
    <w:rsid w:val="00346B16"/>
    <w:rsid w:val="00346CCA"/>
    <w:rsid w:val="00346DB7"/>
    <w:rsid w:val="0034730D"/>
    <w:rsid w:val="0034792A"/>
    <w:rsid w:val="00347C40"/>
    <w:rsid w:val="00347C45"/>
    <w:rsid w:val="00347CC9"/>
    <w:rsid w:val="00350075"/>
    <w:rsid w:val="00350170"/>
    <w:rsid w:val="003501D5"/>
    <w:rsid w:val="0035028F"/>
    <w:rsid w:val="003502FF"/>
    <w:rsid w:val="0035051D"/>
    <w:rsid w:val="00350619"/>
    <w:rsid w:val="00350757"/>
    <w:rsid w:val="00350AEE"/>
    <w:rsid w:val="00350B1D"/>
    <w:rsid w:val="00350B35"/>
    <w:rsid w:val="00350BD2"/>
    <w:rsid w:val="003510F4"/>
    <w:rsid w:val="00351420"/>
    <w:rsid w:val="00351AA5"/>
    <w:rsid w:val="00351C18"/>
    <w:rsid w:val="00351D42"/>
    <w:rsid w:val="00352369"/>
    <w:rsid w:val="00352B07"/>
    <w:rsid w:val="00352BE1"/>
    <w:rsid w:val="00352CCE"/>
    <w:rsid w:val="00352D02"/>
    <w:rsid w:val="00352ED6"/>
    <w:rsid w:val="003530D7"/>
    <w:rsid w:val="003531F5"/>
    <w:rsid w:val="0035338F"/>
    <w:rsid w:val="0035342C"/>
    <w:rsid w:val="00353457"/>
    <w:rsid w:val="003534C8"/>
    <w:rsid w:val="00353622"/>
    <w:rsid w:val="0035388C"/>
    <w:rsid w:val="00353B79"/>
    <w:rsid w:val="00353B9E"/>
    <w:rsid w:val="00353D16"/>
    <w:rsid w:val="00354254"/>
    <w:rsid w:val="00354273"/>
    <w:rsid w:val="003542A3"/>
    <w:rsid w:val="003544F6"/>
    <w:rsid w:val="00354A12"/>
    <w:rsid w:val="00354FC8"/>
    <w:rsid w:val="00355B25"/>
    <w:rsid w:val="00355C38"/>
    <w:rsid w:val="00355DEF"/>
    <w:rsid w:val="00355F5F"/>
    <w:rsid w:val="00355FB9"/>
    <w:rsid w:val="003561FF"/>
    <w:rsid w:val="00356423"/>
    <w:rsid w:val="0035654A"/>
    <w:rsid w:val="00356653"/>
    <w:rsid w:val="003569F1"/>
    <w:rsid w:val="00356C22"/>
    <w:rsid w:val="00357200"/>
    <w:rsid w:val="003576F5"/>
    <w:rsid w:val="0035782D"/>
    <w:rsid w:val="00357A3E"/>
    <w:rsid w:val="00357B22"/>
    <w:rsid w:val="00357E34"/>
    <w:rsid w:val="003602BD"/>
    <w:rsid w:val="003607BD"/>
    <w:rsid w:val="00360968"/>
    <w:rsid w:val="00360BFA"/>
    <w:rsid w:val="003611C1"/>
    <w:rsid w:val="003613EC"/>
    <w:rsid w:val="0036149D"/>
    <w:rsid w:val="00361C66"/>
    <w:rsid w:val="00362163"/>
    <w:rsid w:val="003622CE"/>
    <w:rsid w:val="003622F9"/>
    <w:rsid w:val="0036232E"/>
    <w:rsid w:val="00362369"/>
    <w:rsid w:val="0036240D"/>
    <w:rsid w:val="00362600"/>
    <w:rsid w:val="0036289B"/>
    <w:rsid w:val="00362A97"/>
    <w:rsid w:val="00362B55"/>
    <w:rsid w:val="00362CEA"/>
    <w:rsid w:val="00362DAD"/>
    <w:rsid w:val="00362E08"/>
    <w:rsid w:val="00363029"/>
    <w:rsid w:val="003632C6"/>
    <w:rsid w:val="00363439"/>
    <w:rsid w:val="0036357A"/>
    <w:rsid w:val="0036374E"/>
    <w:rsid w:val="00363755"/>
    <w:rsid w:val="00363851"/>
    <w:rsid w:val="003638DE"/>
    <w:rsid w:val="00363996"/>
    <w:rsid w:val="00363BFC"/>
    <w:rsid w:val="00363CC5"/>
    <w:rsid w:val="00363CE6"/>
    <w:rsid w:val="00363D94"/>
    <w:rsid w:val="00363E00"/>
    <w:rsid w:val="00363E2E"/>
    <w:rsid w:val="00363EEE"/>
    <w:rsid w:val="00363F3D"/>
    <w:rsid w:val="003641DB"/>
    <w:rsid w:val="003643CE"/>
    <w:rsid w:val="00364507"/>
    <w:rsid w:val="00364A36"/>
    <w:rsid w:val="00364ACE"/>
    <w:rsid w:val="00364CB5"/>
    <w:rsid w:val="00364FE2"/>
    <w:rsid w:val="003651C8"/>
    <w:rsid w:val="003658FE"/>
    <w:rsid w:val="0036594E"/>
    <w:rsid w:val="00365A05"/>
    <w:rsid w:val="00365C70"/>
    <w:rsid w:val="00365CD4"/>
    <w:rsid w:val="00366200"/>
    <w:rsid w:val="003664AB"/>
    <w:rsid w:val="003666B0"/>
    <w:rsid w:val="003669B9"/>
    <w:rsid w:val="00366B77"/>
    <w:rsid w:val="00366E44"/>
    <w:rsid w:val="003672CA"/>
    <w:rsid w:val="0036779F"/>
    <w:rsid w:val="00367878"/>
    <w:rsid w:val="00367B03"/>
    <w:rsid w:val="00367B7F"/>
    <w:rsid w:val="00367BF6"/>
    <w:rsid w:val="00367D40"/>
    <w:rsid w:val="00367DBF"/>
    <w:rsid w:val="00367FC3"/>
    <w:rsid w:val="00370381"/>
    <w:rsid w:val="00370507"/>
    <w:rsid w:val="003707F3"/>
    <w:rsid w:val="00370A78"/>
    <w:rsid w:val="00370B83"/>
    <w:rsid w:val="00370D43"/>
    <w:rsid w:val="00370F6D"/>
    <w:rsid w:val="00371009"/>
    <w:rsid w:val="00371117"/>
    <w:rsid w:val="00371398"/>
    <w:rsid w:val="003717E2"/>
    <w:rsid w:val="00372005"/>
    <w:rsid w:val="0037261E"/>
    <w:rsid w:val="00372A51"/>
    <w:rsid w:val="00372AFB"/>
    <w:rsid w:val="00373122"/>
    <w:rsid w:val="003731CC"/>
    <w:rsid w:val="003738FC"/>
    <w:rsid w:val="00373B72"/>
    <w:rsid w:val="00373E5C"/>
    <w:rsid w:val="0037425D"/>
    <w:rsid w:val="0037431A"/>
    <w:rsid w:val="0037432A"/>
    <w:rsid w:val="00374652"/>
    <w:rsid w:val="00374C20"/>
    <w:rsid w:val="00374C6C"/>
    <w:rsid w:val="00374E2D"/>
    <w:rsid w:val="00374F93"/>
    <w:rsid w:val="00374FC7"/>
    <w:rsid w:val="00374FDE"/>
    <w:rsid w:val="003750AE"/>
    <w:rsid w:val="0037529C"/>
    <w:rsid w:val="003752D3"/>
    <w:rsid w:val="00375732"/>
    <w:rsid w:val="003757A7"/>
    <w:rsid w:val="003758E0"/>
    <w:rsid w:val="00375922"/>
    <w:rsid w:val="00375B33"/>
    <w:rsid w:val="00375E5D"/>
    <w:rsid w:val="00375F45"/>
    <w:rsid w:val="003763CF"/>
    <w:rsid w:val="0037660D"/>
    <w:rsid w:val="00376643"/>
    <w:rsid w:val="003768C1"/>
    <w:rsid w:val="00376AAD"/>
    <w:rsid w:val="00376E90"/>
    <w:rsid w:val="0037734D"/>
    <w:rsid w:val="003776FB"/>
    <w:rsid w:val="00377BF9"/>
    <w:rsid w:val="00377C70"/>
    <w:rsid w:val="00377C89"/>
    <w:rsid w:val="00377D15"/>
    <w:rsid w:val="00377DD3"/>
    <w:rsid w:val="00377DEF"/>
    <w:rsid w:val="00377ECD"/>
    <w:rsid w:val="00377F3A"/>
    <w:rsid w:val="00377F9E"/>
    <w:rsid w:val="003800D7"/>
    <w:rsid w:val="003801B5"/>
    <w:rsid w:val="003804DF"/>
    <w:rsid w:val="003808F3"/>
    <w:rsid w:val="00380D66"/>
    <w:rsid w:val="00380DB7"/>
    <w:rsid w:val="00380F00"/>
    <w:rsid w:val="00381250"/>
    <w:rsid w:val="003815AD"/>
    <w:rsid w:val="003816FF"/>
    <w:rsid w:val="003819DE"/>
    <w:rsid w:val="00382592"/>
    <w:rsid w:val="003826D4"/>
    <w:rsid w:val="00382884"/>
    <w:rsid w:val="003829C2"/>
    <w:rsid w:val="003829FF"/>
    <w:rsid w:val="00382A17"/>
    <w:rsid w:val="00382BB0"/>
    <w:rsid w:val="00382E39"/>
    <w:rsid w:val="00382E92"/>
    <w:rsid w:val="00382EFB"/>
    <w:rsid w:val="0038323F"/>
    <w:rsid w:val="0038343D"/>
    <w:rsid w:val="0038373B"/>
    <w:rsid w:val="003839C3"/>
    <w:rsid w:val="00383F1A"/>
    <w:rsid w:val="003840AB"/>
    <w:rsid w:val="0038412A"/>
    <w:rsid w:val="0038430B"/>
    <w:rsid w:val="00384497"/>
    <w:rsid w:val="00384548"/>
    <w:rsid w:val="0038454D"/>
    <w:rsid w:val="00384682"/>
    <w:rsid w:val="003846A2"/>
    <w:rsid w:val="00384898"/>
    <w:rsid w:val="00384B32"/>
    <w:rsid w:val="00384BC7"/>
    <w:rsid w:val="003852DB"/>
    <w:rsid w:val="00385346"/>
    <w:rsid w:val="0038545B"/>
    <w:rsid w:val="00385471"/>
    <w:rsid w:val="00385890"/>
    <w:rsid w:val="0038592F"/>
    <w:rsid w:val="003859E5"/>
    <w:rsid w:val="00385AB4"/>
    <w:rsid w:val="00385B21"/>
    <w:rsid w:val="00385C41"/>
    <w:rsid w:val="00386294"/>
    <w:rsid w:val="0038651E"/>
    <w:rsid w:val="00386848"/>
    <w:rsid w:val="00386BEB"/>
    <w:rsid w:val="00386FD1"/>
    <w:rsid w:val="00386FD2"/>
    <w:rsid w:val="003874C8"/>
    <w:rsid w:val="00387A4A"/>
    <w:rsid w:val="00390071"/>
    <w:rsid w:val="00390647"/>
    <w:rsid w:val="00390D4E"/>
    <w:rsid w:val="00390F41"/>
    <w:rsid w:val="00391086"/>
    <w:rsid w:val="003911ED"/>
    <w:rsid w:val="00391318"/>
    <w:rsid w:val="00391412"/>
    <w:rsid w:val="00391579"/>
    <w:rsid w:val="003916D7"/>
    <w:rsid w:val="00391765"/>
    <w:rsid w:val="0039183D"/>
    <w:rsid w:val="003918C2"/>
    <w:rsid w:val="00391AD2"/>
    <w:rsid w:val="00391BFD"/>
    <w:rsid w:val="00391C28"/>
    <w:rsid w:val="00392145"/>
    <w:rsid w:val="003923C7"/>
    <w:rsid w:val="00392679"/>
    <w:rsid w:val="003926EE"/>
    <w:rsid w:val="00392A4C"/>
    <w:rsid w:val="00392B11"/>
    <w:rsid w:val="00392BA9"/>
    <w:rsid w:val="003930CE"/>
    <w:rsid w:val="003934C4"/>
    <w:rsid w:val="003935CB"/>
    <w:rsid w:val="0039379D"/>
    <w:rsid w:val="00393A5F"/>
    <w:rsid w:val="00393B07"/>
    <w:rsid w:val="00393B6B"/>
    <w:rsid w:val="00393DB8"/>
    <w:rsid w:val="00393FAB"/>
    <w:rsid w:val="0039436D"/>
    <w:rsid w:val="0039444F"/>
    <w:rsid w:val="00394524"/>
    <w:rsid w:val="003949AA"/>
    <w:rsid w:val="00394B54"/>
    <w:rsid w:val="00394C05"/>
    <w:rsid w:val="00394E84"/>
    <w:rsid w:val="00394EA9"/>
    <w:rsid w:val="00394F31"/>
    <w:rsid w:val="00394F46"/>
    <w:rsid w:val="00394FBB"/>
    <w:rsid w:val="00395147"/>
    <w:rsid w:val="0039525C"/>
    <w:rsid w:val="00395447"/>
    <w:rsid w:val="003957F4"/>
    <w:rsid w:val="00395917"/>
    <w:rsid w:val="00395924"/>
    <w:rsid w:val="00395C10"/>
    <w:rsid w:val="00395CE4"/>
    <w:rsid w:val="00395EA2"/>
    <w:rsid w:val="003961B7"/>
    <w:rsid w:val="0039649F"/>
    <w:rsid w:val="003964C1"/>
    <w:rsid w:val="00396595"/>
    <w:rsid w:val="003966C0"/>
    <w:rsid w:val="003967F4"/>
    <w:rsid w:val="003968DF"/>
    <w:rsid w:val="0039704F"/>
    <w:rsid w:val="0039728D"/>
    <w:rsid w:val="003972B7"/>
    <w:rsid w:val="0039753E"/>
    <w:rsid w:val="003976D7"/>
    <w:rsid w:val="0039799D"/>
    <w:rsid w:val="00397A3B"/>
    <w:rsid w:val="00397B13"/>
    <w:rsid w:val="00397C1B"/>
    <w:rsid w:val="00397C7A"/>
    <w:rsid w:val="00397D13"/>
    <w:rsid w:val="003A0195"/>
    <w:rsid w:val="003A05EA"/>
    <w:rsid w:val="003A07C2"/>
    <w:rsid w:val="003A0981"/>
    <w:rsid w:val="003A0B40"/>
    <w:rsid w:val="003A0CB2"/>
    <w:rsid w:val="003A0E9D"/>
    <w:rsid w:val="003A0F87"/>
    <w:rsid w:val="003A169D"/>
    <w:rsid w:val="003A1CA3"/>
    <w:rsid w:val="003A1EEE"/>
    <w:rsid w:val="003A2006"/>
    <w:rsid w:val="003A2009"/>
    <w:rsid w:val="003A264D"/>
    <w:rsid w:val="003A270F"/>
    <w:rsid w:val="003A2755"/>
    <w:rsid w:val="003A2782"/>
    <w:rsid w:val="003A286D"/>
    <w:rsid w:val="003A2B3F"/>
    <w:rsid w:val="003A2BDE"/>
    <w:rsid w:val="003A2C80"/>
    <w:rsid w:val="003A3235"/>
    <w:rsid w:val="003A3461"/>
    <w:rsid w:val="003A34CC"/>
    <w:rsid w:val="003A36F3"/>
    <w:rsid w:val="003A3B44"/>
    <w:rsid w:val="003A3B6E"/>
    <w:rsid w:val="003A3FF4"/>
    <w:rsid w:val="003A43BA"/>
    <w:rsid w:val="003A4C45"/>
    <w:rsid w:val="003A4E44"/>
    <w:rsid w:val="003A4E57"/>
    <w:rsid w:val="003A54E2"/>
    <w:rsid w:val="003A5753"/>
    <w:rsid w:val="003A57C4"/>
    <w:rsid w:val="003A5A00"/>
    <w:rsid w:val="003A5A90"/>
    <w:rsid w:val="003A5B20"/>
    <w:rsid w:val="003A68F0"/>
    <w:rsid w:val="003A6952"/>
    <w:rsid w:val="003A6E7F"/>
    <w:rsid w:val="003A6E80"/>
    <w:rsid w:val="003A6FE6"/>
    <w:rsid w:val="003A724C"/>
    <w:rsid w:val="003A736A"/>
    <w:rsid w:val="003A7AC6"/>
    <w:rsid w:val="003A7F2B"/>
    <w:rsid w:val="003B0070"/>
    <w:rsid w:val="003B0075"/>
    <w:rsid w:val="003B00AE"/>
    <w:rsid w:val="003B0304"/>
    <w:rsid w:val="003B0651"/>
    <w:rsid w:val="003B087F"/>
    <w:rsid w:val="003B0994"/>
    <w:rsid w:val="003B0BB7"/>
    <w:rsid w:val="003B0E62"/>
    <w:rsid w:val="003B101C"/>
    <w:rsid w:val="003B1494"/>
    <w:rsid w:val="003B18BC"/>
    <w:rsid w:val="003B18F8"/>
    <w:rsid w:val="003B1F22"/>
    <w:rsid w:val="003B20C0"/>
    <w:rsid w:val="003B2633"/>
    <w:rsid w:val="003B27E2"/>
    <w:rsid w:val="003B29FB"/>
    <w:rsid w:val="003B2B98"/>
    <w:rsid w:val="003B2BFA"/>
    <w:rsid w:val="003B2CD8"/>
    <w:rsid w:val="003B2FB6"/>
    <w:rsid w:val="003B3299"/>
    <w:rsid w:val="003B3D1A"/>
    <w:rsid w:val="003B3D6F"/>
    <w:rsid w:val="003B3EC8"/>
    <w:rsid w:val="003B3EC9"/>
    <w:rsid w:val="003B3F2D"/>
    <w:rsid w:val="003B44F3"/>
    <w:rsid w:val="003B460F"/>
    <w:rsid w:val="003B469F"/>
    <w:rsid w:val="003B4A2A"/>
    <w:rsid w:val="003B4C57"/>
    <w:rsid w:val="003B4C74"/>
    <w:rsid w:val="003B505E"/>
    <w:rsid w:val="003B5075"/>
    <w:rsid w:val="003B514C"/>
    <w:rsid w:val="003B5194"/>
    <w:rsid w:val="003B53BD"/>
    <w:rsid w:val="003B5512"/>
    <w:rsid w:val="003B55BC"/>
    <w:rsid w:val="003B5C9C"/>
    <w:rsid w:val="003B5D5D"/>
    <w:rsid w:val="003B5F6B"/>
    <w:rsid w:val="003B62EE"/>
    <w:rsid w:val="003B63A6"/>
    <w:rsid w:val="003B677B"/>
    <w:rsid w:val="003B6A26"/>
    <w:rsid w:val="003B6A2C"/>
    <w:rsid w:val="003B6B12"/>
    <w:rsid w:val="003B6C26"/>
    <w:rsid w:val="003B6F0E"/>
    <w:rsid w:val="003B6F59"/>
    <w:rsid w:val="003B7322"/>
    <w:rsid w:val="003B7366"/>
    <w:rsid w:val="003B737E"/>
    <w:rsid w:val="003B73F1"/>
    <w:rsid w:val="003B7E1C"/>
    <w:rsid w:val="003C0175"/>
    <w:rsid w:val="003C032C"/>
    <w:rsid w:val="003C035A"/>
    <w:rsid w:val="003C05BD"/>
    <w:rsid w:val="003C06EA"/>
    <w:rsid w:val="003C07E9"/>
    <w:rsid w:val="003C0822"/>
    <w:rsid w:val="003C09C3"/>
    <w:rsid w:val="003C0D3D"/>
    <w:rsid w:val="003C0DD1"/>
    <w:rsid w:val="003C1617"/>
    <w:rsid w:val="003C1872"/>
    <w:rsid w:val="003C18E3"/>
    <w:rsid w:val="003C1A1B"/>
    <w:rsid w:val="003C1AFC"/>
    <w:rsid w:val="003C1B69"/>
    <w:rsid w:val="003C1BD8"/>
    <w:rsid w:val="003C1C89"/>
    <w:rsid w:val="003C2449"/>
    <w:rsid w:val="003C2610"/>
    <w:rsid w:val="003C2ACC"/>
    <w:rsid w:val="003C2B16"/>
    <w:rsid w:val="003C2B3D"/>
    <w:rsid w:val="003C2BA8"/>
    <w:rsid w:val="003C2D48"/>
    <w:rsid w:val="003C2DA9"/>
    <w:rsid w:val="003C3080"/>
    <w:rsid w:val="003C3150"/>
    <w:rsid w:val="003C353D"/>
    <w:rsid w:val="003C3A55"/>
    <w:rsid w:val="003C3EB6"/>
    <w:rsid w:val="003C40F5"/>
    <w:rsid w:val="003C42BB"/>
    <w:rsid w:val="003C4527"/>
    <w:rsid w:val="003C4645"/>
    <w:rsid w:val="003C47F6"/>
    <w:rsid w:val="003C4AB7"/>
    <w:rsid w:val="003C4BC8"/>
    <w:rsid w:val="003C4C84"/>
    <w:rsid w:val="003C5234"/>
    <w:rsid w:val="003C527B"/>
    <w:rsid w:val="003C52A4"/>
    <w:rsid w:val="003C54F8"/>
    <w:rsid w:val="003C556D"/>
    <w:rsid w:val="003C5903"/>
    <w:rsid w:val="003C5F6F"/>
    <w:rsid w:val="003C5FAE"/>
    <w:rsid w:val="003C61DD"/>
    <w:rsid w:val="003C6996"/>
    <w:rsid w:val="003C6E65"/>
    <w:rsid w:val="003C6ED4"/>
    <w:rsid w:val="003C72D4"/>
    <w:rsid w:val="003C75B9"/>
    <w:rsid w:val="003C76E8"/>
    <w:rsid w:val="003C773D"/>
    <w:rsid w:val="003C77C5"/>
    <w:rsid w:val="003C7A4C"/>
    <w:rsid w:val="003C7BB5"/>
    <w:rsid w:val="003C7F70"/>
    <w:rsid w:val="003C7FC9"/>
    <w:rsid w:val="003D0112"/>
    <w:rsid w:val="003D03B0"/>
    <w:rsid w:val="003D04C7"/>
    <w:rsid w:val="003D070B"/>
    <w:rsid w:val="003D0873"/>
    <w:rsid w:val="003D09B4"/>
    <w:rsid w:val="003D0AC5"/>
    <w:rsid w:val="003D0F6A"/>
    <w:rsid w:val="003D1543"/>
    <w:rsid w:val="003D1785"/>
    <w:rsid w:val="003D19CD"/>
    <w:rsid w:val="003D1A03"/>
    <w:rsid w:val="003D1BF3"/>
    <w:rsid w:val="003D218B"/>
    <w:rsid w:val="003D2307"/>
    <w:rsid w:val="003D2382"/>
    <w:rsid w:val="003D23B6"/>
    <w:rsid w:val="003D24C8"/>
    <w:rsid w:val="003D2841"/>
    <w:rsid w:val="003D2924"/>
    <w:rsid w:val="003D296E"/>
    <w:rsid w:val="003D2B8C"/>
    <w:rsid w:val="003D2E16"/>
    <w:rsid w:val="003D31C1"/>
    <w:rsid w:val="003D33EB"/>
    <w:rsid w:val="003D3A90"/>
    <w:rsid w:val="003D3D71"/>
    <w:rsid w:val="003D3EAC"/>
    <w:rsid w:val="003D3F23"/>
    <w:rsid w:val="003D3FD9"/>
    <w:rsid w:val="003D4002"/>
    <w:rsid w:val="003D400A"/>
    <w:rsid w:val="003D401B"/>
    <w:rsid w:val="003D40B4"/>
    <w:rsid w:val="003D43FE"/>
    <w:rsid w:val="003D4699"/>
    <w:rsid w:val="003D484A"/>
    <w:rsid w:val="003D4999"/>
    <w:rsid w:val="003D4BDE"/>
    <w:rsid w:val="003D4E11"/>
    <w:rsid w:val="003D4FDF"/>
    <w:rsid w:val="003D51C1"/>
    <w:rsid w:val="003D53B7"/>
    <w:rsid w:val="003D5432"/>
    <w:rsid w:val="003D57C2"/>
    <w:rsid w:val="003D5801"/>
    <w:rsid w:val="003D5BBA"/>
    <w:rsid w:val="003D5DAF"/>
    <w:rsid w:val="003D5DD4"/>
    <w:rsid w:val="003D5EAC"/>
    <w:rsid w:val="003D64E6"/>
    <w:rsid w:val="003D65C9"/>
    <w:rsid w:val="003D6642"/>
    <w:rsid w:val="003D6699"/>
    <w:rsid w:val="003D6727"/>
    <w:rsid w:val="003D6CD7"/>
    <w:rsid w:val="003D7181"/>
    <w:rsid w:val="003D72BC"/>
    <w:rsid w:val="003D75A1"/>
    <w:rsid w:val="003D791C"/>
    <w:rsid w:val="003D7C92"/>
    <w:rsid w:val="003D7EA6"/>
    <w:rsid w:val="003D7F7B"/>
    <w:rsid w:val="003E0055"/>
    <w:rsid w:val="003E0150"/>
    <w:rsid w:val="003E024A"/>
    <w:rsid w:val="003E03AC"/>
    <w:rsid w:val="003E0589"/>
    <w:rsid w:val="003E0628"/>
    <w:rsid w:val="003E07E0"/>
    <w:rsid w:val="003E081A"/>
    <w:rsid w:val="003E0A38"/>
    <w:rsid w:val="003E0E1D"/>
    <w:rsid w:val="003E0FBE"/>
    <w:rsid w:val="003E1588"/>
    <w:rsid w:val="003E1741"/>
    <w:rsid w:val="003E192E"/>
    <w:rsid w:val="003E195C"/>
    <w:rsid w:val="003E2088"/>
    <w:rsid w:val="003E2108"/>
    <w:rsid w:val="003E2314"/>
    <w:rsid w:val="003E247F"/>
    <w:rsid w:val="003E24AE"/>
    <w:rsid w:val="003E265C"/>
    <w:rsid w:val="003E29D5"/>
    <w:rsid w:val="003E2C1B"/>
    <w:rsid w:val="003E2D62"/>
    <w:rsid w:val="003E2DF3"/>
    <w:rsid w:val="003E2FBC"/>
    <w:rsid w:val="003E306F"/>
    <w:rsid w:val="003E30E0"/>
    <w:rsid w:val="003E315D"/>
    <w:rsid w:val="003E3416"/>
    <w:rsid w:val="003E3DE0"/>
    <w:rsid w:val="003E410D"/>
    <w:rsid w:val="003E4951"/>
    <w:rsid w:val="003E495B"/>
    <w:rsid w:val="003E4B11"/>
    <w:rsid w:val="003E4F48"/>
    <w:rsid w:val="003E54D4"/>
    <w:rsid w:val="003E550D"/>
    <w:rsid w:val="003E55E4"/>
    <w:rsid w:val="003E584E"/>
    <w:rsid w:val="003E58D8"/>
    <w:rsid w:val="003E5C44"/>
    <w:rsid w:val="003E5F86"/>
    <w:rsid w:val="003E6614"/>
    <w:rsid w:val="003E6695"/>
    <w:rsid w:val="003E6B79"/>
    <w:rsid w:val="003E706D"/>
    <w:rsid w:val="003E767E"/>
    <w:rsid w:val="003E7D8C"/>
    <w:rsid w:val="003F0131"/>
    <w:rsid w:val="003F0214"/>
    <w:rsid w:val="003F0569"/>
    <w:rsid w:val="003F07E0"/>
    <w:rsid w:val="003F0855"/>
    <w:rsid w:val="003F0B74"/>
    <w:rsid w:val="003F0F1C"/>
    <w:rsid w:val="003F134C"/>
    <w:rsid w:val="003F14AE"/>
    <w:rsid w:val="003F158F"/>
    <w:rsid w:val="003F179A"/>
    <w:rsid w:val="003F17B4"/>
    <w:rsid w:val="003F1A0D"/>
    <w:rsid w:val="003F1A2B"/>
    <w:rsid w:val="003F1C95"/>
    <w:rsid w:val="003F1D81"/>
    <w:rsid w:val="003F1E93"/>
    <w:rsid w:val="003F1F9D"/>
    <w:rsid w:val="003F210D"/>
    <w:rsid w:val="003F21C0"/>
    <w:rsid w:val="003F2381"/>
    <w:rsid w:val="003F27C1"/>
    <w:rsid w:val="003F284C"/>
    <w:rsid w:val="003F30DE"/>
    <w:rsid w:val="003F311D"/>
    <w:rsid w:val="003F3359"/>
    <w:rsid w:val="003F397C"/>
    <w:rsid w:val="003F3F29"/>
    <w:rsid w:val="003F3F89"/>
    <w:rsid w:val="003F4459"/>
    <w:rsid w:val="003F44C6"/>
    <w:rsid w:val="003F4587"/>
    <w:rsid w:val="003F4652"/>
    <w:rsid w:val="003F46B3"/>
    <w:rsid w:val="003F49D2"/>
    <w:rsid w:val="003F4E6A"/>
    <w:rsid w:val="003F4E7A"/>
    <w:rsid w:val="003F5349"/>
    <w:rsid w:val="003F5490"/>
    <w:rsid w:val="003F557D"/>
    <w:rsid w:val="003F5789"/>
    <w:rsid w:val="003F5E0F"/>
    <w:rsid w:val="003F5EB3"/>
    <w:rsid w:val="003F607C"/>
    <w:rsid w:val="003F609A"/>
    <w:rsid w:val="003F65E2"/>
    <w:rsid w:val="003F6736"/>
    <w:rsid w:val="003F68A0"/>
    <w:rsid w:val="003F69B3"/>
    <w:rsid w:val="003F6C14"/>
    <w:rsid w:val="003F6C16"/>
    <w:rsid w:val="003F6FA3"/>
    <w:rsid w:val="003F70DF"/>
    <w:rsid w:val="003F71E4"/>
    <w:rsid w:val="003F732D"/>
    <w:rsid w:val="003F7361"/>
    <w:rsid w:val="003F73A3"/>
    <w:rsid w:val="003F76FE"/>
    <w:rsid w:val="003F7D58"/>
    <w:rsid w:val="003F7F13"/>
    <w:rsid w:val="004000FF"/>
    <w:rsid w:val="00400135"/>
    <w:rsid w:val="004002F7"/>
    <w:rsid w:val="004003EE"/>
    <w:rsid w:val="00400430"/>
    <w:rsid w:val="00400812"/>
    <w:rsid w:val="00400C00"/>
    <w:rsid w:val="00400C23"/>
    <w:rsid w:val="00400FAB"/>
    <w:rsid w:val="0040128D"/>
    <w:rsid w:val="00401464"/>
    <w:rsid w:val="00401A40"/>
    <w:rsid w:val="00401B19"/>
    <w:rsid w:val="00401B40"/>
    <w:rsid w:val="00401E05"/>
    <w:rsid w:val="00401FFC"/>
    <w:rsid w:val="004022C1"/>
    <w:rsid w:val="004023CC"/>
    <w:rsid w:val="00402561"/>
    <w:rsid w:val="0040258C"/>
    <w:rsid w:val="00402EEA"/>
    <w:rsid w:val="00403358"/>
    <w:rsid w:val="0040338D"/>
    <w:rsid w:val="00403635"/>
    <w:rsid w:val="004036FE"/>
    <w:rsid w:val="0040391A"/>
    <w:rsid w:val="00403C7F"/>
    <w:rsid w:val="00403CB0"/>
    <w:rsid w:val="00403EC7"/>
    <w:rsid w:val="0040406C"/>
    <w:rsid w:val="0040414C"/>
    <w:rsid w:val="00404310"/>
    <w:rsid w:val="004043A0"/>
    <w:rsid w:val="00404479"/>
    <w:rsid w:val="0040456F"/>
    <w:rsid w:val="00404843"/>
    <w:rsid w:val="00404A5A"/>
    <w:rsid w:val="00404B2C"/>
    <w:rsid w:val="00404B63"/>
    <w:rsid w:val="00404B95"/>
    <w:rsid w:val="00404D75"/>
    <w:rsid w:val="00404E22"/>
    <w:rsid w:val="00404FC4"/>
    <w:rsid w:val="00405397"/>
    <w:rsid w:val="0040557F"/>
    <w:rsid w:val="00405995"/>
    <w:rsid w:val="00405D8A"/>
    <w:rsid w:val="004061AB"/>
    <w:rsid w:val="004064FB"/>
    <w:rsid w:val="00406620"/>
    <w:rsid w:val="00406676"/>
    <w:rsid w:val="00406EE5"/>
    <w:rsid w:val="004072C7"/>
    <w:rsid w:val="004076BB"/>
    <w:rsid w:val="00407705"/>
    <w:rsid w:val="0040783B"/>
    <w:rsid w:val="00407889"/>
    <w:rsid w:val="00407A31"/>
    <w:rsid w:val="00407CB2"/>
    <w:rsid w:val="00407D9F"/>
    <w:rsid w:val="00407E96"/>
    <w:rsid w:val="0041046A"/>
    <w:rsid w:val="004104D9"/>
    <w:rsid w:val="004107FC"/>
    <w:rsid w:val="00410C05"/>
    <w:rsid w:val="00410E6C"/>
    <w:rsid w:val="00410E90"/>
    <w:rsid w:val="0041186B"/>
    <w:rsid w:val="00411D83"/>
    <w:rsid w:val="00411EBC"/>
    <w:rsid w:val="004121F9"/>
    <w:rsid w:val="004122B8"/>
    <w:rsid w:val="0041234A"/>
    <w:rsid w:val="004125C3"/>
    <w:rsid w:val="0041266D"/>
    <w:rsid w:val="0041295A"/>
    <w:rsid w:val="00412AFD"/>
    <w:rsid w:val="00412CB6"/>
    <w:rsid w:val="00412DC2"/>
    <w:rsid w:val="00412F5B"/>
    <w:rsid w:val="00413160"/>
    <w:rsid w:val="0041322C"/>
    <w:rsid w:val="004133D6"/>
    <w:rsid w:val="00413689"/>
    <w:rsid w:val="00413704"/>
    <w:rsid w:val="00413709"/>
    <w:rsid w:val="0041386B"/>
    <w:rsid w:val="00413ADB"/>
    <w:rsid w:val="00413E7B"/>
    <w:rsid w:val="00413EAA"/>
    <w:rsid w:val="0041408F"/>
    <w:rsid w:val="004144FE"/>
    <w:rsid w:val="004147D4"/>
    <w:rsid w:val="00414BB7"/>
    <w:rsid w:val="00414C05"/>
    <w:rsid w:val="00414E06"/>
    <w:rsid w:val="004150CB"/>
    <w:rsid w:val="00415345"/>
    <w:rsid w:val="004153C2"/>
    <w:rsid w:val="00415418"/>
    <w:rsid w:val="00415745"/>
    <w:rsid w:val="0041575C"/>
    <w:rsid w:val="00415944"/>
    <w:rsid w:val="00415CEE"/>
    <w:rsid w:val="00415DB5"/>
    <w:rsid w:val="004163DF"/>
    <w:rsid w:val="00416567"/>
    <w:rsid w:val="0041659A"/>
    <w:rsid w:val="00416831"/>
    <w:rsid w:val="00416B37"/>
    <w:rsid w:val="00416DC6"/>
    <w:rsid w:val="00416EEA"/>
    <w:rsid w:val="0041701F"/>
    <w:rsid w:val="004178B5"/>
    <w:rsid w:val="00417BC5"/>
    <w:rsid w:val="00417C53"/>
    <w:rsid w:val="00417FDB"/>
    <w:rsid w:val="004202E4"/>
    <w:rsid w:val="00420B20"/>
    <w:rsid w:val="00420BD0"/>
    <w:rsid w:val="00420ED8"/>
    <w:rsid w:val="00421197"/>
    <w:rsid w:val="00421274"/>
    <w:rsid w:val="00421AC1"/>
    <w:rsid w:val="00421CAD"/>
    <w:rsid w:val="00421DAB"/>
    <w:rsid w:val="00421F21"/>
    <w:rsid w:val="00422372"/>
    <w:rsid w:val="00422869"/>
    <w:rsid w:val="004228DA"/>
    <w:rsid w:val="004229DE"/>
    <w:rsid w:val="00422C8D"/>
    <w:rsid w:val="00422EB9"/>
    <w:rsid w:val="00423295"/>
    <w:rsid w:val="004234D7"/>
    <w:rsid w:val="004237A3"/>
    <w:rsid w:val="00423ADD"/>
    <w:rsid w:val="00423B5B"/>
    <w:rsid w:val="00423F14"/>
    <w:rsid w:val="00423FC3"/>
    <w:rsid w:val="0042406D"/>
    <w:rsid w:val="00424070"/>
    <w:rsid w:val="004240B7"/>
    <w:rsid w:val="004241D1"/>
    <w:rsid w:val="00424290"/>
    <w:rsid w:val="00424928"/>
    <w:rsid w:val="00424AE7"/>
    <w:rsid w:val="00424C3E"/>
    <w:rsid w:val="00424D22"/>
    <w:rsid w:val="00424FC8"/>
    <w:rsid w:val="004250C6"/>
    <w:rsid w:val="0042529B"/>
    <w:rsid w:val="004252F6"/>
    <w:rsid w:val="00425813"/>
    <w:rsid w:val="004258C0"/>
    <w:rsid w:val="00425FFC"/>
    <w:rsid w:val="00426265"/>
    <w:rsid w:val="00426719"/>
    <w:rsid w:val="00426BA5"/>
    <w:rsid w:val="004270C6"/>
    <w:rsid w:val="004270FA"/>
    <w:rsid w:val="004272DF"/>
    <w:rsid w:val="004274A5"/>
    <w:rsid w:val="00427528"/>
    <w:rsid w:val="00427EBE"/>
    <w:rsid w:val="00427EEB"/>
    <w:rsid w:val="0043001E"/>
    <w:rsid w:val="00430144"/>
    <w:rsid w:val="00430241"/>
    <w:rsid w:val="0043030F"/>
    <w:rsid w:val="00430594"/>
    <w:rsid w:val="0043063E"/>
    <w:rsid w:val="00430721"/>
    <w:rsid w:val="00430876"/>
    <w:rsid w:val="00430B8A"/>
    <w:rsid w:val="00430BD2"/>
    <w:rsid w:val="00430C95"/>
    <w:rsid w:val="00430E47"/>
    <w:rsid w:val="0043101C"/>
    <w:rsid w:val="004310A1"/>
    <w:rsid w:val="004311E7"/>
    <w:rsid w:val="004314A9"/>
    <w:rsid w:val="00431767"/>
    <w:rsid w:val="0043191E"/>
    <w:rsid w:val="00431B10"/>
    <w:rsid w:val="00432318"/>
    <w:rsid w:val="00432348"/>
    <w:rsid w:val="00432395"/>
    <w:rsid w:val="00432583"/>
    <w:rsid w:val="00432725"/>
    <w:rsid w:val="00432A50"/>
    <w:rsid w:val="00432BEA"/>
    <w:rsid w:val="00432D90"/>
    <w:rsid w:val="00432E56"/>
    <w:rsid w:val="00432FEF"/>
    <w:rsid w:val="004339D8"/>
    <w:rsid w:val="00433A85"/>
    <w:rsid w:val="00433AD2"/>
    <w:rsid w:val="00433B0E"/>
    <w:rsid w:val="00433B9C"/>
    <w:rsid w:val="00433C83"/>
    <w:rsid w:val="00433CBE"/>
    <w:rsid w:val="00433E19"/>
    <w:rsid w:val="00434288"/>
    <w:rsid w:val="00434393"/>
    <w:rsid w:val="00434683"/>
    <w:rsid w:val="0043474F"/>
    <w:rsid w:val="004347CC"/>
    <w:rsid w:val="0043483C"/>
    <w:rsid w:val="004349DB"/>
    <w:rsid w:val="00434C0B"/>
    <w:rsid w:val="00434C30"/>
    <w:rsid w:val="00434C94"/>
    <w:rsid w:val="00434D39"/>
    <w:rsid w:val="00434DD4"/>
    <w:rsid w:val="00434EB1"/>
    <w:rsid w:val="00434EB6"/>
    <w:rsid w:val="00434F2F"/>
    <w:rsid w:val="0043520E"/>
    <w:rsid w:val="004353F2"/>
    <w:rsid w:val="00435406"/>
    <w:rsid w:val="004354A4"/>
    <w:rsid w:val="00435594"/>
    <w:rsid w:val="004359CD"/>
    <w:rsid w:val="00435D50"/>
    <w:rsid w:val="00435D67"/>
    <w:rsid w:val="004361AA"/>
    <w:rsid w:val="00436292"/>
    <w:rsid w:val="00436372"/>
    <w:rsid w:val="0043657D"/>
    <w:rsid w:val="00436795"/>
    <w:rsid w:val="00436974"/>
    <w:rsid w:val="00436B27"/>
    <w:rsid w:val="00436B3E"/>
    <w:rsid w:val="00436D6A"/>
    <w:rsid w:val="00436E45"/>
    <w:rsid w:val="00436E5A"/>
    <w:rsid w:val="00436F17"/>
    <w:rsid w:val="0043723C"/>
    <w:rsid w:val="0043736A"/>
    <w:rsid w:val="00437757"/>
    <w:rsid w:val="00437CA1"/>
    <w:rsid w:val="00437D6C"/>
    <w:rsid w:val="00437FAB"/>
    <w:rsid w:val="0044000B"/>
    <w:rsid w:val="004400BD"/>
    <w:rsid w:val="004402E3"/>
    <w:rsid w:val="00440309"/>
    <w:rsid w:val="00440591"/>
    <w:rsid w:val="004408D4"/>
    <w:rsid w:val="0044098B"/>
    <w:rsid w:val="00440BE3"/>
    <w:rsid w:val="00440D9D"/>
    <w:rsid w:val="00440DDB"/>
    <w:rsid w:val="0044166F"/>
    <w:rsid w:val="004416D8"/>
    <w:rsid w:val="00441BE0"/>
    <w:rsid w:val="00441C89"/>
    <w:rsid w:val="00441DB0"/>
    <w:rsid w:val="00441DB6"/>
    <w:rsid w:val="004420D7"/>
    <w:rsid w:val="004420D8"/>
    <w:rsid w:val="00442381"/>
    <w:rsid w:val="004423A8"/>
    <w:rsid w:val="004427FD"/>
    <w:rsid w:val="0044298B"/>
    <w:rsid w:val="00442A2A"/>
    <w:rsid w:val="004432BF"/>
    <w:rsid w:val="00443F1C"/>
    <w:rsid w:val="004442B7"/>
    <w:rsid w:val="00444842"/>
    <w:rsid w:val="0044498B"/>
    <w:rsid w:val="00444A64"/>
    <w:rsid w:val="00444B22"/>
    <w:rsid w:val="00444D13"/>
    <w:rsid w:val="00444E41"/>
    <w:rsid w:val="0044507D"/>
    <w:rsid w:val="00445163"/>
    <w:rsid w:val="004451C1"/>
    <w:rsid w:val="0044534A"/>
    <w:rsid w:val="0044539B"/>
    <w:rsid w:val="00445478"/>
    <w:rsid w:val="00445B21"/>
    <w:rsid w:val="00445CA8"/>
    <w:rsid w:val="00445F1A"/>
    <w:rsid w:val="00445F33"/>
    <w:rsid w:val="0044633A"/>
    <w:rsid w:val="004465B6"/>
    <w:rsid w:val="00446881"/>
    <w:rsid w:val="00446930"/>
    <w:rsid w:val="00446D40"/>
    <w:rsid w:val="00446F9E"/>
    <w:rsid w:val="00447335"/>
    <w:rsid w:val="00447708"/>
    <w:rsid w:val="00447D98"/>
    <w:rsid w:val="00447E00"/>
    <w:rsid w:val="00447EA9"/>
    <w:rsid w:val="00447F34"/>
    <w:rsid w:val="00450032"/>
    <w:rsid w:val="0045008F"/>
    <w:rsid w:val="0045017D"/>
    <w:rsid w:val="004503CF"/>
    <w:rsid w:val="0045042C"/>
    <w:rsid w:val="0045055A"/>
    <w:rsid w:val="0045055E"/>
    <w:rsid w:val="0045074F"/>
    <w:rsid w:val="004508CF"/>
    <w:rsid w:val="00450C08"/>
    <w:rsid w:val="00450D4E"/>
    <w:rsid w:val="00450DD0"/>
    <w:rsid w:val="004512BF"/>
    <w:rsid w:val="0045177B"/>
    <w:rsid w:val="00451B24"/>
    <w:rsid w:val="00451DF0"/>
    <w:rsid w:val="0045237C"/>
    <w:rsid w:val="00452517"/>
    <w:rsid w:val="004526B8"/>
    <w:rsid w:val="00452734"/>
    <w:rsid w:val="00452766"/>
    <w:rsid w:val="004528AB"/>
    <w:rsid w:val="00452A9C"/>
    <w:rsid w:val="00453044"/>
    <w:rsid w:val="00453220"/>
    <w:rsid w:val="004534A7"/>
    <w:rsid w:val="00453643"/>
    <w:rsid w:val="00453C62"/>
    <w:rsid w:val="00453D3E"/>
    <w:rsid w:val="00453E5D"/>
    <w:rsid w:val="00453ED1"/>
    <w:rsid w:val="00454138"/>
    <w:rsid w:val="0045431A"/>
    <w:rsid w:val="004546CB"/>
    <w:rsid w:val="00454CB3"/>
    <w:rsid w:val="00455152"/>
    <w:rsid w:val="0045517C"/>
    <w:rsid w:val="004554A3"/>
    <w:rsid w:val="004557CA"/>
    <w:rsid w:val="00455952"/>
    <w:rsid w:val="00455971"/>
    <w:rsid w:val="00455E98"/>
    <w:rsid w:val="004560B2"/>
    <w:rsid w:val="00456172"/>
    <w:rsid w:val="0045639B"/>
    <w:rsid w:val="004566E2"/>
    <w:rsid w:val="00456902"/>
    <w:rsid w:val="00456AB1"/>
    <w:rsid w:val="00457089"/>
    <w:rsid w:val="0045740A"/>
    <w:rsid w:val="00457462"/>
    <w:rsid w:val="0045749F"/>
    <w:rsid w:val="004579C5"/>
    <w:rsid w:val="00457B16"/>
    <w:rsid w:val="00457BB0"/>
    <w:rsid w:val="00457E7A"/>
    <w:rsid w:val="00460056"/>
    <w:rsid w:val="00460097"/>
    <w:rsid w:val="004604EB"/>
    <w:rsid w:val="00460596"/>
    <w:rsid w:val="00460615"/>
    <w:rsid w:val="00460678"/>
    <w:rsid w:val="0046099A"/>
    <w:rsid w:val="00460B26"/>
    <w:rsid w:val="00460BD2"/>
    <w:rsid w:val="00460D7D"/>
    <w:rsid w:val="0046117E"/>
    <w:rsid w:val="004614F4"/>
    <w:rsid w:val="00461903"/>
    <w:rsid w:val="00461AF1"/>
    <w:rsid w:val="00461B3D"/>
    <w:rsid w:val="00461BEA"/>
    <w:rsid w:val="00461BFA"/>
    <w:rsid w:val="00461CF6"/>
    <w:rsid w:val="00461DF6"/>
    <w:rsid w:val="00461F85"/>
    <w:rsid w:val="004620CB"/>
    <w:rsid w:val="0046214B"/>
    <w:rsid w:val="0046217A"/>
    <w:rsid w:val="00462220"/>
    <w:rsid w:val="00462784"/>
    <w:rsid w:val="00462A77"/>
    <w:rsid w:val="00462B0D"/>
    <w:rsid w:val="00462E1D"/>
    <w:rsid w:val="00462E7A"/>
    <w:rsid w:val="00462FF0"/>
    <w:rsid w:val="00463027"/>
    <w:rsid w:val="0046302B"/>
    <w:rsid w:val="004634A2"/>
    <w:rsid w:val="00463643"/>
    <w:rsid w:val="00463DEF"/>
    <w:rsid w:val="004640BD"/>
    <w:rsid w:val="0046425B"/>
    <w:rsid w:val="00464287"/>
    <w:rsid w:val="0046438C"/>
    <w:rsid w:val="0046441C"/>
    <w:rsid w:val="0046466E"/>
    <w:rsid w:val="0046482A"/>
    <w:rsid w:val="0046497A"/>
    <w:rsid w:val="004649BB"/>
    <w:rsid w:val="00464A68"/>
    <w:rsid w:val="00464AA4"/>
    <w:rsid w:val="00464CED"/>
    <w:rsid w:val="00464D11"/>
    <w:rsid w:val="00465060"/>
    <w:rsid w:val="0046516F"/>
    <w:rsid w:val="0046518B"/>
    <w:rsid w:val="004652BA"/>
    <w:rsid w:val="00465546"/>
    <w:rsid w:val="00465B9E"/>
    <w:rsid w:val="00465C0C"/>
    <w:rsid w:val="00465FDC"/>
    <w:rsid w:val="004668DA"/>
    <w:rsid w:val="00466BDD"/>
    <w:rsid w:val="00466C7E"/>
    <w:rsid w:val="00467067"/>
    <w:rsid w:val="004670FC"/>
    <w:rsid w:val="004671E6"/>
    <w:rsid w:val="004672B5"/>
    <w:rsid w:val="00467456"/>
    <w:rsid w:val="004675C1"/>
    <w:rsid w:val="0046770B"/>
    <w:rsid w:val="00467774"/>
    <w:rsid w:val="004677F7"/>
    <w:rsid w:val="00467A9F"/>
    <w:rsid w:val="00467BA2"/>
    <w:rsid w:val="00467D9A"/>
    <w:rsid w:val="00470100"/>
    <w:rsid w:val="004701AE"/>
    <w:rsid w:val="004706A6"/>
    <w:rsid w:val="00470715"/>
    <w:rsid w:val="00470A65"/>
    <w:rsid w:val="00470B6D"/>
    <w:rsid w:val="00470E6B"/>
    <w:rsid w:val="00471664"/>
    <w:rsid w:val="00471872"/>
    <w:rsid w:val="00471AD2"/>
    <w:rsid w:val="00471AF7"/>
    <w:rsid w:val="00471B08"/>
    <w:rsid w:val="00471B14"/>
    <w:rsid w:val="00471BC6"/>
    <w:rsid w:val="00471E11"/>
    <w:rsid w:val="00471FAF"/>
    <w:rsid w:val="00472195"/>
    <w:rsid w:val="00472288"/>
    <w:rsid w:val="0047239E"/>
    <w:rsid w:val="00472512"/>
    <w:rsid w:val="004725F4"/>
    <w:rsid w:val="004728CD"/>
    <w:rsid w:val="0047294F"/>
    <w:rsid w:val="00472D92"/>
    <w:rsid w:val="00472DAA"/>
    <w:rsid w:val="00472EB3"/>
    <w:rsid w:val="00472FFD"/>
    <w:rsid w:val="0047309A"/>
    <w:rsid w:val="0047355B"/>
    <w:rsid w:val="0047388A"/>
    <w:rsid w:val="00473D13"/>
    <w:rsid w:val="00473F35"/>
    <w:rsid w:val="00473F9F"/>
    <w:rsid w:val="00474060"/>
    <w:rsid w:val="004742BA"/>
    <w:rsid w:val="004742F9"/>
    <w:rsid w:val="004747A1"/>
    <w:rsid w:val="00474AA3"/>
    <w:rsid w:val="00474D80"/>
    <w:rsid w:val="00474DA5"/>
    <w:rsid w:val="00474E52"/>
    <w:rsid w:val="004752E9"/>
    <w:rsid w:val="004754A8"/>
    <w:rsid w:val="00475631"/>
    <w:rsid w:val="0047616E"/>
    <w:rsid w:val="00476550"/>
    <w:rsid w:val="0047678E"/>
    <w:rsid w:val="00476951"/>
    <w:rsid w:val="00476A11"/>
    <w:rsid w:val="0047778B"/>
    <w:rsid w:val="0047781B"/>
    <w:rsid w:val="004778A9"/>
    <w:rsid w:val="00477ABD"/>
    <w:rsid w:val="00477B99"/>
    <w:rsid w:val="00477BB4"/>
    <w:rsid w:val="00477CCB"/>
    <w:rsid w:val="00480029"/>
    <w:rsid w:val="004800B7"/>
    <w:rsid w:val="00480357"/>
    <w:rsid w:val="00480715"/>
    <w:rsid w:val="004808A2"/>
    <w:rsid w:val="00480A70"/>
    <w:rsid w:val="00480AC8"/>
    <w:rsid w:val="00480E05"/>
    <w:rsid w:val="00480E44"/>
    <w:rsid w:val="0048109D"/>
    <w:rsid w:val="00481703"/>
    <w:rsid w:val="00481ABF"/>
    <w:rsid w:val="004825E2"/>
    <w:rsid w:val="004827E6"/>
    <w:rsid w:val="004827E8"/>
    <w:rsid w:val="004828DC"/>
    <w:rsid w:val="00482AB5"/>
    <w:rsid w:val="00482DA8"/>
    <w:rsid w:val="004837F0"/>
    <w:rsid w:val="004838B7"/>
    <w:rsid w:val="004838D0"/>
    <w:rsid w:val="00483B87"/>
    <w:rsid w:val="00483CE4"/>
    <w:rsid w:val="00483E31"/>
    <w:rsid w:val="004843F5"/>
    <w:rsid w:val="00484427"/>
    <w:rsid w:val="00484464"/>
    <w:rsid w:val="004847A8"/>
    <w:rsid w:val="004849B1"/>
    <w:rsid w:val="00484D18"/>
    <w:rsid w:val="00484EFF"/>
    <w:rsid w:val="00484FE3"/>
    <w:rsid w:val="00484FEE"/>
    <w:rsid w:val="004850D6"/>
    <w:rsid w:val="00485280"/>
    <w:rsid w:val="0048531A"/>
    <w:rsid w:val="004859AD"/>
    <w:rsid w:val="00485A2C"/>
    <w:rsid w:val="00485C63"/>
    <w:rsid w:val="00485DC9"/>
    <w:rsid w:val="00486604"/>
    <w:rsid w:val="00486C4C"/>
    <w:rsid w:val="0048703E"/>
    <w:rsid w:val="00487109"/>
    <w:rsid w:val="004875DA"/>
    <w:rsid w:val="00487658"/>
    <w:rsid w:val="0048771B"/>
    <w:rsid w:val="0048781E"/>
    <w:rsid w:val="00487C4F"/>
    <w:rsid w:val="00487DA6"/>
    <w:rsid w:val="00487E40"/>
    <w:rsid w:val="00487E49"/>
    <w:rsid w:val="004902A6"/>
    <w:rsid w:val="0049031C"/>
    <w:rsid w:val="004905B7"/>
    <w:rsid w:val="004909D7"/>
    <w:rsid w:val="00490DD4"/>
    <w:rsid w:val="00490EA7"/>
    <w:rsid w:val="004911A9"/>
    <w:rsid w:val="004912C4"/>
    <w:rsid w:val="004913E1"/>
    <w:rsid w:val="00491555"/>
    <w:rsid w:val="00492111"/>
    <w:rsid w:val="0049218D"/>
    <w:rsid w:val="00492243"/>
    <w:rsid w:val="0049236A"/>
    <w:rsid w:val="0049260C"/>
    <w:rsid w:val="00492706"/>
    <w:rsid w:val="00492BE5"/>
    <w:rsid w:val="00492DB0"/>
    <w:rsid w:val="00492FE6"/>
    <w:rsid w:val="00493049"/>
    <w:rsid w:val="004931FB"/>
    <w:rsid w:val="00493338"/>
    <w:rsid w:val="0049366E"/>
    <w:rsid w:val="00493AD2"/>
    <w:rsid w:val="00493F35"/>
    <w:rsid w:val="00494032"/>
    <w:rsid w:val="004940EA"/>
    <w:rsid w:val="00494219"/>
    <w:rsid w:val="0049442F"/>
    <w:rsid w:val="004946D7"/>
    <w:rsid w:val="00494782"/>
    <w:rsid w:val="00494CFD"/>
    <w:rsid w:val="00494D1F"/>
    <w:rsid w:val="00494D21"/>
    <w:rsid w:val="00494F24"/>
    <w:rsid w:val="00495063"/>
    <w:rsid w:val="004950C7"/>
    <w:rsid w:val="0049540B"/>
    <w:rsid w:val="00495A16"/>
    <w:rsid w:val="004961F0"/>
    <w:rsid w:val="00496341"/>
    <w:rsid w:val="00496883"/>
    <w:rsid w:val="0049698B"/>
    <w:rsid w:val="00496A03"/>
    <w:rsid w:val="00496A96"/>
    <w:rsid w:val="00496B09"/>
    <w:rsid w:val="004970A5"/>
    <w:rsid w:val="00497219"/>
    <w:rsid w:val="0049734B"/>
    <w:rsid w:val="004974DF"/>
    <w:rsid w:val="0049777C"/>
    <w:rsid w:val="0049784C"/>
    <w:rsid w:val="00497A43"/>
    <w:rsid w:val="00497C43"/>
    <w:rsid w:val="004A00EE"/>
    <w:rsid w:val="004A05DB"/>
    <w:rsid w:val="004A06CB"/>
    <w:rsid w:val="004A09AF"/>
    <w:rsid w:val="004A0A00"/>
    <w:rsid w:val="004A0E01"/>
    <w:rsid w:val="004A0EF1"/>
    <w:rsid w:val="004A0FA4"/>
    <w:rsid w:val="004A102C"/>
    <w:rsid w:val="004A126D"/>
    <w:rsid w:val="004A1479"/>
    <w:rsid w:val="004A1503"/>
    <w:rsid w:val="004A15C5"/>
    <w:rsid w:val="004A16D6"/>
    <w:rsid w:val="004A17FA"/>
    <w:rsid w:val="004A181B"/>
    <w:rsid w:val="004A1DC1"/>
    <w:rsid w:val="004A2158"/>
    <w:rsid w:val="004A218E"/>
    <w:rsid w:val="004A2322"/>
    <w:rsid w:val="004A23AF"/>
    <w:rsid w:val="004A23E5"/>
    <w:rsid w:val="004A2516"/>
    <w:rsid w:val="004A26F7"/>
    <w:rsid w:val="004A28F4"/>
    <w:rsid w:val="004A29DD"/>
    <w:rsid w:val="004A2B15"/>
    <w:rsid w:val="004A2F20"/>
    <w:rsid w:val="004A316E"/>
    <w:rsid w:val="004A332C"/>
    <w:rsid w:val="004A33A1"/>
    <w:rsid w:val="004A33C2"/>
    <w:rsid w:val="004A3428"/>
    <w:rsid w:val="004A353D"/>
    <w:rsid w:val="004A3850"/>
    <w:rsid w:val="004A3ADF"/>
    <w:rsid w:val="004A3B61"/>
    <w:rsid w:val="004A3C80"/>
    <w:rsid w:val="004A40E8"/>
    <w:rsid w:val="004A412F"/>
    <w:rsid w:val="004A4161"/>
    <w:rsid w:val="004A474A"/>
    <w:rsid w:val="004A47FD"/>
    <w:rsid w:val="004A4ABF"/>
    <w:rsid w:val="004A4C05"/>
    <w:rsid w:val="004A4C2A"/>
    <w:rsid w:val="004A4CE3"/>
    <w:rsid w:val="004A57CB"/>
    <w:rsid w:val="004A5946"/>
    <w:rsid w:val="004A5C00"/>
    <w:rsid w:val="004A5F2C"/>
    <w:rsid w:val="004A64C6"/>
    <w:rsid w:val="004A6830"/>
    <w:rsid w:val="004A68F2"/>
    <w:rsid w:val="004A69A6"/>
    <w:rsid w:val="004A6B5E"/>
    <w:rsid w:val="004A6C77"/>
    <w:rsid w:val="004A6CA3"/>
    <w:rsid w:val="004A6D70"/>
    <w:rsid w:val="004A6D93"/>
    <w:rsid w:val="004A6FC2"/>
    <w:rsid w:val="004A73EB"/>
    <w:rsid w:val="004A7430"/>
    <w:rsid w:val="004A75C6"/>
    <w:rsid w:val="004A75DC"/>
    <w:rsid w:val="004A7629"/>
    <w:rsid w:val="004A7DBF"/>
    <w:rsid w:val="004B0057"/>
    <w:rsid w:val="004B03D7"/>
    <w:rsid w:val="004B04DB"/>
    <w:rsid w:val="004B06C8"/>
    <w:rsid w:val="004B07E3"/>
    <w:rsid w:val="004B0CDE"/>
    <w:rsid w:val="004B0E65"/>
    <w:rsid w:val="004B105B"/>
    <w:rsid w:val="004B114F"/>
    <w:rsid w:val="004B149D"/>
    <w:rsid w:val="004B1874"/>
    <w:rsid w:val="004B199C"/>
    <w:rsid w:val="004B1CBC"/>
    <w:rsid w:val="004B1CFF"/>
    <w:rsid w:val="004B1E61"/>
    <w:rsid w:val="004B21CC"/>
    <w:rsid w:val="004B241C"/>
    <w:rsid w:val="004B277C"/>
    <w:rsid w:val="004B2AE6"/>
    <w:rsid w:val="004B2CE8"/>
    <w:rsid w:val="004B2F4B"/>
    <w:rsid w:val="004B2FF9"/>
    <w:rsid w:val="004B311B"/>
    <w:rsid w:val="004B341A"/>
    <w:rsid w:val="004B3A39"/>
    <w:rsid w:val="004B3E67"/>
    <w:rsid w:val="004B3E9F"/>
    <w:rsid w:val="004B3ED0"/>
    <w:rsid w:val="004B435F"/>
    <w:rsid w:val="004B4374"/>
    <w:rsid w:val="004B44C5"/>
    <w:rsid w:val="004B46A2"/>
    <w:rsid w:val="004B487D"/>
    <w:rsid w:val="004B49BB"/>
    <w:rsid w:val="004B4C07"/>
    <w:rsid w:val="004B4CE0"/>
    <w:rsid w:val="004B506A"/>
    <w:rsid w:val="004B55CE"/>
    <w:rsid w:val="004B5825"/>
    <w:rsid w:val="004B5886"/>
    <w:rsid w:val="004B5897"/>
    <w:rsid w:val="004B5ADC"/>
    <w:rsid w:val="004B5C60"/>
    <w:rsid w:val="004B6155"/>
    <w:rsid w:val="004B684D"/>
    <w:rsid w:val="004B6C4B"/>
    <w:rsid w:val="004B6CA8"/>
    <w:rsid w:val="004B6F73"/>
    <w:rsid w:val="004B71F8"/>
    <w:rsid w:val="004B7609"/>
    <w:rsid w:val="004B76B7"/>
    <w:rsid w:val="004B77D0"/>
    <w:rsid w:val="004B7AFE"/>
    <w:rsid w:val="004B7F4E"/>
    <w:rsid w:val="004C01FB"/>
    <w:rsid w:val="004C05C5"/>
    <w:rsid w:val="004C06E1"/>
    <w:rsid w:val="004C0731"/>
    <w:rsid w:val="004C07B0"/>
    <w:rsid w:val="004C0B42"/>
    <w:rsid w:val="004C0E71"/>
    <w:rsid w:val="004C1009"/>
    <w:rsid w:val="004C1359"/>
    <w:rsid w:val="004C1775"/>
    <w:rsid w:val="004C17BA"/>
    <w:rsid w:val="004C181C"/>
    <w:rsid w:val="004C18A3"/>
    <w:rsid w:val="004C228B"/>
    <w:rsid w:val="004C24E9"/>
    <w:rsid w:val="004C29B3"/>
    <w:rsid w:val="004C31A5"/>
    <w:rsid w:val="004C33D8"/>
    <w:rsid w:val="004C346E"/>
    <w:rsid w:val="004C36D0"/>
    <w:rsid w:val="004C3736"/>
    <w:rsid w:val="004C39A6"/>
    <w:rsid w:val="004C39DC"/>
    <w:rsid w:val="004C3FAB"/>
    <w:rsid w:val="004C4658"/>
    <w:rsid w:val="004C471C"/>
    <w:rsid w:val="004C47A9"/>
    <w:rsid w:val="004C4A51"/>
    <w:rsid w:val="004C4AE4"/>
    <w:rsid w:val="004C4F0B"/>
    <w:rsid w:val="004C51B3"/>
    <w:rsid w:val="004C52AE"/>
    <w:rsid w:val="004C545E"/>
    <w:rsid w:val="004C5503"/>
    <w:rsid w:val="004C5915"/>
    <w:rsid w:val="004C597F"/>
    <w:rsid w:val="004C5CA6"/>
    <w:rsid w:val="004C5CBB"/>
    <w:rsid w:val="004C5F29"/>
    <w:rsid w:val="004C5FD0"/>
    <w:rsid w:val="004C6014"/>
    <w:rsid w:val="004C609B"/>
    <w:rsid w:val="004C6160"/>
    <w:rsid w:val="004C62AC"/>
    <w:rsid w:val="004C62CD"/>
    <w:rsid w:val="004C6305"/>
    <w:rsid w:val="004C63EB"/>
    <w:rsid w:val="004C6444"/>
    <w:rsid w:val="004C679B"/>
    <w:rsid w:val="004C6828"/>
    <w:rsid w:val="004C6A52"/>
    <w:rsid w:val="004C6B3C"/>
    <w:rsid w:val="004C6BC1"/>
    <w:rsid w:val="004C6D1F"/>
    <w:rsid w:val="004C6DDD"/>
    <w:rsid w:val="004C6EB4"/>
    <w:rsid w:val="004C736A"/>
    <w:rsid w:val="004C745F"/>
    <w:rsid w:val="004C7557"/>
    <w:rsid w:val="004C77DF"/>
    <w:rsid w:val="004C7C0F"/>
    <w:rsid w:val="004C7C25"/>
    <w:rsid w:val="004C7CE7"/>
    <w:rsid w:val="004C7D23"/>
    <w:rsid w:val="004D018A"/>
    <w:rsid w:val="004D01E9"/>
    <w:rsid w:val="004D02A6"/>
    <w:rsid w:val="004D09DF"/>
    <w:rsid w:val="004D0A65"/>
    <w:rsid w:val="004D0CEB"/>
    <w:rsid w:val="004D0E79"/>
    <w:rsid w:val="004D0FE7"/>
    <w:rsid w:val="004D0FF4"/>
    <w:rsid w:val="004D148B"/>
    <w:rsid w:val="004D1A67"/>
    <w:rsid w:val="004D1F67"/>
    <w:rsid w:val="004D2178"/>
    <w:rsid w:val="004D250F"/>
    <w:rsid w:val="004D2681"/>
    <w:rsid w:val="004D2A92"/>
    <w:rsid w:val="004D2BBE"/>
    <w:rsid w:val="004D2D17"/>
    <w:rsid w:val="004D2DA4"/>
    <w:rsid w:val="004D2FCA"/>
    <w:rsid w:val="004D3095"/>
    <w:rsid w:val="004D30CE"/>
    <w:rsid w:val="004D36D9"/>
    <w:rsid w:val="004D3704"/>
    <w:rsid w:val="004D3973"/>
    <w:rsid w:val="004D3A2D"/>
    <w:rsid w:val="004D3A56"/>
    <w:rsid w:val="004D3E5A"/>
    <w:rsid w:val="004D42E9"/>
    <w:rsid w:val="004D4381"/>
    <w:rsid w:val="004D43D6"/>
    <w:rsid w:val="004D451B"/>
    <w:rsid w:val="004D4526"/>
    <w:rsid w:val="004D4865"/>
    <w:rsid w:val="004D48EF"/>
    <w:rsid w:val="004D4A1A"/>
    <w:rsid w:val="004D4A5C"/>
    <w:rsid w:val="004D4BA3"/>
    <w:rsid w:val="004D4CAE"/>
    <w:rsid w:val="004D4E37"/>
    <w:rsid w:val="004D5267"/>
    <w:rsid w:val="004D58A6"/>
    <w:rsid w:val="004D5961"/>
    <w:rsid w:val="004D5A22"/>
    <w:rsid w:val="004D60B5"/>
    <w:rsid w:val="004D6230"/>
    <w:rsid w:val="004D62F0"/>
    <w:rsid w:val="004D63C6"/>
    <w:rsid w:val="004D66CA"/>
    <w:rsid w:val="004D6876"/>
    <w:rsid w:val="004D6A6E"/>
    <w:rsid w:val="004D6C89"/>
    <w:rsid w:val="004D6D05"/>
    <w:rsid w:val="004D6DD2"/>
    <w:rsid w:val="004D6E4B"/>
    <w:rsid w:val="004D6E90"/>
    <w:rsid w:val="004D6F71"/>
    <w:rsid w:val="004D7214"/>
    <w:rsid w:val="004D7517"/>
    <w:rsid w:val="004D77A0"/>
    <w:rsid w:val="004D794E"/>
    <w:rsid w:val="004D7A98"/>
    <w:rsid w:val="004D7BF5"/>
    <w:rsid w:val="004D7EBD"/>
    <w:rsid w:val="004D7F74"/>
    <w:rsid w:val="004E0044"/>
    <w:rsid w:val="004E0254"/>
    <w:rsid w:val="004E02CD"/>
    <w:rsid w:val="004E05EB"/>
    <w:rsid w:val="004E080B"/>
    <w:rsid w:val="004E0838"/>
    <w:rsid w:val="004E0885"/>
    <w:rsid w:val="004E0ABB"/>
    <w:rsid w:val="004E0BEC"/>
    <w:rsid w:val="004E0C02"/>
    <w:rsid w:val="004E0CF9"/>
    <w:rsid w:val="004E0FC9"/>
    <w:rsid w:val="004E109E"/>
    <w:rsid w:val="004E1186"/>
    <w:rsid w:val="004E179A"/>
    <w:rsid w:val="004E184A"/>
    <w:rsid w:val="004E18BC"/>
    <w:rsid w:val="004E1CB3"/>
    <w:rsid w:val="004E1D8A"/>
    <w:rsid w:val="004E1E5A"/>
    <w:rsid w:val="004E1EA5"/>
    <w:rsid w:val="004E1F0C"/>
    <w:rsid w:val="004E26C6"/>
    <w:rsid w:val="004E287C"/>
    <w:rsid w:val="004E291B"/>
    <w:rsid w:val="004E2C19"/>
    <w:rsid w:val="004E2D40"/>
    <w:rsid w:val="004E2FEE"/>
    <w:rsid w:val="004E3376"/>
    <w:rsid w:val="004E343F"/>
    <w:rsid w:val="004E3504"/>
    <w:rsid w:val="004E3D73"/>
    <w:rsid w:val="004E4061"/>
    <w:rsid w:val="004E40B5"/>
    <w:rsid w:val="004E41B3"/>
    <w:rsid w:val="004E43DD"/>
    <w:rsid w:val="004E45F6"/>
    <w:rsid w:val="004E45F9"/>
    <w:rsid w:val="004E460F"/>
    <w:rsid w:val="004E49A4"/>
    <w:rsid w:val="004E4A1C"/>
    <w:rsid w:val="004E4AD3"/>
    <w:rsid w:val="004E4B42"/>
    <w:rsid w:val="004E50BC"/>
    <w:rsid w:val="004E5879"/>
    <w:rsid w:val="004E58B7"/>
    <w:rsid w:val="004E5976"/>
    <w:rsid w:val="004E5EB3"/>
    <w:rsid w:val="004E621A"/>
    <w:rsid w:val="004E646F"/>
    <w:rsid w:val="004E65E0"/>
    <w:rsid w:val="004E674C"/>
    <w:rsid w:val="004E6860"/>
    <w:rsid w:val="004E6E2E"/>
    <w:rsid w:val="004E74AA"/>
    <w:rsid w:val="004E74BC"/>
    <w:rsid w:val="004E77A3"/>
    <w:rsid w:val="004E7809"/>
    <w:rsid w:val="004E7897"/>
    <w:rsid w:val="004E7AC8"/>
    <w:rsid w:val="004E7BFC"/>
    <w:rsid w:val="004F01E9"/>
    <w:rsid w:val="004F0666"/>
    <w:rsid w:val="004F070F"/>
    <w:rsid w:val="004F0780"/>
    <w:rsid w:val="004F0A61"/>
    <w:rsid w:val="004F0BF9"/>
    <w:rsid w:val="004F0E55"/>
    <w:rsid w:val="004F1310"/>
    <w:rsid w:val="004F13A2"/>
    <w:rsid w:val="004F15B1"/>
    <w:rsid w:val="004F1800"/>
    <w:rsid w:val="004F1840"/>
    <w:rsid w:val="004F2307"/>
    <w:rsid w:val="004F2359"/>
    <w:rsid w:val="004F27FE"/>
    <w:rsid w:val="004F29F1"/>
    <w:rsid w:val="004F2C50"/>
    <w:rsid w:val="004F2FB2"/>
    <w:rsid w:val="004F3022"/>
    <w:rsid w:val="004F3206"/>
    <w:rsid w:val="004F3280"/>
    <w:rsid w:val="004F32AE"/>
    <w:rsid w:val="004F336E"/>
    <w:rsid w:val="004F37BA"/>
    <w:rsid w:val="004F37FF"/>
    <w:rsid w:val="004F3AD3"/>
    <w:rsid w:val="004F3BD4"/>
    <w:rsid w:val="004F3DEB"/>
    <w:rsid w:val="004F3DEE"/>
    <w:rsid w:val="004F3E23"/>
    <w:rsid w:val="004F3E6C"/>
    <w:rsid w:val="004F4197"/>
    <w:rsid w:val="004F4319"/>
    <w:rsid w:val="004F4328"/>
    <w:rsid w:val="004F4599"/>
    <w:rsid w:val="004F4699"/>
    <w:rsid w:val="004F47B6"/>
    <w:rsid w:val="004F47DC"/>
    <w:rsid w:val="004F491B"/>
    <w:rsid w:val="004F49F5"/>
    <w:rsid w:val="004F4D62"/>
    <w:rsid w:val="004F4DF1"/>
    <w:rsid w:val="004F5505"/>
    <w:rsid w:val="004F5655"/>
    <w:rsid w:val="004F57FA"/>
    <w:rsid w:val="004F589F"/>
    <w:rsid w:val="004F5A0B"/>
    <w:rsid w:val="004F5A91"/>
    <w:rsid w:val="004F5AC9"/>
    <w:rsid w:val="004F5B28"/>
    <w:rsid w:val="004F5C96"/>
    <w:rsid w:val="004F5EE2"/>
    <w:rsid w:val="004F5FDB"/>
    <w:rsid w:val="004F6086"/>
    <w:rsid w:val="004F60A8"/>
    <w:rsid w:val="004F638C"/>
    <w:rsid w:val="004F643B"/>
    <w:rsid w:val="004F6645"/>
    <w:rsid w:val="004F67EF"/>
    <w:rsid w:val="004F6923"/>
    <w:rsid w:val="004F6DD6"/>
    <w:rsid w:val="004F70D4"/>
    <w:rsid w:val="004F71F5"/>
    <w:rsid w:val="004F7439"/>
    <w:rsid w:val="004F750D"/>
    <w:rsid w:val="004F7528"/>
    <w:rsid w:val="004F756F"/>
    <w:rsid w:val="004F762B"/>
    <w:rsid w:val="004F7A23"/>
    <w:rsid w:val="004F7D5F"/>
    <w:rsid w:val="004F7DC2"/>
    <w:rsid w:val="004F7EE3"/>
    <w:rsid w:val="004F7F3B"/>
    <w:rsid w:val="00500069"/>
    <w:rsid w:val="00500196"/>
    <w:rsid w:val="005007CB"/>
    <w:rsid w:val="00500A03"/>
    <w:rsid w:val="00500B3D"/>
    <w:rsid w:val="00500E65"/>
    <w:rsid w:val="00500E6D"/>
    <w:rsid w:val="0050122A"/>
    <w:rsid w:val="0050138A"/>
    <w:rsid w:val="00501757"/>
    <w:rsid w:val="00501D40"/>
    <w:rsid w:val="00501DFD"/>
    <w:rsid w:val="005020A8"/>
    <w:rsid w:val="005023E9"/>
    <w:rsid w:val="00502790"/>
    <w:rsid w:val="00502AE4"/>
    <w:rsid w:val="00502E67"/>
    <w:rsid w:val="00502F37"/>
    <w:rsid w:val="00502F82"/>
    <w:rsid w:val="00502F8D"/>
    <w:rsid w:val="0050308A"/>
    <w:rsid w:val="0050308D"/>
    <w:rsid w:val="005032AB"/>
    <w:rsid w:val="0050353E"/>
    <w:rsid w:val="0050361A"/>
    <w:rsid w:val="005038E7"/>
    <w:rsid w:val="005039AB"/>
    <w:rsid w:val="00503DA3"/>
    <w:rsid w:val="00503DFA"/>
    <w:rsid w:val="00503EA7"/>
    <w:rsid w:val="00503F95"/>
    <w:rsid w:val="005048F6"/>
    <w:rsid w:val="00504A96"/>
    <w:rsid w:val="00504ABC"/>
    <w:rsid w:val="00504B6B"/>
    <w:rsid w:val="00504B96"/>
    <w:rsid w:val="005054C2"/>
    <w:rsid w:val="005054DE"/>
    <w:rsid w:val="0050563D"/>
    <w:rsid w:val="00505B8F"/>
    <w:rsid w:val="00505CF7"/>
    <w:rsid w:val="0050606C"/>
    <w:rsid w:val="00506682"/>
    <w:rsid w:val="005069F3"/>
    <w:rsid w:val="00506A26"/>
    <w:rsid w:val="00506B13"/>
    <w:rsid w:val="00506FBC"/>
    <w:rsid w:val="00507026"/>
    <w:rsid w:val="005070D0"/>
    <w:rsid w:val="00507180"/>
    <w:rsid w:val="00507311"/>
    <w:rsid w:val="00507417"/>
    <w:rsid w:val="005075C7"/>
    <w:rsid w:val="005076F8"/>
    <w:rsid w:val="00507A36"/>
    <w:rsid w:val="00507AEA"/>
    <w:rsid w:val="00507C04"/>
    <w:rsid w:val="00507D66"/>
    <w:rsid w:val="00510295"/>
    <w:rsid w:val="005106AC"/>
    <w:rsid w:val="00510794"/>
    <w:rsid w:val="00510D7F"/>
    <w:rsid w:val="00510E53"/>
    <w:rsid w:val="00511378"/>
    <w:rsid w:val="0051143B"/>
    <w:rsid w:val="0051197C"/>
    <w:rsid w:val="00511C33"/>
    <w:rsid w:val="00511F31"/>
    <w:rsid w:val="00511F35"/>
    <w:rsid w:val="0051203B"/>
    <w:rsid w:val="005122EB"/>
    <w:rsid w:val="005129D3"/>
    <w:rsid w:val="00512B2E"/>
    <w:rsid w:val="00512D2E"/>
    <w:rsid w:val="00512FEF"/>
    <w:rsid w:val="0051310E"/>
    <w:rsid w:val="00513162"/>
    <w:rsid w:val="00513234"/>
    <w:rsid w:val="00513253"/>
    <w:rsid w:val="0051338A"/>
    <w:rsid w:val="005137C5"/>
    <w:rsid w:val="00513AF9"/>
    <w:rsid w:val="00513E27"/>
    <w:rsid w:val="005143BE"/>
    <w:rsid w:val="005147AC"/>
    <w:rsid w:val="00514C94"/>
    <w:rsid w:val="00514D0A"/>
    <w:rsid w:val="00515042"/>
    <w:rsid w:val="005151C6"/>
    <w:rsid w:val="00515275"/>
    <w:rsid w:val="0051572D"/>
    <w:rsid w:val="00515925"/>
    <w:rsid w:val="00515B61"/>
    <w:rsid w:val="00515D26"/>
    <w:rsid w:val="00515DD7"/>
    <w:rsid w:val="00516244"/>
    <w:rsid w:val="00516403"/>
    <w:rsid w:val="0051676D"/>
    <w:rsid w:val="005168D6"/>
    <w:rsid w:val="00516E9B"/>
    <w:rsid w:val="0051706E"/>
    <w:rsid w:val="005170DF"/>
    <w:rsid w:val="005171C1"/>
    <w:rsid w:val="00517257"/>
    <w:rsid w:val="005172CD"/>
    <w:rsid w:val="0051739B"/>
    <w:rsid w:val="005174FB"/>
    <w:rsid w:val="00517B4E"/>
    <w:rsid w:val="00517F71"/>
    <w:rsid w:val="005201ED"/>
    <w:rsid w:val="00520708"/>
    <w:rsid w:val="00520926"/>
    <w:rsid w:val="00520E7D"/>
    <w:rsid w:val="00521033"/>
    <w:rsid w:val="005212E1"/>
    <w:rsid w:val="005215FD"/>
    <w:rsid w:val="00521815"/>
    <w:rsid w:val="0052184F"/>
    <w:rsid w:val="005218E8"/>
    <w:rsid w:val="00521C69"/>
    <w:rsid w:val="00521CD7"/>
    <w:rsid w:val="00521DFD"/>
    <w:rsid w:val="00521FD5"/>
    <w:rsid w:val="00522366"/>
    <w:rsid w:val="005226BD"/>
    <w:rsid w:val="00522918"/>
    <w:rsid w:val="0052296A"/>
    <w:rsid w:val="00522C53"/>
    <w:rsid w:val="00522C5E"/>
    <w:rsid w:val="00522FCC"/>
    <w:rsid w:val="00522FFA"/>
    <w:rsid w:val="005233B2"/>
    <w:rsid w:val="005233FB"/>
    <w:rsid w:val="0052384E"/>
    <w:rsid w:val="00523947"/>
    <w:rsid w:val="00523ADA"/>
    <w:rsid w:val="00523C48"/>
    <w:rsid w:val="005242CE"/>
    <w:rsid w:val="005248B0"/>
    <w:rsid w:val="00524CDB"/>
    <w:rsid w:val="00524DBD"/>
    <w:rsid w:val="00524E2B"/>
    <w:rsid w:val="00524E5A"/>
    <w:rsid w:val="00524E71"/>
    <w:rsid w:val="0052509F"/>
    <w:rsid w:val="005254E3"/>
    <w:rsid w:val="00525612"/>
    <w:rsid w:val="00525626"/>
    <w:rsid w:val="0052585A"/>
    <w:rsid w:val="005259D6"/>
    <w:rsid w:val="00525A9E"/>
    <w:rsid w:val="00525F98"/>
    <w:rsid w:val="00525FF8"/>
    <w:rsid w:val="00526682"/>
    <w:rsid w:val="00526FD7"/>
    <w:rsid w:val="00527240"/>
    <w:rsid w:val="00527348"/>
    <w:rsid w:val="00527568"/>
    <w:rsid w:val="005276D1"/>
    <w:rsid w:val="005277BE"/>
    <w:rsid w:val="005279AC"/>
    <w:rsid w:val="00527ADD"/>
    <w:rsid w:val="00527D96"/>
    <w:rsid w:val="00527F3F"/>
    <w:rsid w:val="00527FB3"/>
    <w:rsid w:val="00530005"/>
    <w:rsid w:val="0053001B"/>
    <w:rsid w:val="005303B0"/>
    <w:rsid w:val="005303DE"/>
    <w:rsid w:val="005304C2"/>
    <w:rsid w:val="005304DB"/>
    <w:rsid w:val="005307CF"/>
    <w:rsid w:val="005308DF"/>
    <w:rsid w:val="00530A38"/>
    <w:rsid w:val="00530DDD"/>
    <w:rsid w:val="00530FC8"/>
    <w:rsid w:val="00531021"/>
    <w:rsid w:val="00531229"/>
    <w:rsid w:val="0053141A"/>
    <w:rsid w:val="0053150C"/>
    <w:rsid w:val="0053151E"/>
    <w:rsid w:val="00531561"/>
    <w:rsid w:val="00531682"/>
    <w:rsid w:val="00531DB3"/>
    <w:rsid w:val="00531DBE"/>
    <w:rsid w:val="00531E55"/>
    <w:rsid w:val="00531F26"/>
    <w:rsid w:val="00531F87"/>
    <w:rsid w:val="0053211F"/>
    <w:rsid w:val="00532300"/>
    <w:rsid w:val="005325AE"/>
    <w:rsid w:val="005327C7"/>
    <w:rsid w:val="00532C09"/>
    <w:rsid w:val="00532EEE"/>
    <w:rsid w:val="00532F3A"/>
    <w:rsid w:val="005330C5"/>
    <w:rsid w:val="0053321B"/>
    <w:rsid w:val="005332A3"/>
    <w:rsid w:val="005332F2"/>
    <w:rsid w:val="005335DC"/>
    <w:rsid w:val="005335E3"/>
    <w:rsid w:val="00533647"/>
    <w:rsid w:val="005336CA"/>
    <w:rsid w:val="005336E9"/>
    <w:rsid w:val="005337B6"/>
    <w:rsid w:val="00533958"/>
    <w:rsid w:val="00533DE5"/>
    <w:rsid w:val="00533EC6"/>
    <w:rsid w:val="005340AD"/>
    <w:rsid w:val="005344AE"/>
    <w:rsid w:val="005346EB"/>
    <w:rsid w:val="005349E3"/>
    <w:rsid w:val="00534AF8"/>
    <w:rsid w:val="00534BB7"/>
    <w:rsid w:val="00534D34"/>
    <w:rsid w:val="00534DA1"/>
    <w:rsid w:val="00534E9F"/>
    <w:rsid w:val="005350AA"/>
    <w:rsid w:val="00535281"/>
    <w:rsid w:val="0053537F"/>
    <w:rsid w:val="0053538F"/>
    <w:rsid w:val="005356D0"/>
    <w:rsid w:val="00535822"/>
    <w:rsid w:val="005358DC"/>
    <w:rsid w:val="00535BA2"/>
    <w:rsid w:val="005362B9"/>
    <w:rsid w:val="00536E6C"/>
    <w:rsid w:val="005374FE"/>
    <w:rsid w:val="00537562"/>
    <w:rsid w:val="00537586"/>
    <w:rsid w:val="005376EA"/>
    <w:rsid w:val="00537716"/>
    <w:rsid w:val="005378F1"/>
    <w:rsid w:val="005401F4"/>
    <w:rsid w:val="00540228"/>
    <w:rsid w:val="005402B6"/>
    <w:rsid w:val="005406B8"/>
    <w:rsid w:val="00540720"/>
    <w:rsid w:val="0054077F"/>
    <w:rsid w:val="005408E7"/>
    <w:rsid w:val="00540A95"/>
    <w:rsid w:val="00540ECF"/>
    <w:rsid w:val="00541037"/>
    <w:rsid w:val="005410A4"/>
    <w:rsid w:val="0054164C"/>
    <w:rsid w:val="00541778"/>
    <w:rsid w:val="00541A4F"/>
    <w:rsid w:val="00541B3D"/>
    <w:rsid w:val="00541BA8"/>
    <w:rsid w:val="00541D1F"/>
    <w:rsid w:val="00541E7D"/>
    <w:rsid w:val="00541FB8"/>
    <w:rsid w:val="00542030"/>
    <w:rsid w:val="0054213D"/>
    <w:rsid w:val="0054214A"/>
    <w:rsid w:val="00542328"/>
    <w:rsid w:val="005426F2"/>
    <w:rsid w:val="00542CBA"/>
    <w:rsid w:val="00542EAA"/>
    <w:rsid w:val="00542ECF"/>
    <w:rsid w:val="00542F20"/>
    <w:rsid w:val="00543005"/>
    <w:rsid w:val="005432C7"/>
    <w:rsid w:val="005434A3"/>
    <w:rsid w:val="0054372F"/>
    <w:rsid w:val="00543757"/>
    <w:rsid w:val="00543F6F"/>
    <w:rsid w:val="0054430B"/>
    <w:rsid w:val="005443AF"/>
    <w:rsid w:val="00544430"/>
    <w:rsid w:val="00544673"/>
    <w:rsid w:val="005446A3"/>
    <w:rsid w:val="005446AC"/>
    <w:rsid w:val="00544763"/>
    <w:rsid w:val="005449B6"/>
    <w:rsid w:val="00544A3B"/>
    <w:rsid w:val="00544A7D"/>
    <w:rsid w:val="00544AAF"/>
    <w:rsid w:val="00544D16"/>
    <w:rsid w:val="00544D51"/>
    <w:rsid w:val="00544F7B"/>
    <w:rsid w:val="00544FF6"/>
    <w:rsid w:val="00545183"/>
    <w:rsid w:val="005452A0"/>
    <w:rsid w:val="00545543"/>
    <w:rsid w:val="005459C1"/>
    <w:rsid w:val="00545AE8"/>
    <w:rsid w:val="00545B7E"/>
    <w:rsid w:val="00545C3A"/>
    <w:rsid w:val="00545DAF"/>
    <w:rsid w:val="00545F1D"/>
    <w:rsid w:val="00545F99"/>
    <w:rsid w:val="005466D4"/>
    <w:rsid w:val="00546791"/>
    <w:rsid w:val="0054694C"/>
    <w:rsid w:val="00546B47"/>
    <w:rsid w:val="00546C3B"/>
    <w:rsid w:val="005470AE"/>
    <w:rsid w:val="00547161"/>
    <w:rsid w:val="00547221"/>
    <w:rsid w:val="00547563"/>
    <w:rsid w:val="005475C6"/>
    <w:rsid w:val="0054786F"/>
    <w:rsid w:val="00547C87"/>
    <w:rsid w:val="00547D47"/>
    <w:rsid w:val="00547E4C"/>
    <w:rsid w:val="0055016B"/>
    <w:rsid w:val="00550463"/>
    <w:rsid w:val="00550698"/>
    <w:rsid w:val="005507AC"/>
    <w:rsid w:val="005507D1"/>
    <w:rsid w:val="00550809"/>
    <w:rsid w:val="0055082D"/>
    <w:rsid w:val="0055098F"/>
    <w:rsid w:val="00550D3F"/>
    <w:rsid w:val="00550E6F"/>
    <w:rsid w:val="0055106B"/>
    <w:rsid w:val="00551313"/>
    <w:rsid w:val="00551319"/>
    <w:rsid w:val="005515FD"/>
    <w:rsid w:val="00551A45"/>
    <w:rsid w:val="005522C9"/>
    <w:rsid w:val="005524AB"/>
    <w:rsid w:val="00552D05"/>
    <w:rsid w:val="00553082"/>
    <w:rsid w:val="0055317C"/>
    <w:rsid w:val="00553289"/>
    <w:rsid w:val="005532A1"/>
    <w:rsid w:val="005533C3"/>
    <w:rsid w:val="00553522"/>
    <w:rsid w:val="00553741"/>
    <w:rsid w:val="005538AD"/>
    <w:rsid w:val="00553BD2"/>
    <w:rsid w:val="00553D8F"/>
    <w:rsid w:val="00553D9B"/>
    <w:rsid w:val="00553E51"/>
    <w:rsid w:val="00553E9A"/>
    <w:rsid w:val="00553FE0"/>
    <w:rsid w:val="00553FF5"/>
    <w:rsid w:val="0055401D"/>
    <w:rsid w:val="00554206"/>
    <w:rsid w:val="005542F0"/>
    <w:rsid w:val="0055431A"/>
    <w:rsid w:val="00554326"/>
    <w:rsid w:val="00554363"/>
    <w:rsid w:val="00554820"/>
    <w:rsid w:val="00554F39"/>
    <w:rsid w:val="00554FC6"/>
    <w:rsid w:val="005551D4"/>
    <w:rsid w:val="005554E5"/>
    <w:rsid w:val="005555E5"/>
    <w:rsid w:val="00555A85"/>
    <w:rsid w:val="00555B03"/>
    <w:rsid w:val="00555CEF"/>
    <w:rsid w:val="005561F6"/>
    <w:rsid w:val="00557276"/>
    <w:rsid w:val="0055731D"/>
    <w:rsid w:val="00557642"/>
    <w:rsid w:val="00557735"/>
    <w:rsid w:val="00557930"/>
    <w:rsid w:val="005579E2"/>
    <w:rsid w:val="00557B07"/>
    <w:rsid w:val="00557E41"/>
    <w:rsid w:val="00557F69"/>
    <w:rsid w:val="005605A0"/>
    <w:rsid w:val="005607CA"/>
    <w:rsid w:val="00560A99"/>
    <w:rsid w:val="00560B84"/>
    <w:rsid w:val="00560C58"/>
    <w:rsid w:val="00560EF6"/>
    <w:rsid w:val="0056126E"/>
    <w:rsid w:val="0056134E"/>
    <w:rsid w:val="005614B3"/>
    <w:rsid w:val="005614F3"/>
    <w:rsid w:val="00561B6C"/>
    <w:rsid w:val="00561DB2"/>
    <w:rsid w:val="00561EAB"/>
    <w:rsid w:val="00562186"/>
    <w:rsid w:val="0056257B"/>
    <w:rsid w:val="00562703"/>
    <w:rsid w:val="00562FBC"/>
    <w:rsid w:val="00563968"/>
    <w:rsid w:val="005639D6"/>
    <w:rsid w:val="00563A82"/>
    <w:rsid w:val="00563B57"/>
    <w:rsid w:val="00563C3D"/>
    <w:rsid w:val="0056403A"/>
    <w:rsid w:val="005641D8"/>
    <w:rsid w:val="0056443C"/>
    <w:rsid w:val="00564722"/>
    <w:rsid w:val="005647E0"/>
    <w:rsid w:val="00564DA0"/>
    <w:rsid w:val="00564E3F"/>
    <w:rsid w:val="0056557B"/>
    <w:rsid w:val="005655BD"/>
    <w:rsid w:val="0056562A"/>
    <w:rsid w:val="00565697"/>
    <w:rsid w:val="00565DED"/>
    <w:rsid w:val="005661D3"/>
    <w:rsid w:val="005664AA"/>
    <w:rsid w:val="0056657B"/>
    <w:rsid w:val="00567051"/>
    <w:rsid w:val="00567079"/>
    <w:rsid w:val="005672FD"/>
    <w:rsid w:val="00567716"/>
    <w:rsid w:val="00567890"/>
    <w:rsid w:val="005678D5"/>
    <w:rsid w:val="005679DB"/>
    <w:rsid w:val="00567B3C"/>
    <w:rsid w:val="00567D32"/>
    <w:rsid w:val="00567E44"/>
    <w:rsid w:val="00567F57"/>
    <w:rsid w:val="00567FD7"/>
    <w:rsid w:val="005702AB"/>
    <w:rsid w:val="00570320"/>
    <w:rsid w:val="005704D4"/>
    <w:rsid w:val="005707C9"/>
    <w:rsid w:val="005707E4"/>
    <w:rsid w:val="00570931"/>
    <w:rsid w:val="0057101E"/>
    <w:rsid w:val="0057107C"/>
    <w:rsid w:val="00571195"/>
    <w:rsid w:val="0057143C"/>
    <w:rsid w:val="00571630"/>
    <w:rsid w:val="005717C1"/>
    <w:rsid w:val="00571906"/>
    <w:rsid w:val="00571976"/>
    <w:rsid w:val="00571C0C"/>
    <w:rsid w:val="00571F69"/>
    <w:rsid w:val="00572138"/>
    <w:rsid w:val="00572A18"/>
    <w:rsid w:val="00572A6B"/>
    <w:rsid w:val="00572E77"/>
    <w:rsid w:val="00572F6C"/>
    <w:rsid w:val="005733FD"/>
    <w:rsid w:val="0057340A"/>
    <w:rsid w:val="00573417"/>
    <w:rsid w:val="00573664"/>
    <w:rsid w:val="00573847"/>
    <w:rsid w:val="00573896"/>
    <w:rsid w:val="00573AB2"/>
    <w:rsid w:val="00573AD0"/>
    <w:rsid w:val="00573B1B"/>
    <w:rsid w:val="00573B9E"/>
    <w:rsid w:val="00573C50"/>
    <w:rsid w:val="00573CF8"/>
    <w:rsid w:val="00574948"/>
    <w:rsid w:val="00574AB0"/>
    <w:rsid w:val="0057512B"/>
    <w:rsid w:val="00575287"/>
    <w:rsid w:val="00575752"/>
    <w:rsid w:val="00575A4D"/>
    <w:rsid w:val="00575AA8"/>
    <w:rsid w:val="00575BE0"/>
    <w:rsid w:val="00575C4B"/>
    <w:rsid w:val="00575C6C"/>
    <w:rsid w:val="00575C87"/>
    <w:rsid w:val="00576DE1"/>
    <w:rsid w:val="00576FC4"/>
    <w:rsid w:val="005770A2"/>
    <w:rsid w:val="00577473"/>
    <w:rsid w:val="00577599"/>
    <w:rsid w:val="005775A3"/>
    <w:rsid w:val="00577837"/>
    <w:rsid w:val="00577C22"/>
    <w:rsid w:val="00577DB5"/>
    <w:rsid w:val="005806C0"/>
    <w:rsid w:val="00580797"/>
    <w:rsid w:val="00580974"/>
    <w:rsid w:val="00580F93"/>
    <w:rsid w:val="00581019"/>
    <w:rsid w:val="00581519"/>
    <w:rsid w:val="005815AD"/>
    <w:rsid w:val="005815D4"/>
    <w:rsid w:val="00581695"/>
    <w:rsid w:val="00581966"/>
    <w:rsid w:val="00581D4D"/>
    <w:rsid w:val="00581D7C"/>
    <w:rsid w:val="00581E84"/>
    <w:rsid w:val="00581E85"/>
    <w:rsid w:val="00582144"/>
    <w:rsid w:val="00582334"/>
    <w:rsid w:val="00582492"/>
    <w:rsid w:val="00582839"/>
    <w:rsid w:val="00582901"/>
    <w:rsid w:val="005830DF"/>
    <w:rsid w:val="0058329C"/>
    <w:rsid w:val="00583771"/>
    <w:rsid w:val="00583913"/>
    <w:rsid w:val="00583A6C"/>
    <w:rsid w:val="00584007"/>
    <w:rsid w:val="005841A9"/>
    <w:rsid w:val="00584264"/>
    <w:rsid w:val="0058456D"/>
    <w:rsid w:val="00584844"/>
    <w:rsid w:val="00584976"/>
    <w:rsid w:val="00584C85"/>
    <w:rsid w:val="0058537A"/>
    <w:rsid w:val="00585401"/>
    <w:rsid w:val="005854F4"/>
    <w:rsid w:val="005855B6"/>
    <w:rsid w:val="00585808"/>
    <w:rsid w:val="005858CA"/>
    <w:rsid w:val="00585A15"/>
    <w:rsid w:val="00585E48"/>
    <w:rsid w:val="00585F64"/>
    <w:rsid w:val="005864E1"/>
    <w:rsid w:val="0058676F"/>
    <w:rsid w:val="00586836"/>
    <w:rsid w:val="00586D63"/>
    <w:rsid w:val="00586ECD"/>
    <w:rsid w:val="00587110"/>
    <w:rsid w:val="00587498"/>
    <w:rsid w:val="0058768F"/>
    <w:rsid w:val="005878C6"/>
    <w:rsid w:val="00587D03"/>
    <w:rsid w:val="00587E53"/>
    <w:rsid w:val="00587FF9"/>
    <w:rsid w:val="0059036B"/>
    <w:rsid w:val="0059051A"/>
    <w:rsid w:val="00590579"/>
    <w:rsid w:val="0059067B"/>
    <w:rsid w:val="0059074A"/>
    <w:rsid w:val="005907B9"/>
    <w:rsid w:val="00591548"/>
    <w:rsid w:val="00591734"/>
    <w:rsid w:val="0059175E"/>
    <w:rsid w:val="00591BFD"/>
    <w:rsid w:val="00591C1A"/>
    <w:rsid w:val="00592014"/>
    <w:rsid w:val="0059203D"/>
    <w:rsid w:val="00592390"/>
    <w:rsid w:val="0059245F"/>
    <w:rsid w:val="005925B9"/>
    <w:rsid w:val="005929CD"/>
    <w:rsid w:val="00592B2E"/>
    <w:rsid w:val="00593035"/>
    <w:rsid w:val="00593479"/>
    <w:rsid w:val="005937D5"/>
    <w:rsid w:val="00593D2F"/>
    <w:rsid w:val="00594362"/>
    <w:rsid w:val="0059467B"/>
    <w:rsid w:val="0059478A"/>
    <w:rsid w:val="005948E3"/>
    <w:rsid w:val="0059490E"/>
    <w:rsid w:val="00594C0C"/>
    <w:rsid w:val="00594C32"/>
    <w:rsid w:val="00594FFD"/>
    <w:rsid w:val="005950C4"/>
    <w:rsid w:val="005952BA"/>
    <w:rsid w:val="00595711"/>
    <w:rsid w:val="00595A80"/>
    <w:rsid w:val="00595DDC"/>
    <w:rsid w:val="0059621D"/>
    <w:rsid w:val="005966AD"/>
    <w:rsid w:val="005966EC"/>
    <w:rsid w:val="00596709"/>
    <w:rsid w:val="005968FF"/>
    <w:rsid w:val="005969BF"/>
    <w:rsid w:val="00596B74"/>
    <w:rsid w:val="00596BF1"/>
    <w:rsid w:val="00596CAE"/>
    <w:rsid w:val="00596F6C"/>
    <w:rsid w:val="00597088"/>
    <w:rsid w:val="00597260"/>
    <w:rsid w:val="00597356"/>
    <w:rsid w:val="005973F4"/>
    <w:rsid w:val="00597456"/>
    <w:rsid w:val="00597695"/>
    <w:rsid w:val="00597858"/>
    <w:rsid w:val="005979ED"/>
    <w:rsid w:val="00597BD2"/>
    <w:rsid w:val="00597DB2"/>
    <w:rsid w:val="005A00A0"/>
    <w:rsid w:val="005A0375"/>
    <w:rsid w:val="005A040E"/>
    <w:rsid w:val="005A0463"/>
    <w:rsid w:val="005A07DA"/>
    <w:rsid w:val="005A0932"/>
    <w:rsid w:val="005A0FDA"/>
    <w:rsid w:val="005A1535"/>
    <w:rsid w:val="005A16A0"/>
    <w:rsid w:val="005A1A09"/>
    <w:rsid w:val="005A1A29"/>
    <w:rsid w:val="005A1A48"/>
    <w:rsid w:val="005A1A4F"/>
    <w:rsid w:val="005A1C53"/>
    <w:rsid w:val="005A2066"/>
    <w:rsid w:val="005A238A"/>
    <w:rsid w:val="005A2704"/>
    <w:rsid w:val="005A2F2B"/>
    <w:rsid w:val="005A2FB3"/>
    <w:rsid w:val="005A306B"/>
    <w:rsid w:val="005A319C"/>
    <w:rsid w:val="005A3368"/>
    <w:rsid w:val="005A3C91"/>
    <w:rsid w:val="005A3D14"/>
    <w:rsid w:val="005A3F0A"/>
    <w:rsid w:val="005A40D6"/>
    <w:rsid w:val="005A4271"/>
    <w:rsid w:val="005A4315"/>
    <w:rsid w:val="005A472C"/>
    <w:rsid w:val="005A4779"/>
    <w:rsid w:val="005A47D1"/>
    <w:rsid w:val="005A496D"/>
    <w:rsid w:val="005A498E"/>
    <w:rsid w:val="005A4AB4"/>
    <w:rsid w:val="005A4BF8"/>
    <w:rsid w:val="005A4C35"/>
    <w:rsid w:val="005A4C57"/>
    <w:rsid w:val="005A4C89"/>
    <w:rsid w:val="005A4F3D"/>
    <w:rsid w:val="005A51E0"/>
    <w:rsid w:val="005A5305"/>
    <w:rsid w:val="005A56E2"/>
    <w:rsid w:val="005A5844"/>
    <w:rsid w:val="005A5D58"/>
    <w:rsid w:val="005A6118"/>
    <w:rsid w:val="005A6160"/>
    <w:rsid w:val="005A63D4"/>
    <w:rsid w:val="005A6F50"/>
    <w:rsid w:val="005A7080"/>
    <w:rsid w:val="005A73F6"/>
    <w:rsid w:val="005A7464"/>
    <w:rsid w:val="005A7730"/>
    <w:rsid w:val="005A7A32"/>
    <w:rsid w:val="005A7B43"/>
    <w:rsid w:val="005A7B49"/>
    <w:rsid w:val="005A7D60"/>
    <w:rsid w:val="005A7FDD"/>
    <w:rsid w:val="005B00D1"/>
    <w:rsid w:val="005B021A"/>
    <w:rsid w:val="005B061F"/>
    <w:rsid w:val="005B08FC"/>
    <w:rsid w:val="005B0923"/>
    <w:rsid w:val="005B0DD5"/>
    <w:rsid w:val="005B0F3D"/>
    <w:rsid w:val="005B11C3"/>
    <w:rsid w:val="005B1604"/>
    <w:rsid w:val="005B179C"/>
    <w:rsid w:val="005B180C"/>
    <w:rsid w:val="005B18F3"/>
    <w:rsid w:val="005B1ACC"/>
    <w:rsid w:val="005B1AFC"/>
    <w:rsid w:val="005B1C47"/>
    <w:rsid w:val="005B1DDA"/>
    <w:rsid w:val="005B1FF2"/>
    <w:rsid w:val="005B2172"/>
    <w:rsid w:val="005B22D1"/>
    <w:rsid w:val="005B240F"/>
    <w:rsid w:val="005B2CB4"/>
    <w:rsid w:val="005B2D1F"/>
    <w:rsid w:val="005B2FC5"/>
    <w:rsid w:val="005B3204"/>
    <w:rsid w:val="005B3213"/>
    <w:rsid w:val="005B3675"/>
    <w:rsid w:val="005B3AFA"/>
    <w:rsid w:val="005B3BD4"/>
    <w:rsid w:val="005B3D92"/>
    <w:rsid w:val="005B409C"/>
    <w:rsid w:val="005B411C"/>
    <w:rsid w:val="005B4524"/>
    <w:rsid w:val="005B457A"/>
    <w:rsid w:val="005B46DD"/>
    <w:rsid w:val="005B47B5"/>
    <w:rsid w:val="005B4953"/>
    <w:rsid w:val="005B4A24"/>
    <w:rsid w:val="005B4CBF"/>
    <w:rsid w:val="005B4DE4"/>
    <w:rsid w:val="005B4F1F"/>
    <w:rsid w:val="005B4F26"/>
    <w:rsid w:val="005B537B"/>
    <w:rsid w:val="005B5723"/>
    <w:rsid w:val="005B5A8A"/>
    <w:rsid w:val="005B5C55"/>
    <w:rsid w:val="005B5FFB"/>
    <w:rsid w:val="005B6055"/>
    <w:rsid w:val="005B60EA"/>
    <w:rsid w:val="005B61C6"/>
    <w:rsid w:val="005B63B1"/>
    <w:rsid w:val="005B664C"/>
    <w:rsid w:val="005B6739"/>
    <w:rsid w:val="005B6764"/>
    <w:rsid w:val="005B6A76"/>
    <w:rsid w:val="005B6CF0"/>
    <w:rsid w:val="005B725B"/>
    <w:rsid w:val="005B72A8"/>
    <w:rsid w:val="005B737D"/>
    <w:rsid w:val="005B7BDC"/>
    <w:rsid w:val="005B7DC2"/>
    <w:rsid w:val="005B7EDD"/>
    <w:rsid w:val="005C0147"/>
    <w:rsid w:val="005C01B6"/>
    <w:rsid w:val="005C03E8"/>
    <w:rsid w:val="005C0855"/>
    <w:rsid w:val="005C0B2F"/>
    <w:rsid w:val="005C0F39"/>
    <w:rsid w:val="005C14F6"/>
    <w:rsid w:val="005C1618"/>
    <w:rsid w:val="005C1951"/>
    <w:rsid w:val="005C1953"/>
    <w:rsid w:val="005C1CF7"/>
    <w:rsid w:val="005C1E40"/>
    <w:rsid w:val="005C1EAD"/>
    <w:rsid w:val="005C210F"/>
    <w:rsid w:val="005C23BE"/>
    <w:rsid w:val="005C2457"/>
    <w:rsid w:val="005C24D8"/>
    <w:rsid w:val="005C2A3A"/>
    <w:rsid w:val="005C2B1A"/>
    <w:rsid w:val="005C2DE3"/>
    <w:rsid w:val="005C339A"/>
    <w:rsid w:val="005C34A9"/>
    <w:rsid w:val="005C35D2"/>
    <w:rsid w:val="005C36CC"/>
    <w:rsid w:val="005C3781"/>
    <w:rsid w:val="005C389E"/>
    <w:rsid w:val="005C3BC0"/>
    <w:rsid w:val="005C3C76"/>
    <w:rsid w:val="005C3D5F"/>
    <w:rsid w:val="005C3D9F"/>
    <w:rsid w:val="005C4808"/>
    <w:rsid w:val="005C4891"/>
    <w:rsid w:val="005C4D90"/>
    <w:rsid w:val="005C51C9"/>
    <w:rsid w:val="005C5294"/>
    <w:rsid w:val="005C5E4C"/>
    <w:rsid w:val="005C660E"/>
    <w:rsid w:val="005C68ED"/>
    <w:rsid w:val="005C6D8F"/>
    <w:rsid w:val="005C6F38"/>
    <w:rsid w:val="005C7004"/>
    <w:rsid w:val="005C739E"/>
    <w:rsid w:val="005C7437"/>
    <w:rsid w:val="005C7665"/>
    <w:rsid w:val="005C7A71"/>
    <w:rsid w:val="005C7CBC"/>
    <w:rsid w:val="005C7DC4"/>
    <w:rsid w:val="005C7E28"/>
    <w:rsid w:val="005C7EF2"/>
    <w:rsid w:val="005D0329"/>
    <w:rsid w:val="005D0574"/>
    <w:rsid w:val="005D05C4"/>
    <w:rsid w:val="005D06A0"/>
    <w:rsid w:val="005D07DC"/>
    <w:rsid w:val="005D0A07"/>
    <w:rsid w:val="005D0C78"/>
    <w:rsid w:val="005D132B"/>
    <w:rsid w:val="005D1402"/>
    <w:rsid w:val="005D149D"/>
    <w:rsid w:val="005D1592"/>
    <w:rsid w:val="005D16EC"/>
    <w:rsid w:val="005D17FC"/>
    <w:rsid w:val="005D18E8"/>
    <w:rsid w:val="005D1932"/>
    <w:rsid w:val="005D1CDE"/>
    <w:rsid w:val="005D1D5A"/>
    <w:rsid w:val="005D1D7C"/>
    <w:rsid w:val="005D2035"/>
    <w:rsid w:val="005D24F6"/>
    <w:rsid w:val="005D2748"/>
    <w:rsid w:val="005D275D"/>
    <w:rsid w:val="005D29B4"/>
    <w:rsid w:val="005D2A7D"/>
    <w:rsid w:val="005D2D21"/>
    <w:rsid w:val="005D2DF1"/>
    <w:rsid w:val="005D2E24"/>
    <w:rsid w:val="005D34F4"/>
    <w:rsid w:val="005D3D86"/>
    <w:rsid w:val="005D3E00"/>
    <w:rsid w:val="005D3EDE"/>
    <w:rsid w:val="005D4426"/>
    <w:rsid w:val="005D4689"/>
    <w:rsid w:val="005D46FE"/>
    <w:rsid w:val="005D476C"/>
    <w:rsid w:val="005D4988"/>
    <w:rsid w:val="005D4AED"/>
    <w:rsid w:val="005D4BAB"/>
    <w:rsid w:val="005D4BC2"/>
    <w:rsid w:val="005D4CC3"/>
    <w:rsid w:val="005D4DA0"/>
    <w:rsid w:val="005D4E21"/>
    <w:rsid w:val="005D52A1"/>
    <w:rsid w:val="005D53C3"/>
    <w:rsid w:val="005D55E7"/>
    <w:rsid w:val="005D567F"/>
    <w:rsid w:val="005D5847"/>
    <w:rsid w:val="005D58C3"/>
    <w:rsid w:val="005D596C"/>
    <w:rsid w:val="005D5CC3"/>
    <w:rsid w:val="005D631B"/>
    <w:rsid w:val="005D67F9"/>
    <w:rsid w:val="005D6A0D"/>
    <w:rsid w:val="005D6C24"/>
    <w:rsid w:val="005D6F44"/>
    <w:rsid w:val="005D6F95"/>
    <w:rsid w:val="005D70F9"/>
    <w:rsid w:val="005D7262"/>
    <w:rsid w:val="005D7282"/>
    <w:rsid w:val="005D73E6"/>
    <w:rsid w:val="005D7700"/>
    <w:rsid w:val="005D7722"/>
    <w:rsid w:val="005D773F"/>
    <w:rsid w:val="005D7800"/>
    <w:rsid w:val="005D78A3"/>
    <w:rsid w:val="005D7AD3"/>
    <w:rsid w:val="005D7F14"/>
    <w:rsid w:val="005E001F"/>
    <w:rsid w:val="005E00E8"/>
    <w:rsid w:val="005E03DF"/>
    <w:rsid w:val="005E07F6"/>
    <w:rsid w:val="005E0A45"/>
    <w:rsid w:val="005E0B20"/>
    <w:rsid w:val="005E0DDA"/>
    <w:rsid w:val="005E0F94"/>
    <w:rsid w:val="005E1149"/>
    <w:rsid w:val="005E177C"/>
    <w:rsid w:val="005E18F5"/>
    <w:rsid w:val="005E19EA"/>
    <w:rsid w:val="005E1CC9"/>
    <w:rsid w:val="005E22E9"/>
    <w:rsid w:val="005E2730"/>
    <w:rsid w:val="005E2859"/>
    <w:rsid w:val="005E2A6E"/>
    <w:rsid w:val="005E2B8B"/>
    <w:rsid w:val="005E2CEF"/>
    <w:rsid w:val="005E2D88"/>
    <w:rsid w:val="005E2DB4"/>
    <w:rsid w:val="005E2DE8"/>
    <w:rsid w:val="005E2E19"/>
    <w:rsid w:val="005E2E31"/>
    <w:rsid w:val="005E2EDA"/>
    <w:rsid w:val="005E2F70"/>
    <w:rsid w:val="005E3004"/>
    <w:rsid w:val="005E32D3"/>
    <w:rsid w:val="005E34FB"/>
    <w:rsid w:val="005E383B"/>
    <w:rsid w:val="005E3D96"/>
    <w:rsid w:val="005E4109"/>
    <w:rsid w:val="005E419D"/>
    <w:rsid w:val="005E42E9"/>
    <w:rsid w:val="005E4665"/>
    <w:rsid w:val="005E47EE"/>
    <w:rsid w:val="005E484D"/>
    <w:rsid w:val="005E4870"/>
    <w:rsid w:val="005E4A50"/>
    <w:rsid w:val="005E4F4A"/>
    <w:rsid w:val="005E50D9"/>
    <w:rsid w:val="005E512D"/>
    <w:rsid w:val="005E5615"/>
    <w:rsid w:val="005E57C9"/>
    <w:rsid w:val="005E58F6"/>
    <w:rsid w:val="005E5A4F"/>
    <w:rsid w:val="005E5DAF"/>
    <w:rsid w:val="005E5DBB"/>
    <w:rsid w:val="005E5F82"/>
    <w:rsid w:val="005E62D7"/>
    <w:rsid w:val="005E644E"/>
    <w:rsid w:val="005E64B9"/>
    <w:rsid w:val="005E65C0"/>
    <w:rsid w:val="005E6EC6"/>
    <w:rsid w:val="005E717C"/>
    <w:rsid w:val="005E7260"/>
    <w:rsid w:val="005E7726"/>
    <w:rsid w:val="005E776A"/>
    <w:rsid w:val="005E7956"/>
    <w:rsid w:val="005E7958"/>
    <w:rsid w:val="005E7B89"/>
    <w:rsid w:val="005F01E5"/>
    <w:rsid w:val="005F028F"/>
    <w:rsid w:val="005F03E9"/>
    <w:rsid w:val="005F07D6"/>
    <w:rsid w:val="005F0830"/>
    <w:rsid w:val="005F09F9"/>
    <w:rsid w:val="005F0C38"/>
    <w:rsid w:val="005F0D33"/>
    <w:rsid w:val="005F0D70"/>
    <w:rsid w:val="005F0E2E"/>
    <w:rsid w:val="005F0E6F"/>
    <w:rsid w:val="005F0EAE"/>
    <w:rsid w:val="005F0F18"/>
    <w:rsid w:val="005F0FAD"/>
    <w:rsid w:val="005F1085"/>
    <w:rsid w:val="005F10C0"/>
    <w:rsid w:val="005F10E6"/>
    <w:rsid w:val="005F140A"/>
    <w:rsid w:val="005F16F5"/>
    <w:rsid w:val="005F1704"/>
    <w:rsid w:val="005F1755"/>
    <w:rsid w:val="005F17C5"/>
    <w:rsid w:val="005F195C"/>
    <w:rsid w:val="005F1977"/>
    <w:rsid w:val="005F1B9C"/>
    <w:rsid w:val="005F1BBD"/>
    <w:rsid w:val="005F1CED"/>
    <w:rsid w:val="005F1D88"/>
    <w:rsid w:val="005F1EE1"/>
    <w:rsid w:val="005F2420"/>
    <w:rsid w:val="005F258E"/>
    <w:rsid w:val="005F2616"/>
    <w:rsid w:val="005F2888"/>
    <w:rsid w:val="005F2BA0"/>
    <w:rsid w:val="005F2BD1"/>
    <w:rsid w:val="005F2EAD"/>
    <w:rsid w:val="005F2FE6"/>
    <w:rsid w:val="005F3031"/>
    <w:rsid w:val="005F3353"/>
    <w:rsid w:val="005F34CD"/>
    <w:rsid w:val="005F375F"/>
    <w:rsid w:val="005F3829"/>
    <w:rsid w:val="005F3926"/>
    <w:rsid w:val="005F39CF"/>
    <w:rsid w:val="005F3C9F"/>
    <w:rsid w:val="005F3E2C"/>
    <w:rsid w:val="005F3F24"/>
    <w:rsid w:val="005F3F6E"/>
    <w:rsid w:val="005F410A"/>
    <w:rsid w:val="005F41FE"/>
    <w:rsid w:val="005F4247"/>
    <w:rsid w:val="005F4496"/>
    <w:rsid w:val="005F4511"/>
    <w:rsid w:val="005F4867"/>
    <w:rsid w:val="005F4C07"/>
    <w:rsid w:val="005F4F45"/>
    <w:rsid w:val="005F50CC"/>
    <w:rsid w:val="005F569D"/>
    <w:rsid w:val="005F583D"/>
    <w:rsid w:val="005F5887"/>
    <w:rsid w:val="005F5997"/>
    <w:rsid w:val="005F5B10"/>
    <w:rsid w:val="005F6003"/>
    <w:rsid w:val="005F600E"/>
    <w:rsid w:val="005F611E"/>
    <w:rsid w:val="005F66B7"/>
    <w:rsid w:val="005F66F2"/>
    <w:rsid w:val="005F68D3"/>
    <w:rsid w:val="005F690F"/>
    <w:rsid w:val="005F6BF3"/>
    <w:rsid w:val="005F6C58"/>
    <w:rsid w:val="005F711C"/>
    <w:rsid w:val="005F73C0"/>
    <w:rsid w:val="005F73EB"/>
    <w:rsid w:val="005F7B2D"/>
    <w:rsid w:val="005F7F01"/>
    <w:rsid w:val="00600040"/>
    <w:rsid w:val="0060063E"/>
    <w:rsid w:val="00600734"/>
    <w:rsid w:val="006009FA"/>
    <w:rsid w:val="00601625"/>
    <w:rsid w:val="006018BC"/>
    <w:rsid w:val="00601E71"/>
    <w:rsid w:val="00601F3E"/>
    <w:rsid w:val="00602001"/>
    <w:rsid w:val="006025A1"/>
    <w:rsid w:val="006026DE"/>
    <w:rsid w:val="00602977"/>
    <w:rsid w:val="00602B60"/>
    <w:rsid w:val="00602CB7"/>
    <w:rsid w:val="00602DB9"/>
    <w:rsid w:val="00602E78"/>
    <w:rsid w:val="00602FD8"/>
    <w:rsid w:val="00603294"/>
    <w:rsid w:val="00603D4C"/>
    <w:rsid w:val="00603EF8"/>
    <w:rsid w:val="00603F18"/>
    <w:rsid w:val="00604149"/>
    <w:rsid w:val="006043E1"/>
    <w:rsid w:val="006044B4"/>
    <w:rsid w:val="00604783"/>
    <w:rsid w:val="00604B3B"/>
    <w:rsid w:val="00604D94"/>
    <w:rsid w:val="00604E05"/>
    <w:rsid w:val="0060506E"/>
    <w:rsid w:val="006052A9"/>
    <w:rsid w:val="006054D2"/>
    <w:rsid w:val="006055BF"/>
    <w:rsid w:val="006056B3"/>
    <w:rsid w:val="006057F1"/>
    <w:rsid w:val="00605AB9"/>
    <w:rsid w:val="00605D9E"/>
    <w:rsid w:val="00605F91"/>
    <w:rsid w:val="006064A7"/>
    <w:rsid w:val="006064DD"/>
    <w:rsid w:val="00606B0F"/>
    <w:rsid w:val="00606BB3"/>
    <w:rsid w:val="00607234"/>
    <w:rsid w:val="006072CA"/>
    <w:rsid w:val="006075E6"/>
    <w:rsid w:val="00607AA5"/>
    <w:rsid w:val="00607BD8"/>
    <w:rsid w:val="006106D2"/>
    <w:rsid w:val="00610785"/>
    <w:rsid w:val="00610890"/>
    <w:rsid w:val="00610A1B"/>
    <w:rsid w:val="00610BD4"/>
    <w:rsid w:val="0061126B"/>
    <w:rsid w:val="006112E5"/>
    <w:rsid w:val="0061150F"/>
    <w:rsid w:val="0061192F"/>
    <w:rsid w:val="00611B2B"/>
    <w:rsid w:val="00611B87"/>
    <w:rsid w:val="006120F5"/>
    <w:rsid w:val="00612554"/>
    <w:rsid w:val="0061273B"/>
    <w:rsid w:val="006127BC"/>
    <w:rsid w:val="00612868"/>
    <w:rsid w:val="006129F7"/>
    <w:rsid w:val="00612BA0"/>
    <w:rsid w:val="0061305D"/>
    <w:rsid w:val="0061308E"/>
    <w:rsid w:val="00613150"/>
    <w:rsid w:val="00613494"/>
    <w:rsid w:val="00613755"/>
    <w:rsid w:val="00613973"/>
    <w:rsid w:val="00613F1D"/>
    <w:rsid w:val="0061428D"/>
    <w:rsid w:val="0061465D"/>
    <w:rsid w:val="00614AE8"/>
    <w:rsid w:val="0061553B"/>
    <w:rsid w:val="0061584B"/>
    <w:rsid w:val="00615AD4"/>
    <w:rsid w:val="00615AE7"/>
    <w:rsid w:val="00615CAD"/>
    <w:rsid w:val="00616025"/>
    <w:rsid w:val="006160A9"/>
    <w:rsid w:val="006160AA"/>
    <w:rsid w:val="0061643E"/>
    <w:rsid w:val="006164C2"/>
    <w:rsid w:val="00616C75"/>
    <w:rsid w:val="00616CD4"/>
    <w:rsid w:val="006170B4"/>
    <w:rsid w:val="006174E7"/>
    <w:rsid w:val="0061756E"/>
    <w:rsid w:val="00617652"/>
    <w:rsid w:val="00617992"/>
    <w:rsid w:val="006179BF"/>
    <w:rsid w:val="006179DE"/>
    <w:rsid w:val="00617A40"/>
    <w:rsid w:val="00617F06"/>
    <w:rsid w:val="00620504"/>
    <w:rsid w:val="00620CC5"/>
    <w:rsid w:val="00620D3D"/>
    <w:rsid w:val="00620EA9"/>
    <w:rsid w:val="006212A4"/>
    <w:rsid w:val="006212B6"/>
    <w:rsid w:val="00621351"/>
    <w:rsid w:val="006214A5"/>
    <w:rsid w:val="00621560"/>
    <w:rsid w:val="00621743"/>
    <w:rsid w:val="00621A56"/>
    <w:rsid w:val="00621DA5"/>
    <w:rsid w:val="00621ECF"/>
    <w:rsid w:val="00622023"/>
    <w:rsid w:val="006221D3"/>
    <w:rsid w:val="00622255"/>
    <w:rsid w:val="006223E1"/>
    <w:rsid w:val="00622463"/>
    <w:rsid w:val="0062283B"/>
    <w:rsid w:val="00622986"/>
    <w:rsid w:val="00622A57"/>
    <w:rsid w:val="00622D95"/>
    <w:rsid w:val="00622E9F"/>
    <w:rsid w:val="00623046"/>
    <w:rsid w:val="006231CE"/>
    <w:rsid w:val="0062327A"/>
    <w:rsid w:val="00623306"/>
    <w:rsid w:val="0062336D"/>
    <w:rsid w:val="006237D4"/>
    <w:rsid w:val="006238E9"/>
    <w:rsid w:val="00623905"/>
    <w:rsid w:val="00623971"/>
    <w:rsid w:val="00623A85"/>
    <w:rsid w:val="00623DFB"/>
    <w:rsid w:val="006243BF"/>
    <w:rsid w:val="00624617"/>
    <w:rsid w:val="00624851"/>
    <w:rsid w:val="00624966"/>
    <w:rsid w:val="00624B74"/>
    <w:rsid w:val="00625040"/>
    <w:rsid w:val="006250A9"/>
    <w:rsid w:val="006250DD"/>
    <w:rsid w:val="006252F2"/>
    <w:rsid w:val="006259C3"/>
    <w:rsid w:val="006259EF"/>
    <w:rsid w:val="006259F7"/>
    <w:rsid w:val="00625F28"/>
    <w:rsid w:val="00625F89"/>
    <w:rsid w:val="00626053"/>
    <w:rsid w:val="00626150"/>
    <w:rsid w:val="006264BE"/>
    <w:rsid w:val="0062676C"/>
    <w:rsid w:val="006267F6"/>
    <w:rsid w:val="00626A7C"/>
    <w:rsid w:val="00626E34"/>
    <w:rsid w:val="00626FBE"/>
    <w:rsid w:val="00627233"/>
    <w:rsid w:val="00627747"/>
    <w:rsid w:val="00627797"/>
    <w:rsid w:val="006277ED"/>
    <w:rsid w:val="006278BE"/>
    <w:rsid w:val="00627912"/>
    <w:rsid w:val="0062799C"/>
    <w:rsid w:val="00627C69"/>
    <w:rsid w:val="006300A6"/>
    <w:rsid w:val="0063079D"/>
    <w:rsid w:val="00630CE1"/>
    <w:rsid w:val="00630CE5"/>
    <w:rsid w:val="00630E5C"/>
    <w:rsid w:val="00631070"/>
    <w:rsid w:val="006310C1"/>
    <w:rsid w:val="0063112E"/>
    <w:rsid w:val="00631315"/>
    <w:rsid w:val="0063132F"/>
    <w:rsid w:val="006316AB"/>
    <w:rsid w:val="00631805"/>
    <w:rsid w:val="00631C7E"/>
    <w:rsid w:val="00631DA1"/>
    <w:rsid w:val="00631F63"/>
    <w:rsid w:val="0063229B"/>
    <w:rsid w:val="006322D9"/>
    <w:rsid w:val="0063250E"/>
    <w:rsid w:val="0063253E"/>
    <w:rsid w:val="00632721"/>
    <w:rsid w:val="00632D46"/>
    <w:rsid w:val="00632F28"/>
    <w:rsid w:val="00633170"/>
    <w:rsid w:val="006333C2"/>
    <w:rsid w:val="006333C5"/>
    <w:rsid w:val="006335D4"/>
    <w:rsid w:val="006337BA"/>
    <w:rsid w:val="00633A91"/>
    <w:rsid w:val="00633B31"/>
    <w:rsid w:val="00633BEA"/>
    <w:rsid w:val="006342AB"/>
    <w:rsid w:val="006342B3"/>
    <w:rsid w:val="00634663"/>
    <w:rsid w:val="00634681"/>
    <w:rsid w:val="00634B30"/>
    <w:rsid w:val="00634CB0"/>
    <w:rsid w:val="00634CE6"/>
    <w:rsid w:val="00634D31"/>
    <w:rsid w:val="00635028"/>
    <w:rsid w:val="00635269"/>
    <w:rsid w:val="00635405"/>
    <w:rsid w:val="00635493"/>
    <w:rsid w:val="006355DC"/>
    <w:rsid w:val="0063580F"/>
    <w:rsid w:val="00635CFF"/>
    <w:rsid w:val="00635D82"/>
    <w:rsid w:val="00635FA2"/>
    <w:rsid w:val="00636325"/>
    <w:rsid w:val="00636379"/>
    <w:rsid w:val="0063672C"/>
    <w:rsid w:val="0063691F"/>
    <w:rsid w:val="0063693D"/>
    <w:rsid w:val="006369A2"/>
    <w:rsid w:val="00636D77"/>
    <w:rsid w:val="00637210"/>
    <w:rsid w:val="00637375"/>
    <w:rsid w:val="00637402"/>
    <w:rsid w:val="006374E1"/>
    <w:rsid w:val="00637726"/>
    <w:rsid w:val="00637BD2"/>
    <w:rsid w:val="00637D9A"/>
    <w:rsid w:val="0064050C"/>
    <w:rsid w:val="00640624"/>
    <w:rsid w:val="00640742"/>
    <w:rsid w:val="00640A6C"/>
    <w:rsid w:val="00640C9C"/>
    <w:rsid w:val="00641ACB"/>
    <w:rsid w:val="00641C6C"/>
    <w:rsid w:val="006427AB"/>
    <w:rsid w:val="006427F2"/>
    <w:rsid w:val="00642DA7"/>
    <w:rsid w:val="00642E56"/>
    <w:rsid w:val="0064315B"/>
    <w:rsid w:val="00643305"/>
    <w:rsid w:val="006433FD"/>
    <w:rsid w:val="0064340B"/>
    <w:rsid w:val="00643779"/>
    <w:rsid w:val="00643A32"/>
    <w:rsid w:val="00643B6A"/>
    <w:rsid w:val="00643CB9"/>
    <w:rsid w:val="0064406A"/>
    <w:rsid w:val="006441CA"/>
    <w:rsid w:val="0064445B"/>
    <w:rsid w:val="00644463"/>
    <w:rsid w:val="006444A9"/>
    <w:rsid w:val="00644795"/>
    <w:rsid w:val="00644CCF"/>
    <w:rsid w:val="00644D66"/>
    <w:rsid w:val="00644E52"/>
    <w:rsid w:val="00644F1A"/>
    <w:rsid w:val="00644F38"/>
    <w:rsid w:val="006450C2"/>
    <w:rsid w:val="00645284"/>
    <w:rsid w:val="00645768"/>
    <w:rsid w:val="006458C8"/>
    <w:rsid w:val="00645CA1"/>
    <w:rsid w:val="00645D9C"/>
    <w:rsid w:val="00645F1F"/>
    <w:rsid w:val="00645FAA"/>
    <w:rsid w:val="006466E8"/>
    <w:rsid w:val="006469DB"/>
    <w:rsid w:val="00646B6A"/>
    <w:rsid w:val="00646CDF"/>
    <w:rsid w:val="00646E8B"/>
    <w:rsid w:val="00646F26"/>
    <w:rsid w:val="006473D2"/>
    <w:rsid w:val="00647653"/>
    <w:rsid w:val="0064799D"/>
    <w:rsid w:val="006479E1"/>
    <w:rsid w:val="00647DC3"/>
    <w:rsid w:val="00650229"/>
    <w:rsid w:val="00650302"/>
    <w:rsid w:val="00650717"/>
    <w:rsid w:val="00650941"/>
    <w:rsid w:val="006509E7"/>
    <w:rsid w:val="00650ABE"/>
    <w:rsid w:val="00650C3B"/>
    <w:rsid w:val="00650DEB"/>
    <w:rsid w:val="00650DFE"/>
    <w:rsid w:val="006517C8"/>
    <w:rsid w:val="006518EE"/>
    <w:rsid w:val="00651935"/>
    <w:rsid w:val="00651C71"/>
    <w:rsid w:val="00651EC4"/>
    <w:rsid w:val="0065224E"/>
    <w:rsid w:val="0065235A"/>
    <w:rsid w:val="006523C2"/>
    <w:rsid w:val="0065245C"/>
    <w:rsid w:val="006524A3"/>
    <w:rsid w:val="006528A7"/>
    <w:rsid w:val="00652936"/>
    <w:rsid w:val="00652ADF"/>
    <w:rsid w:val="00652CDF"/>
    <w:rsid w:val="00652E57"/>
    <w:rsid w:val="00652F33"/>
    <w:rsid w:val="006533CE"/>
    <w:rsid w:val="006536B4"/>
    <w:rsid w:val="006540C5"/>
    <w:rsid w:val="00654208"/>
    <w:rsid w:val="0065486D"/>
    <w:rsid w:val="00654950"/>
    <w:rsid w:val="00654BB3"/>
    <w:rsid w:val="00654E01"/>
    <w:rsid w:val="00654F39"/>
    <w:rsid w:val="00655117"/>
    <w:rsid w:val="006552B6"/>
    <w:rsid w:val="0065587B"/>
    <w:rsid w:val="006558A0"/>
    <w:rsid w:val="00655C2D"/>
    <w:rsid w:val="00655CF2"/>
    <w:rsid w:val="00655E60"/>
    <w:rsid w:val="00655EFF"/>
    <w:rsid w:val="006562A0"/>
    <w:rsid w:val="00656394"/>
    <w:rsid w:val="00656676"/>
    <w:rsid w:val="00656707"/>
    <w:rsid w:val="00656728"/>
    <w:rsid w:val="00656864"/>
    <w:rsid w:val="00656890"/>
    <w:rsid w:val="0065699F"/>
    <w:rsid w:val="00656B65"/>
    <w:rsid w:val="00656C64"/>
    <w:rsid w:val="00656CBA"/>
    <w:rsid w:val="00656DF2"/>
    <w:rsid w:val="00656E8E"/>
    <w:rsid w:val="00657385"/>
    <w:rsid w:val="006573EF"/>
    <w:rsid w:val="006573F1"/>
    <w:rsid w:val="0065745F"/>
    <w:rsid w:val="00657551"/>
    <w:rsid w:val="0065766D"/>
    <w:rsid w:val="00657873"/>
    <w:rsid w:val="00657894"/>
    <w:rsid w:val="00657A33"/>
    <w:rsid w:val="00657ACA"/>
    <w:rsid w:val="00657D1E"/>
    <w:rsid w:val="00657EC0"/>
    <w:rsid w:val="00657FD5"/>
    <w:rsid w:val="0066025E"/>
    <w:rsid w:val="006603F9"/>
    <w:rsid w:val="0066041C"/>
    <w:rsid w:val="00660593"/>
    <w:rsid w:val="0066091A"/>
    <w:rsid w:val="006609F2"/>
    <w:rsid w:val="00660DA2"/>
    <w:rsid w:val="00660E64"/>
    <w:rsid w:val="00661107"/>
    <w:rsid w:val="006616F0"/>
    <w:rsid w:val="00661962"/>
    <w:rsid w:val="00661C14"/>
    <w:rsid w:val="00661EDF"/>
    <w:rsid w:val="00661EE3"/>
    <w:rsid w:val="0066224E"/>
    <w:rsid w:val="00662673"/>
    <w:rsid w:val="00662ABA"/>
    <w:rsid w:val="00662BA4"/>
    <w:rsid w:val="00662C66"/>
    <w:rsid w:val="00662CE6"/>
    <w:rsid w:val="00662F06"/>
    <w:rsid w:val="00662F09"/>
    <w:rsid w:val="00663162"/>
    <w:rsid w:val="0066347B"/>
    <w:rsid w:val="00663825"/>
    <w:rsid w:val="00663D01"/>
    <w:rsid w:val="00663D12"/>
    <w:rsid w:val="00664053"/>
    <w:rsid w:val="00664360"/>
    <w:rsid w:val="00664745"/>
    <w:rsid w:val="0066482E"/>
    <w:rsid w:val="006648CE"/>
    <w:rsid w:val="0066491A"/>
    <w:rsid w:val="0066496D"/>
    <w:rsid w:val="00664C80"/>
    <w:rsid w:val="00664F4B"/>
    <w:rsid w:val="00664F83"/>
    <w:rsid w:val="00665049"/>
    <w:rsid w:val="00665193"/>
    <w:rsid w:val="0066539F"/>
    <w:rsid w:val="00665771"/>
    <w:rsid w:val="00665773"/>
    <w:rsid w:val="006659D2"/>
    <w:rsid w:val="00665A6E"/>
    <w:rsid w:val="00665D6A"/>
    <w:rsid w:val="00665E49"/>
    <w:rsid w:val="00665F99"/>
    <w:rsid w:val="0066601F"/>
    <w:rsid w:val="006661D3"/>
    <w:rsid w:val="00666234"/>
    <w:rsid w:val="00666257"/>
    <w:rsid w:val="0066639D"/>
    <w:rsid w:val="00666507"/>
    <w:rsid w:val="006665A9"/>
    <w:rsid w:val="006666DB"/>
    <w:rsid w:val="006667A8"/>
    <w:rsid w:val="00666832"/>
    <w:rsid w:val="00666920"/>
    <w:rsid w:val="00666A00"/>
    <w:rsid w:val="00667020"/>
    <w:rsid w:val="0066709E"/>
    <w:rsid w:val="00667159"/>
    <w:rsid w:val="00667181"/>
    <w:rsid w:val="00667241"/>
    <w:rsid w:val="0066727E"/>
    <w:rsid w:val="006673FA"/>
    <w:rsid w:val="00667449"/>
    <w:rsid w:val="006674F2"/>
    <w:rsid w:val="00667584"/>
    <w:rsid w:val="0066773A"/>
    <w:rsid w:val="00667BCF"/>
    <w:rsid w:val="00667C32"/>
    <w:rsid w:val="00667C3F"/>
    <w:rsid w:val="00667C59"/>
    <w:rsid w:val="00667CBE"/>
    <w:rsid w:val="006700CF"/>
    <w:rsid w:val="00670200"/>
    <w:rsid w:val="00670421"/>
    <w:rsid w:val="00670504"/>
    <w:rsid w:val="0067061E"/>
    <w:rsid w:val="006706F2"/>
    <w:rsid w:val="00670822"/>
    <w:rsid w:val="00670B9E"/>
    <w:rsid w:val="00670C8C"/>
    <w:rsid w:val="00671062"/>
    <w:rsid w:val="00671135"/>
    <w:rsid w:val="00671257"/>
    <w:rsid w:val="00671367"/>
    <w:rsid w:val="006714F1"/>
    <w:rsid w:val="006716F7"/>
    <w:rsid w:val="006717AD"/>
    <w:rsid w:val="006717CD"/>
    <w:rsid w:val="00671819"/>
    <w:rsid w:val="0067181E"/>
    <w:rsid w:val="00671CBA"/>
    <w:rsid w:val="00671CBD"/>
    <w:rsid w:val="0067204A"/>
    <w:rsid w:val="00672239"/>
    <w:rsid w:val="006723E7"/>
    <w:rsid w:val="00672987"/>
    <w:rsid w:val="00672AE8"/>
    <w:rsid w:val="00672FF9"/>
    <w:rsid w:val="006733F7"/>
    <w:rsid w:val="006733F9"/>
    <w:rsid w:val="00673686"/>
    <w:rsid w:val="00673787"/>
    <w:rsid w:val="00673836"/>
    <w:rsid w:val="00673B3D"/>
    <w:rsid w:val="00673D00"/>
    <w:rsid w:val="00673D10"/>
    <w:rsid w:val="00673E7C"/>
    <w:rsid w:val="00673F55"/>
    <w:rsid w:val="006741B3"/>
    <w:rsid w:val="006742C8"/>
    <w:rsid w:val="006745FE"/>
    <w:rsid w:val="006747DA"/>
    <w:rsid w:val="00674DB7"/>
    <w:rsid w:val="00674E09"/>
    <w:rsid w:val="00674ECD"/>
    <w:rsid w:val="0067501E"/>
    <w:rsid w:val="006751D2"/>
    <w:rsid w:val="006753C8"/>
    <w:rsid w:val="006757A8"/>
    <w:rsid w:val="00675FA5"/>
    <w:rsid w:val="00675FC6"/>
    <w:rsid w:val="00676481"/>
    <w:rsid w:val="0067654D"/>
    <w:rsid w:val="006768CE"/>
    <w:rsid w:val="006769F4"/>
    <w:rsid w:val="00676ADA"/>
    <w:rsid w:val="00676CCF"/>
    <w:rsid w:val="00676DDB"/>
    <w:rsid w:val="0067726E"/>
    <w:rsid w:val="0067747C"/>
    <w:rsid w:val="00677723"/>
    <w:rsid w:val="00677B6A"/>
    <w:rsid w:val="00677D21"/>
    <w:rsid w:val="00680475"/>
    <w:rsid w:val="00680960"/>
    <w:rsid w:val="00680D30"/>
    <w:rsid w:val="00680DBC"/>
    <w:rsid w:val="00680E23"/>
    <w:rsid w:val="00680F0F"/>
    <w:rsid w:val="00680F50"/>
    <w:rsid w:val="006810D2"/>
    <w:rsid w:val="006810FD"/>
    <w:rsid w:val="00681781"/>
    <w:rsid w:val="00681AE6"/>
    <w:rsid w:val="00681BB9"/>
    <w:rsid w:val="00681CE2"/>
    <w:rsid w:val="00681D77"/>
    <w:rsid w:val="00681E98"/>
    <w:rsid w:val="00681F52"/>
    <w:rsid w:val="006820B3"/>
    <w:rsid w:val="00682136"/>
    <w:rsid w:val="006822F9"/>
    <w:rsid w:val="00682560"/>
    <w:rsid w:val="00682623"/>
    <w:rsid w:val="00682C0B"/>
    <w:rsid w:val="00682C63"/>
    <w:rsid w:val="006831E6"/>
    <w:rsid w:val="006833FC"/>
    <w:rsid w:val="006835BE"/>
    <w:rsid w:val="00683788"/>
    <w:rsid w:val="00683863"/>
    <w:rsid w:val="006838AE"/>
    <w:rsid w:val="00683A3D"/>
    <w:rsid w:val="00683C83"/>
    <w:rsid w:val="00683F62"/>
    <w:rsid w:val="00684170"/>
    <w:rsid w:val="00684255"/>
    <w:rsid w:val="006843FB"/>
    <w:rsid w:val="00684475"/>
    <w:rsid w:val="00684506"/>
    <w:rsid w:val="00684A59"/>
    <w:rsid w:val="00684B84"/>
    <w:rsid w:val="00684BBD"/>
    <w:rsid w:val="00684C13"/>
    <w:rsid w:val="00684C17"/>
    <w:rsid w:val="00684CB4"/>
    <w:rsid w:val="00684ED3"/>
    <w:rsid w:val="00684F33"/>
    <w:rsid w:val="00684FB2"/>
    <w:rsid w:val="00685010"/>
    <w:rsid w:val="00685077"/>
    <w:rsid w:val="006852DD"/>
    <w:rsid w:val="006858C6"/>
    <w:rsid w:val="006858D7"/>
    <w:rsid w:val="00685952"/>
    <w:rsid w:val="00685A5F"/>
    <w:rsid w:val="00685B63"/>
    <w:rsid w:val="00685B87"/>
    <w:rsid w:val="00685B9B"/>
    <w:rsid w:val="00685C19"/>
    <w:rsid w:val="00685DBB"/>
    <w:rsid w:val="00685F62"/>
    <w:rsid w:val="0068612E"/>
    <w:rsid w:val="006863DF"/>
    <w:rsid w:val="0068653B"/>
    <w:rsid w:val="006867BE"/>
    <w:rsid w:val="0068681F"/>
    <w:rsid w:val="00686984"/>
    <w:rsid w:val="00686A9F"/>
    <w:rsid w:val="00686B37"/>
    <w:rsid w:val="00686FB9"/>
    <w:rsid w:val="00687289"/>
    <w:rsid w:val="00687350"/>
    <w:rsid w:val="006874AA"/>
    <w:rsid w:val="006874F9"/>
    <w:rsid w:val="00687B21"/>
    <w:rsid w:val="00687B71"/>
    <w:rsid w:val="00687C94"/>
    <w:rsid w:val="00687D2D"/>
    <w:rsid w:val="00687E48"/>
    <w:rsid w:val="00690518"/>
    <w:rsid w:val="006905EB"/>
    <w:rsid w:val="006909A6"/>
    <w:rsid w:val="00690ADB"/>
    <w:rsid w:val="00690D4C"/>
    <w:rsid w:val="00690EAC"/>
    <w:rsid w:val="00690ED8"/>
    <w:rsid w:val="006911B8"/>
    <w:rsid w:val="006912A6"/>
    <w:rsid w:val="00691D45"/>
    <w:rsid w:val="00691D9C"/>
    <w:rsid w:val="00691E39"/>
    <w:rsid w:val="006921A2"/>
    <w:rsid w:val="006921D1"/>
    <w:rsid w:val="0069239F"/>
    <w:rsid w:val="006923AE"/>
    <w:rsid w:val="0069251B"/>
    <w:rsid w:val="0069268F"/>
    <w:rsid w:val="00692ADA"/>
    <w:rsid w:val="00692AE8"/>
    <w:rsid w:val="00692B4A"/>
    <w:rsid w:val="00692C35"/>
    <w:rsid w:val="00692F4A"/>
    <w:rsid w:val="006933F5"/>
    <w:rsid w:val="00693466"/>
    <w:rsid w:val="006939FF"/>
    <w:rsid w:val="00693DC8"/>
    <w:rsid w:val="00693ED4"/>
    <w:rsid w:val="006941ED"/>
    <w:rsid w:val="00694310"/>
    <w:rsid w:val="006944B1"/>
    <w:rsid w:val="006949DB"/>
    <w:rsid w:val="00694A71"/>
    <w:rsid w:val="00694A79"/>
    <w:rsid w:val="00694A96"/>
    <w:rsid w:val="00694F6F"/>
    <w:rsid w:val="00694F9E"/>
    <w:rsid w:val="00694FB0"/>
    <w:rsid w:val="006951E2"/>
    <w:rsid w:val="0069520C"/>
    <w:rsid w:val="0069521F"/>
    <w:rsid w:val="006954A3"/>
    <w:rsid w:val="006954E4"/>
    <w:rsid w:val="00695814"/>
    <w:rsid w:val="0069592D"/>
    <w:rsid w:val="00695C48"/>
    <w:rsid w:val="00695D31"/>
    <w:rsid w:val="00695EFA"/>
    <w:rsid w:val="00695F08"/>
    <w:rsid w:val="0069619F"/>
    <w:rsid w:val="006961FE"/>
    <w:rsid w:val="00696205"/>
    <w:rsid w:val="006962E6"/>
    <w:rsid w:val="006962F5"/>
    <w:rsid w:val="0069643B"/>
    <w:rsid w:val="0069650A"/>
    <w:rsid w:val="006968AD"/>
    <w:rsid w:val="00696B05"/>
    <w:rsid w:val="00696B27"/>
    <w:rsid w:val="00696BE8"/>
    <w:rsid w:val="0069715D"/>
    <w:rsid w:val="006974E0"/>
    <w:rsid w:val="006974F1"/>
    <w:rsid w:val="0069787D"/>
    <w:rsid w:val="00697FC9"/>
    <w:rsid w:val="006A04B8"/>
    <w:rsid w:val="006A055C"/>
    <w:rsid w:val="006A088C"/>
    <w:rsid w:val="006A0A46"/>
    <w:rsid w:val="006A0E2A"/>
    <w:rsid w:val="006A127D"/>
    <w:rsid w:val="006A1481"/>
    <w:rsid w:val="006A14C0"/>
    <w:rsid w:val="006A1564"/>
    <w:rsid w:val="006A16C8"/>
    <w:rsid w:val="006A1B42"/>
    <w:rsid w:val="006A2468"/>
    <w:rsid w:val="006A24AE"/>
    <w:rsid w:val="006A267A"/>
    <w:rsid w:val="006A26E8"/>
    <w:rsid w:val="006A2838"/>
    <w:rsid w:val="006A29ED"/>
    <w:rsid w:val="006A2B5D"/>
    <w:rsid w:val="006A2C44"/>
    <w:rsid w:val="006A2CB3"/>
    <w:rsid w:val="006A314F"/>
    <w:rsid w:val="006A3775"/>
    <w:rsid w:val="006A3BCA"/>
    <w:rsid w:val="006A3EFD"/>
    <w:rsid w:val="006A4091"/>
    <w:rsid w:val="006A40EC"/>
    <w:rsid w:val="006A418A"/>
    <w:rsid w:val="006A41F6"/>
    <w:rsid w:val="006A4761"/>
    <w:rsid w:val="006A4790"/>
    <w:rsid w:val="006A482B"/>
    <w:rsid w:val="006A49B3"/>
    <w:rsid w:val="006A54A2"/>
    <w:rsid w:val="006A572B"/>
    <w:rsid w:val="006A587A"/>
    <w:rsid w:val="006A598C"/>
    <w:rsid w:val="006A5B30"/>
    <w:rsid w:val="006A5F07"/>
    <w:rsid w:val="006A6275"/>
    <w:rsid w:val="006A64FB"/>
    <w:rsid w:val="006A68BE"/>
    <w:rsid w:val="006A68F1"/>
    <w:rsid w:val="006A68FC"/>
    <w:rsid w:val="006A6980"/>
    <w:rsid w:val="006A699C"/>
    <w:rsid w:val="006A69E4"/>
    <w:rsid w:val="006A71C6"/>
    <w:rsid w:val="006A7266"/>
    <w:rsid w:val="006A75E2"/>
    <w:rsid w:val="006A77F2"/>
    <w:rsid w:val="006A78A3"/>
    <w:rsid w:val="006A7C35"/>
    <w:rsid w:val="006A7EC5"/>
    <w:rsid w:val="006B048B"/>
    <w:rsid w:val="006B0A27"/>
    <w:rsid w:val="006B0A3B"/>
    <w:rsid w:val="006B0A46"/>
    <w:rsid w:val="006B0A83"/>
    <w:rsid w:val="006B0E3C"/>
    <w:rsid w:val="006B0FC7"/>
    <w:rsid w:val="006B12A8"/>
    <w:rsid w:val="006B14CF"/>
    <w:rsid w:val="006B15E4"/>
    <w:rsid w:val="006B173E"/>
    <w:rsid w:val="006B196E"/>
    <w:rsid w:val="006B1993"/>
    <w:rsid w:val="006B1994"/>
    <w:rsid w:val="006B1B69"/>
    <w:rsid w:val="006B1D4F"/>
    <w:rsid w:val="006B2312"/>
    <w:rsid w:val="006B2B0F"/>
    <w:rsid w:val="006B2C1D"/>
    <w:rsid w:val="006B2C67"/>
    <w:rsid w:val="006B2E5A"/>
    <w:rsid w:val="006B32D1"/>
    <w:rsid w:val="006B3397"/>
    <w:rsid w:val="006B36E5"/>
    <w:rsid w:val="006B398C"/>
    <w:rsid w:val="006B3CB5"/>
    <w:rsid w:val="006B3D1B"/>
    <w:rsid w:val="006B3E3F"/>
    <w:rsid w:val="006B3EF3"/>
    <w:rsid w:val="006B3F22"/>
    <w:rsid w:val="006B3F58"/>
    <w:rsid w:val="006B43FE"/>
    <w:rsid w:val="006B47B0"/>
    <w:rsid w:val="006B4AF1"/>
    <w:rsid w:val="006B4CEC"/>
    <w:rsid w:val="006B50E3"/>
    <w:rsid w:val="006B518E"/>
    <w:rsid w:val="006B522C"/>
    <w:rsid w:val="006B54DA"/>
    <w:rsid w:val="006B5601"/>
    <w:rsid w:val="006B573B"/>
    <w:rsid w:val="006B5C9D"/>
    <w:rsid w:val="006B607F"/>
    <w:rsid w:val="006B610D"/>
    <w:rsid w:val="006B61C2"/>
    <w:rsid w:val="006B66F2"/>
    <w:rsid w:val="006B68CA"/>
    <w:rsid w:val="006B694B"/>
    <w:rsid w:val="006B6A64"/>
    <w:rsid w:val="006B6DBF"/>
    <w:rsid w:val="006B6EB1"/>
    <w:rsid w:val="006B721F"/>
    <w:rsid w:val="006B746C"/>
    <w:rsid w:val="006B759A"/>
    <w:rsid w:val="006B772A"/>
    <w:rsid w:val="006B78C4"/>
    <w:rsid w:val="006B7C14"/>
    <w:rsid w:val="006B7F49"/>
    <w:rsid w:val="006B7F68"/>
    <w:rsid w:val="006C00ED"/>
    <w:rsid w:val="006C01D7"/>
    <w:rsid w:val="006C0394"/>
    <w:rsid w:val="006C04D8"/>
    <w:rsid w:val="006C04E9"/>
    <w:rsid w:val="006C062E"/>
    <w:rsid w:val="006C06A5"/>
    <w:rsid w:val="006C0A3D"/>
    <w:rsid w:val="006C0A93"/>
    <w:rsid w:val="006C0C1A"/>
    <w:rsid w:val="006C0E69"/>
    <w:rsid w:val="006C0F66"/>
    <w:rsid w:val="006C1070"/>
    <w:rsid w:val="006C1076"/>
    <w:rsid w:val="006C121B"/>
    <w:rsid w:val="006C1348"/>
    <w:rsid w:val="006C1441"/>
    <w:rsid w:val="006C176D"/>
    <w:rsid w:val="006C179B"/>
    <w:rsid w:val="006C19A8"/>
    <w:rsid w:val="006C1AFB"/>
    <w:rsid w:val="006C1C13"/>
    <w:rsid w:val="006C1E26"/>
    <w:rsid w:val="006C201B"/>
    <w:rsid w:val="006C21FD"/>
    <w:rsid w:val="006C2212"/>
    <w:rsid w:val="006C25B3"/>
    <w:rsid w:val="006C277F"/>
    <w:rsid w:val="006C27CE"/>
    <w:rsid w:val="006C2941"/>
    <w:rsid w:val="006C2B7C"/>
    <w:rsid w:val="006C2B7E"/>
    <w:rsid w:val="006C2C9F"/>
    <w:rsid w:val="006C2E81"/>
    <w:rsid w:val="006C3066"/>
    <w:rsid w:val="006C360B"/>
    <w:rsid w:val="006C36F6"/>
    <w:rsid w:val="006C38B2"/>
    <w:rsid w:val="006C3B0A"/>
    <w:rsid w:val="006C3CE3"/>
    <w:rsid w:val="006C4185"/>
    <w:rsid w:val="006C4241"/>
    <w:rsid w:val="006C467A"/>
    <w:rsid w:val="006C483B"/>
    <w:rsid w:val="006C48A6"/>
    <w:rsid w:val="006C496B"/>
    <w:rsid w:val="006C4A36"/>
    <w:rsid w:val="006C4A93"/>
    <w:rsid w:val="006C4B46"/>
    <w:rsid w:val="006C4E1A"/>
    <w:rsid w:val="006C4F7E"/>
    <w:rsid w:val="006C51C1"/>
    <w:rsid w:val="006C53A1"/>
    <w:rsid w:val="006C53C1"/>
    <w:rsid w:val="006C5442"/>
    <w:rsid w:val="006C5470"/>
    <w:rsid w:val="006C54AB"/>
    <w:rsid w:val="006C5552"/>
    <w:rsid w:val="006C5605"/>
    <w:rsid w:val="006C5800"/>
    <w:rsid w:val="006C588C"/>
    <w:rsid w:val="006C5993"/>
    <w:rsid w:val="006C5A8A"/>
    <w:rsid w:val="006C5D0A"/>
    <w:rsid w:val="006C5DFC"/>
    <w:rsid w:val="006C5F71"/>
    <w:rsid w:val="006C5FDE"/>
    <w:rsid w:val="006C625E"/>
    <w:rsid w:val="006C651E"/>
    <w:rsid w:val="006C6723"/>
    <w:rsid w:val="006C686A"/>
    <w:rsid w:val="006C68C3"/>
    <w:rsid w:val="006C68FA"/>
    <w:rsid w:val="006C6EBB"/>
    <w:rsid w:val="006C6F21"/>
    <w:rsid w:val="006C7345"/>
    <w:rsid w:val="006C7748"/>
    <w:rsid w:val="006C77F0"/>
    <w:rsid w:val="006C780F"/>
    <w:rsid w:val="006C784E"/>
    <w:rsid w:val="006C7896"/>
    <w:rsid w:val="006C79DE"/>
    <w:rsid w:val="006C7F65"/>
    <w:rsid w:val="006D00D0"/>
    <w:rsid w:val="006D011A"/>
    <w:rsid w:val="006D033E"/>
    <w:rsid w:val="006D082F"/>
    <w:rsid w:val="006D106F"/>
    <w:rsid w:val="006D10A5"/>
    <w:rsid w:val="006D1178"/>
    <w:rsid w:val="006D1334"/>
    <w:rsid w:val="006D144D"/>
    <w:rsid w:val="006D16E5"/>
    <w:rsid w:val="006D187F"/>
    <w:rsid w:val="006D1988"/>
    <w:rsid w:val="006D1A6B"/>
    <w:rsid w:val="006D20B3"/>
    <w:rsid w:val="006D2259"/>
    <w:rsid w:val="006D2664"/>
    <w:rsid w:val="006D2A4C"/>
    <w:rsid w:val="006D2C13"/>
    <w:rsid w:val="006D343F"/>
    <w:rsid w:val="006D34F3"/>
    <w:rsid w:val="006D364F"/>
    <w:rsid w:val="006D36AB"/>
    <w:rsid w:val="006D386F"/>
    <w:rsid w:val="006D3973"/>
    <w:rsid w:val="006D3ADF"/>
    <w:rsid w:val="006D3B56"/>
    <w:rsid w:val="006D3D67"/>
    <w:rsid w:val="006D3E2E"/>
    <w:rsid w:val="006D3FA0"/>
    <w:rsid w:val="006D436A"/>
    <w:rsid w:val="006D4502"/>
    <w:rsid w:val="006D4950"/>
    <w:rsid w:val="006D4D26"/>
    <w:rsid w:val="006D4EBA"/>
    <w:rsid w:val="006D4EC2"/>
    <w:rsid w:val="006D4F99"/>
    <w:rsid w:val="006D5204"/>
    <w:rsid w:val="006D5710"/>
    <w:rsid w:val="006D5726"/>
    <w:rsid w:val="006D5A7F"/>
    <w:rsid w:val="006D5D4F"/>
    <w:rsid w:val="006D65A5"/>
    <w:rsid w:val="006D6633"/>
    <w:rsid w:val="006D6845"/>
    <w:rsid w:val="006D69B5"/>
    <w:rsid w:val="006D6C27"/>
    <w:rsid w:val="006D7041"/>
    <w:rsid w:val="006D718B"/>
    <w:rsid w:val="006D7524"/>
    <w:rsid w:val="006D7560"/>
    <w:rsid w:val="006D770D"/>
    <w:rsid w:val="006D7742"/>
    <w:rsid w:val="006D79B0"/>
    <w:rsid w:val="006D7BB7"/>
    <w:rsid w:val="006D7DB3"/>
    <w:rsid w:val="006D7EF9"/>
    <w:rsid w:val="006E0187"/>
    <w:rsid w:val="006E0256"/>
    <w:rsid w:val="006E02F0"/>
    <w:rsid w:val="006E032F"/>
    <w:rsid w:val="006E099D"/>
    <w:rsid w:val="006E09B3"/>
    <w:rsid w:val="006E0B06"/>
    <w:rsid w:val="006E0B26"/>
    <w:rsid w:val="006E0B44"/>
    <w:rsid w:val="006E0C24"/>
    <w:rsid w:val="006E0CFA"/>
    <w:rsid w:val="006E0E22"/>
    <w:rsid w:val="006E0F49"/>
    <w:rsid w:val="006E1214"/>
    <w:rsid w:val="006E1315"/>
    <w:rsid w:val="006E1580"/>
    <w:rsid w:val="006E1646"/>
    <w:rsid w:val="006E16AF"/>
    <w:rsid w:val="006E16FB"/>
    <w:rsid w:val="006E19B3"/>
    <w:rsid w:val="006E1A64"/>
    <w:rsid w:val="006E1B11"/>
    <w:rsid w:val="006E1BA3"/>
    <w:rsid w:val="006E2166"/>
    <w:rsid w:val="006E225B"/>
    <w:rsid w:val="006E2302"/>
    <w:rsid w:val="006E2B59"/>
    <w:rsid w:val="006E2D86"/>
    <w:rsid w:val="006E2DFA"/>
    <w:rsid w:val="006E2E35"/>
    <w:rsid w:val="006E3141"/>
    <w:rsid w:val="006E31C7"/>
    <w:rsid w:val="006E39FE"/>
    <w:rsid w:val="006E3AD5"/>
    <w:rsid w:val="006E3B27"/>
    <w:rsid w:val="006E3B43"/>
    <w:rsid w:val="006E3B94"/>
    <w:rsid w:val="006E3D81"/>
    <w:rsid w:val="006E430C"/>
    <w:rsid w:val="006E44CD"/>
    <w:rsid w:val="006E4CB3"/>
    <w:rsid w:val="006E4D31"/>
    <w:rsid w:val="006E500C"/>
    <w:rsid w:val="006E5021"/>
    <w:rsid w:val="006E5CD1"/>
    <w:rsid w:val="006E5E13"/>
    <w:rsid w:val="006E604A"/>
    <w:rsid w:val="006E62D9"/>
    <w:rsid w:val="006E6568"/>
    <w:rsid w:val="006E6605"/>
    <w:rsid w:val="006E677C"/>
    <w:rsid w:val="006E6AA1"/>
    <w:rsid w:val="006E6CDE"/>
    <w:rsid w:val="006E7A66"/>
    <w:rsid w:val="006E7E2D"/>
    <w:rsid w:val="006E7E6B"/>
    <w:rsid w:val="006E7E8E"/>
    <w:rsid w:val="006F0033"/>
    <w:rsid w:val="006F0108"/>
    <w:rsid w:val="006F040A"/>
    <w:rsid w:val="006F0877"/>
    <w:rsid w:val="006F0A27"/>
    <w:rsid w:val="006F0FC7"/>
    <w:rsid w:val="006F1036"/>
    <w:rsid w:val="006F1459"/>
    <w:rsid w:val="006F1B1B"/>
    <w:rsid w:val="006F201C"/>
    <w:rsid w:val="006F234E"/>
    <w:rsid w:val="006F24E2"/>
    <w:rsid w:val="006F2502"/>
    <w:rsid w:val="006F279E"/>
    <w:rsid w:val="006F2853"/>
    <w:rsid w:val="006F2913"/>
    <w:rsid w:val="006F299B"/>
    <w:rsid w:val="006F2B91"/>
    <w:rsid w:val="006F2BA5"/>
    <w:rsid w:val="006F2D28"/>
    <w:rsid w:val="006F2D48"/>
    <w:rsid w:val="006F2D6A"/>
    <w:rsid w:val="006F3320"/>
    <w:rsid w:val="006F3398"/>
    <w:rsid w:val="006F352F"/>
    <w:rsid w:val="006F3AE2"/>
    <w:rsid w:val="006F3C08"/>
    <w:rsid w:val="006F3EA4"/>
    <w:rsid w:val="006F4057"/>
    <w:rsid w:val="006F43F4"/>
    <w:rsid w:val="006F45EA"/>
    <w:rsid w:val="006F47B3"/>
    <w:rsid w:val="006F4A13"/>
    <w:rsid w:val="006F4D74"/>
    <w:rsid w:val="006F4F92"/>
    <w:rsid w:val="006F5333"/>
    <w:rsid w:val="006F5C8E"/>
    <w:rsid w:val="006F5DF0"/>
    <w:rsid w:val="006F5F52"/>
    <w:rsid w:val="006F6007"/>
    <w:rsid w:val="006F62E8"/>
    <w:rsid w:val="006F674F"/>
    <w:rsid w:val="006F6A1E"/>
    <w:rsid w:val="006F6ADE"/>
    <w:rsid w:val="006F6D18"/>
    <w:rsid w:val="006F6EFF"/>
    <w:rsid w:val="006F7024"/>
    <w:rsid w:val="006F71A4"/>
    <w:rsid w:val="006F7298"/>
    <w:rsid w:val="006F729D"/>
    <w:rsid w:val="006F734A"/>
    <w:rsid w:val="006F73AA"/>
    <w:rsid w:val="006F757E"/>
    <w:rsid w:val="006F7CAC"/>
    <w:rsid w:val="006F7D8E"/>
    <w:rsid w:val="00700016"/>
    <w:rsid w:val="007007CF"/>
    <w:rsid w:val="007008F1"/>
    <w:rsid w:val="00700A3B"/>
    <w:rsid w:val="00700B4E"/>
    <w:rsid w:val="00700C4A"/>
    <w:rsid w:val="007015A3"/>
    <w:rsid w:val="00701659"/>
    <w:rsid w:val="00701B5B"/>
    <w:rsid w:val="00701B6F"/>
    <w:rsid w:val="00701B8C"/>
    <w:rsid w:val="00701E59"/>
    <w:rsid w:val="00702011"/>
    <w:rsid w:val="007023EC"/>
    <w:rsid w:val="00702681"/>
    <w:rsid w:val="00702698"/>
    <w:rsid w:val="007027FC"/>
    <w:rsid w:val="007028B8"/>
    <w:rsid w:val="00702A0D"/>
    <w:rsid w:val="00702D56"/>
    <w:rsid w:val="00702E16"/>
    <w:rsid w:val="00702F7F"/>
    <w:rsid w:val="00703585"/>
    <w:rsid w:val="00703627"/>
    <w:rsid w:val="007036D9"/>
    <w:rsid w:val="0070379B"/>
    <w:rsid w:val="00703887"/>
    <w:rsid w:val="00703AFF"/>
    <w:rsid w:val="00703BCD"/>
    <w:rsid w:val="00704275"/>
    <w:rsid w:val="0070429C"/>
    <w:rsid w:val="007046B5"/>
    <w:rsid w:val="0070470F"/>
    <w:rsid w:val="0070481B"/>
    <w:rsid w:val="0070494E"/>
    <w:rsid w:val="00704A37"/>
    <w:rsid w:val="00704B45"/>
    <w:rsid w:val="00704C7E"/>
    <w:rsid w:val="00704DEA"/>
    <w:rsid w:val="007050F3"/>
    <w:rsid w:val="007056F6"/>
    <w:rsid w:val="007057B5"/>
    <w:rsid w:val="007058D0"/>
    <w:rsid w:val="00705B63"/>
    <w:rsid w:val="00705E34"/>
    <w:rsid w:val="00706326"/>
    <w:rsid w:val="0070637B"/>
    <w:rsid w:val="007063A4"/>
    <w:rsid w:val="00706546"/>
    <w:rsid w:val="00706826"/>
    <w:rsid w:val="007068A3"/>
    <w:rsid w:val="007069F1"/>
    <w:rsid w:val="00706A82"/>
    <w:rsid w:val="00706CE9"/>
    <w:rsid w:val="00707538"/>
    <w:rsid w:val="0070757D"/>
    <w:rsid w:val="00707708"/>
    <w:rsid w:val="00707B0A"/>
    <w:rsid w:val="00707C54"/>
    <w:rsid w:val="00707D26"/>
    <w:rsid w:val="00707E3F"/>
    <w:rsid w:val="00707F25"/>
    <w:rsid w:val="0071020F"/>
    <w:rsid w:val="007108B4"/>
    <w:rsid w:val="007108D7"/>
    <w:rsid w:val="00710DAB"/>
    <w:rsid w:val="00710E49"/>
    <w:rsid w:val="00710E8C"/>
    <w:rsid w:val="00710EAC"/>
    <w:rsid w:val="00710F64"/>
    <w:rsid w:val="00711CE8"/>
    <w:rsid w:val="00711E2D"/>
    <w:rsid w:val="0071214E"/>
    <w:rsid w:val="007121D6"/>
    <w:rsid w:val="0071272D"/>
    <w:rsid w:val="00712791"/>
    <w:rsid w:val="00712B91"/>
    <w:rsid w:val="00712E04"/>
    <w:rsid w:val="00712F55"/>
    <w:rsid w:val="00713800"/>
    <w:rsid w:val="00713A76"/>
    <w:rsid w:val="00713BF1"/>
    <w:rsid w:val="00713CCF"/>
    <w:rsid w:val="00713CD3"/>
    <w:rsid w:val="00713F0D"/>
    <w:rsid w:val="00713FC9"/>
    <w:rsid w:val="00714017"/>
    <w:rsid w:val="007142CC"/>
    <w:rsid w:val="007148CB"/>
    <w:rsid w:val="0071491C"/>
    <w:rsid w:val="00714C5E"/>
    <w:rsid w:val="00714CCE"/>
    <w:rsid w:val="00714D06"/>
    <w:rsid w:val="00714E7D"/>
    <w:rsid w:val="00714F0B"/>
    <w:rsid w:val="00714FC4"/>
    <w:rsid w:val="0071516C"/>
    <w:rsid w:val="007151A4"/>
    <w:rsid w:val="007154CD"/>
    <w:rsid w:val="00715552"/>
    <w:rsid w:val="007155B1"/>
    <w:rsid w:val="007156A9"/>
    <w:rsid w:val="00715BCF"/>
    <w:rsid w:val="00715C37"/>
    <w:rsid w:val="007161C4"/>
    <w:rsid w:val="00716592"/>
    <w:rsid w:val="00716AD1"/>
    <w:rsid w:val="00716D96"/>
    <w:rsid w:val="00716E4A"/>
    <w:rsid w:val="00716E77"/>
    <w:rsid w:val="00716F87"/>
    <w:rsid w:val="00716FB1"/>
    <w:rsid w:val="007170ED"/>
    <w:rsid w:val="00717381"/>
    <w:rsid w:val="007173E5"/>
    <w:rsid w:val="007174E9"/>
    <w:rsid w:val="0071765D"/>
    <w:rsid w:val="0071780B"/>
    <w:rsid w:val="00717DD4"/>
    <w:rsid w:val="00717EF4"/>
    <w:rsid w:val="00720182"/>
    <w:rsid w:val="0072048B"/>
    <w:rsid w:val="007205A2"/>
    <w:rsid w:val="007205D3"/>
    <w:rsid w:val="0072061A"/>
    <w:rsid w:val="007207D0"/>
    <w:rsid w:val="00720CBD"/>
    <w:rsid w:val="00720D57"/>
    <w:rsid w:val="00720E45"/>
    <w:rsid w:val="007211F8"/>
    <w:rsid w:val="0072144C"/>
    <w:rsid w:val="0072166E"/>
    <w:rsid w:val="00721FA1"/>
    <w:rsid w:val="007221F5"/>
    <w:rsid w:val="007222D3"/>
    <w:rsid w:val="007226DB"/>
    <w:rsid w:val="0072283A"/>
    <w:rsid w:val="007229D2"/>
    <w:rsid w:val="00722B00"/>
    <w:rsid w:val="00722B34"/>
    <w:rsid w:val="00722CB3"/>
    <w:rsid w:val="00722CE0"/>
    <w:rsid w:val="00722D07"/>
    <w:rsid w:val="00723587"/>
    <w:rsid w:val="00723987"/>
    <w:rsid w:val="007239F8"/>
    <w:rsid w:val="00723E73"/>
    <w:rsid w:val="00723EE8"/>
    <w:rsid w:val="00723F8C"/>
    <w:rsid w:val="0072402E"/>
    <w:rsid w:val="0072434E"/>
    <w:rsid w:val="0072485B"/>
    <w:rsid w:val="0072497B"/>
    <w:rsid w:val="00724B52"/>
    <w:rsid w:val="00724DBE"/>
    <w:rsid w:val="00725194"/>
    <w:rsid w:val="00725216"/>
    <w:rsid w:val="0072538D"/>
    <w:rsid w:val="00725686"/>
    <w:rsid w:val="00725B2D"/>
    <w:rsid w:val="00725B36"/>
    <w:rsid w:val="00725BAC"/>
    <w:rsid w:val="00725F41"/>
    <w:rsid w:val="00726015"/>
    <w:rsid w:val="007261AE"/>
    <w:rsid w:val="007262CC"/>
    <w:rsid w:val="00726802"/>
    <w:rsid w:val="00726D0E"/>
    <w:rsid w:val="007273BB"/>
    <w:rsid w:val="007273BC"/>
    <w:rsid w:val="0072756F"/>
    <w:rsid w:val="0072766A"/>
    <w:rsid w:val="00730CC2"/>
    <w:rsid w:val="00730D2C"/>
    <w:rsid w:val="00730E47"/>
    <w:rsid w:val="00730F38"/>
    <w:rsid w:val="0073112A"/>
    <w:rsid w:val="0073126C"/>
    <w:rsid w:val="007312D8"/>
    <w:rsid w:val="007313EC"/>
    <w:rsid w:val="007315B6"/>
    <w:rsid w:val="0073160D"/>
    <w:rsid w:val="007316BD"/>
    <w:rsid w:val="0073174E"/>
    <w:rsid w:val="007318B1"/>
    <w:rsid w:val="0073198D"/>
    <w:rsid w:val="00731BA5"/>
    <w:rsid w:val="00731C93"/>
    <w:rsid w:val="00732016"/>
    <w:rsid w:val="007322AF"/>
    <w:rsid w:val="00732342"/>
    <w:rsid w:val="00732433"/>
    <w:rsid w:val="00732BBC"/>
    <w:rsid w:val="00732D2C"/>
    <w:rsid w:val="00732DD5"/>
    <w:rsid w:val="00733606"/>
    <w:rsid w:val="00733B1A"/>
    <w:rsid w:val="00733E7F"/>
    <w:rsid w:val="00733F71"/>
    <w:rsid w:val="007340C3"/>
    <w:rsid w:val="007340C7"/>
    <w:rsid w:val="007341C5"/>
    <w:rsid w:val="00734465"/>
    <w:rsid w:val="00734BE6"/>
    <w:rsid w:val="00734D8D"/>
    <w:rsid w:val="00735258"/>
    <w:rsid w:val="007353FD"/>
    <w:rsid w:val="00735699"/>
    <w:rsid w:val="007357DB"/>
    <w:rsid w:val="00735A25"/>
    <w:rsid w:val="00735C11"/>
    <w:rsid w:val="00735FAA"/>
    <w:rsid w:val="007362ED"/>
    <w:rsid w:val="0073647A"/>
    <w:rsid w:val="007365EB"/>
    <w:rsid w:val="00736932"/>
    <w:rsid w:val="00736E50"/>
    <w:rsid w:val="00736FAA"/>
    <w:rsid w:val="00737160"/>
    <w:rsid w:val="00737249"/>
    <w:rsid w:val="007372A0"/>
    <w:rsid w:val="007372EE"/>
    <w:rsid w:val="00737C02"/>
    <w:rsid w:val="00737C8A"/>
    <w:rsid w:val="007403F7"/>
    <w:rsid w:val="00740887"/>
    <w:rsid w:val="007409FD"/>
    <w:rsid w:val="00740A0D"/>
    <w:rsid w:val="00740F5C"/>
    <w:rsid w:val="00741740"/>
    <w:rsid w:val="0074193C"/>
    <w:rsid w:val="007419ED"/>
    <w:rsid w:val="00741F91"/>
    <w:rsid w:val="00742531"/>
    <w:rsid w:val="0074262E"/>
    <w:rsid w:val="0074266F"/>
    <w:rsid w:val="00742A12"/>
    <w:rsid w:val="00743108"/>
    <w:rsid w:val="00743302"/>
    <w:rsid w:val="0074332B"/>
    <w:rsid w:val="0074334A"/>
    <w:rsid w:val="0074344E"/>
    <w:rsid w:val="0074363A"/>
    <w:rsid w:val="00743679"/>
    <w:rsid w:val="0074399C"/>
    <w:rsid w:val="00743BEF"/>
    <w:rsid w:val="00743C17"/>
    <w:rsid w:val="00743DC8"/>
    <w:rsid w:val="00744280"/>
    <w:rsid w:val="007444BE"/>
    <w:rsid w:val="00744519"/>
    <w:rsid w:val="007446DB"/>
    <w:rsid w:val="00744988"/>
    <w:rsid w:val="00744B4F"/>
    <w:rsid w:val="00744DD0"/>
    <w:rsid w:val="00744E64"/>
    <w:rsid w:val="00745039"/>
    <w:rsid w:val="0074553A"/>
    <w:rsid w:val="007455DA"/>
    <w:rsid w:val="00745749"/>
    <w:rsid w:val="00745ABB"/>
    <w:rsid w:val="00745ABF"/>
    <w:rsid w:val="00745B17"/>
    <w:rsid w:val="00745DD1"/>
    <w:rsid w:val="00745E50"/>
    <w:rsid w:val="0074600A"/>
    <w:rsid w:val="007461AC"/>
    <w:rsid w:val="00746323"/>
    <w:rsid w:val="0074669C"/>
    <w:rsid w:val="007467ED"/>
    <w:rsid w:val="007468D4"/>
    <w:rsid w:val="0074725E"/>
    <w:rsid w:val="00747268"/>
    <w:rsid w:val="00747710"/>
    <w:rsid w:val="00747AC9"/>
    <w:rsid w:val="00747BAF"/>
    <w:rsid w:val="00747C30"/>
    <w:rsid w:val="00747E43"/>
    <w:rsid w:val="00747E58"/>
    <w:rsid w:val="007504E3"/>
    <w:rsid w:val="00750601"/>
    <w:rsid w:val="00750789"/>
    <w:rsid w:val="007507F5"/>
    <w:rsid w:val="0075090B"/>
    <w:rsid w:val="00750AA4"/>
    <w:rsid w:val="00750AF7"/>
    <w:rsid w:val="00750B83"/>
    <w:rsid w:val="00750C21"/>
    <w:rsid w:val="0075103B"/>
    <w:rsid w:val="00751058"/>
    <w:rsid w:val="00751372"/>
    <w:rsid w:val="00751789"/>
    <w:rsid w:val="00751917"/>
    <w:rsid w:val="00751CC2"/>
    <w:rsid w:val="00751D07"/>
    <w:rsid w:val="00751D65"/>
    <w:rsid w:val="00751F0C"/>
    <w:rsid w:val="00752230"/>
    <w:rsid w:val="0075226C"/>
    <w:rsid w:val="00752367"/>
    <w:rsid w:val="007523B9"/>
    <w:rsid w:val="0075248B"/>
    <w:rsid w:val="0075252B"/>
    <w:rsid w:val="00752713"/>
    <w:rsid w:val="00752CBC"/>
    <w:rsid w:val="007533AA"/>
    <w:rsid w:val="00753585"/>
    <w:rsid w:val="007536B2"/>
    <w:rsid w:val="0075372D"/>
    <w:rsid w:val="00753D7F"/>
    <w:rsid w:val="00753D9A"/>
    <w:rsid w:val="0075401D"/>
    <w:rsid w:val="00754044"/>
    <w:rsid w:val="0075488B"/>
    <w:rsid w:val="007548A6"/>
    <w:rsid w:val="00754976"/>
    <w:rsid w:val="00754AC1"/>
    <w:rsid w:val="00754E33"/>
    <w:rsid w:val="0075505C"/>
    <w:rsid w:val="00755064"/>
    <w:rsid w:val="00755364"/>
    <w:rsid w:val="00755855"/>
    <w:rsid w:val="007558FE"/>
    <w:rsid w:val="00755B3B"/>
    <w:rsid w:val="00755BCF"/>
    <w:rsid w:val="00755D96"/>
    <w:rsid w:val="00755E58"/>
    <w:rsid w:val="007566AB"/>
    <w:rsid w:val="00756B82"/>
    <w:rsid w:val="00756B89"/>
    <w:rsid w:val="00756BA5"/>
    <w:rsid w:val="00756C1A"/>
    <w:rsid w:val="00756D4B"/>
    <w:rsid w:val="00756E7E"/>
    <w:rsid w:val="00756F53"/>
    <w:rsid w:val="007573D4"/>
    <w:rsid w:val="007574AB"/>
    <w:rsid w:val="00757590"/>
    <w:rsid w:val="00757850"/>
    <w:rsid w:val="00757921"/>
    <w:rsid w:val="0075795A"/>
    <w:rsid w:val="007579A3"/>
    <w:rsid w:val="00757AF0"/>
    <w:rsid w:val="00757B1C"/>
    <w:rsid w:val="00757B87"/>
    <w:rsid w:val="00757BC4"/>
    <w:rsid w:val="00757C5A"/>
    <w:rsid w:val="00757D72"/>
    <w:rsid w:val="00757F67"/>
    <w:rsid w:val="007600A5"/>
    <w:rsid w:val="0076024F"/>
    <w:rsid w:val="00760491"/>
    <w:rsid w:val="00760686"/>
    <w:rsid w:val="00760C04"/>
    <w:rsid w:val="00760D1E"/>
    <w:rsid w:val="007610FF"/>
    <w:rsid w:val="007611E4"/>
    <w:rsid w:val="007612DF"/>
    <w:rsid w:val="007613FC"/>
    <w:rsid w:val="0076142D"/>
    <w:rsid w:val="0076177C"/>
    <w:rsid w:val="007617CF"/>
    <w:rsid w:val="00761A1B"/>
    <w:rsid w:val="00761B39"/>
    <w:rsid w:val="00761D0E"/>
    <w:rsid w:val="00761F09"/>
    <w:rsid w:val="00762142"/>
    <w:rsid w:val="007627D2"/>
    <w:rsid w:val="00762C03"/>
    <w:rsid w:val="007630BD"/>
    <w:rsid w:val="007631A2"/>
    <w:rsid w:val="007631C6"/>
    <w:rsid w:val="0076340C"/>
    <w:rsid w:val="00763553"/>
    <w:rsid w:val="00763680"/>
    <w:rsid w:val="00763A11"/>
    <w:rsid w:val="00763A66"/>
    <w:rsid w:val="00763AD9"/>
    <w:rsid w:val="00763D89"/>
    <w:rsid w:val="007641FB"/>
    <w:rsid w:val="00764277"/>
    <w:rsid w:val="00764801"/>
    <w:rsid w:val="00764CFC"/>
    <w:rsid w:val="0076526E"/>
    <w:rsid w:val="007656CB"/>
    <w:rsid w:val="00765B3A"/>
    <w:rsid w:val="0076606C"/>
    <w:rsid w:val="007664CE"/>
    <w:rsid w:val="007665A8"/>
    <w:rsid w:val="00766A34"/>
    <w:rsid w:val="00766E1A"/>
    <w:rsid w:val="00767340"/>
    <w:rsid w:val="007674D7"/>
    <w:rsid w:val="007678D3"/>
    <w:rsid w:val="0076796F"/>
    <w:rsid w:val="00767E8F"/>
    <w:rsid w:val="0077062F"/>
    <w:rsid w:val="0077065C"/>
    <w:rsid w:val="0077067D"/>
    <w:rsid w:val="00770724"/>
    <w:rsid w:val="0077096C"/>
    <w:rsid w:val="00770FF9"/>
    <w:rsid w:val="007710BF"/>
    <w:rsid w:val="007710D1"/>
    <w:rsid w:val="00771193"/>
    <w:rsid w:val="0077128D"/>
    <w:rsid w:val="0077147A"/>
    <w:rsid w:val="007716CD"/>
    <w:rsid w:val="007718DD"/>
    <w:rsid w:val="00771BF9"/>
    <w:rsid w:val="00771C8B"/>
    <w:rsid w:val="00771F40"/>
    <w:rsid w:val="007724A5"/>
    <w:rsid w:val="007725E5"/>
    <w:rsid w:val="0077296E"/>
    <w:rsid w:val="007729F9"/>
    <w:rsid w:val="00772A29"/>
    <w:rsid w:val="00772AAA"/>
    <w:rsid w:val="00772D9D"/>
    <w:rsid w:val="00772E7E"/>
    <w:rsid w:val="00772F4A"/>
    <w:rsid w:val="007730FB"/>
    <w:rsid w:val="0077310E"/>
    <w:rsid w:val="00773461"/>
    <w:rsid w:val="00774072"/>
    <w:rsid w:val="007741EB"/>
    <w:rsid w:val="007743E5"/>
    <w:rsid w:val="007745EE"/>
    <w:rsid w:val="00774636"/>
    <w:rsid w:val="007746C6"/>
    <w:rsid w:val="00774869"/>
    <w:rsid w:val="00774FEF"/>
    <w:rsid w:val="0077522F"/>
    <w:rsid w:val="00775421"/>
    <w:rsid w:val="0077591C"/>
    <w:rsid w:val="00775AD6"/>
    <w:rsid w:val="00775C23"/>
    <w:rsid w:val="00775E1F"/>
    <w:rsid w:val="00775EBD"/>
    <w:rsid w:val="0077617A"/>
    <w:rsid w:val="007762B9"/>
    <w:rsid w:val="00776F23"/>
    <w:rsid w:val="00776FE8"/>
    <w:rsid w:val="00777051"/>
    <w:rsid w:val="00777657"/>
    <w:rsid w:val="007779A4"/>
    <w:rsid w:val="00777EFD"/>
    <w:rsid w:val="0078009E"/>
    <w:rsid w:val="007802AC"/>
    <w:rsid w:val="007805B2"/>
    <w:rsid w:val="0078083A"/>
    <w:rsid w:val="00780BB7"/>
    <w:rsid w:val="007811BA"/>
    <w:rsid w:val="00781596"/>
    <w:rsid w:val="007816F3"/>
    <w:rsid w:val="007816F5"/>
    <w:rsid w:val="00781817"/>
    <w:rsid w:val="007818C4"/>
    <w:rsid w:val="00781A41"/>
    <w:rsid w:val="00781C3C"/>
    <w:rsid w:val="00781CDB"/>
    <w:rsid w:val="00781F6C"/>
    <w:rsid w:val="0078209F"/>
    <w:rsid w:val="007820A5"/>
    <w:rsid w:val="007820BE"/>
    <w:rsid w:val="007823DB"/>
    <w:rsid w:val="007825B1"/>
    <w:rsid w:val="00782744"/>
    <w:rsid w:val="00782769"/>
    <w:rsid w:val="007828E6"/>
    <w:rsid w:val="00782949"/>
    <w:rsid w:val="00782EB0"/>
    <w:rsid w:val="00782F4A"/>
    <w:rsid w:val="00783125"/>
    <w:rsid w:val="007831DB"/>
    <w:rsid w:val="007831E5"/>
    <w:rsid w:val="00783383"/>
    <w:rsid w:val="0078354C"/>
    <w:rsid w:val="007835FA"/>
    <w:rsid w:val="00783AEC"/>
    <w:rsid w:val="00783C40"/>
    <w:rsid w:val="00783DC1"/>
    <w:rsid w:val="00783F06"/>
    <w:rsid w:val="00784133"/>
    <w:rsid w:val="007842D1"/>
    <w:rsid w:val="007843D9"/>
    <w:rsid w:val="007845FF"/>
    <w:rsid w:val="00784869"/>
    <w:rsid w:val="00784885"/>
    <w:rsid w:val="00784A9C"/>
    <w:rsid w:val="00784BC1"/>
    <w:rsid w:val="00784D33"/>
    <w:rsid w:val="00784F59"/>
    <w:rsid w:val="00785079"/>
    <w:rsid w:val="0078562F"/>
    <w:rsid w:val="00785873"/>
    <w:rsid w:val="00785AF1"/>
    <w:rsid w:val="00785DFD"/>
    <w:rsid w:val="00786020"/>
    <w:rsid w:val="007860FD"/>
    <w:rsid w:val="00786235"/>
    <w:rsid w:val="0078649A"/>
    <w:rsid w:val="00786C32"/>
    <w:rsid w:val="00786CD7"/>
    <w:rsid w:val="00786E51"/>
    <w:rsid w:val="00786FCD"/>
    <w:rsid w:val="0078709C"/>
    <w:rsid w:val="00787188"/>
    <w:rsid w:val="0078734B"/>
    <w:rsid w:val="007877B8"/>
    <w:rsid w:val="00787875"/>
    <w:rsid w:val="007878BC"/>
    <w:rsid w:val="00787A23"/>
    <w:rsid w:val="00787C29"/>
    <w:rsid w:val="00787E53"/>
    <w:rsid w:val="00790098"/>
    <w:rsid w:val="0079026C"/>
    <w:rsid w:val="007903E6"/>
    <w:rsid w:val="007903E9"/>
    <w:rsid w:val="007903EE"/>
    <w:rsid w:val="00790511"/>
    <w:rsid w:val="00790617"/>
    <w:rsid w:val="00790738"/>
    <w:rsid w:val="00790A1D"/>
    <w:rsid w:val="00790B70"/>
    <w:rsid w:val="00790D8F"/>
    <w:rsid w:val="00790E4D"/>
    <w:rsid w:val="00791009"/>
    <w:rsid w:val="007912BA"/>
    <w:rsid w:val="00791414"/>
    <w:rsid w:val="007915A5"/>
    <w:rsid w:val="007919EC"/>
    <w:rsid w:val="00791AE6"/>
    <w:rsid w:val="00791B60"/>
    <w:rsid w:val="00791E39"/>
    <w:rsid w:val="00791F26"/>
    <w:rsid w:val="00791F8A"/>
    <w:rsid w:val="00791FDD"/>
    <w:rsid w:val="00792030"/>
    <w:rsid w:val="00792170"/>
    <w:rsid w:val="00792576"/>
    <w:rsid w:val="007926BF"/>
    <w:rsid w:val="00792ACE"/>
    <w:rsid w:val="0079309A"/>
    <w:rsid w:val="00793657"/>
    <w:rsid w:val="007936EB"/>
    <w:rsid w:val="00793730"/>
    <w:rsid w:val="00793761"/>
    <w:rsid w:val="00793AC1"/>
    <w:rsid w:val="00793DB0"/>
    <w:rsid w:val="00794003"/>
    <w:rsid w:val="007944F2"/>
    <w:rsid w:val="00794529"/>
    <w:rsid w:val="0079459A"/>
    <w:rsid w:val="00794691"/>
    <w:rsid w:val="00794732"/>
    <w:rsid w:val="007948D3"/>
    <w:rsid w:val="00794D63"/>
    <w:rsid w:val="00795161"/>
    <w:rsid w:val="0079527C"/>
    <w:rsid w:val="007954E8"/>
    <w:rsid w:val="0079572F"/>
    <w:rsid w:val="00795B37"/>
    <w:rsid w:val="00795CA5"/>
    <w:rsid w:val="00795D50"/>
    <w:rsid w:val="007960BA"/>
    <w:rsid w:val="007963EF"/>
    <w:rsid w:val="00796457"/>
    <w:rsid w:val="00796677"/>
    <w:rsid w:val="007966D8"/>
    <w:rsid w:val="00796CE9"/>
    <w:rsid w:val="00796DBF"/>
    <w:rsid w:val="007975AF"/>
    <w:rsid w:val="00797610"/>
    <w:rsid w:val="007978F6"/>
    <w:rsid w:val="007979BC"/>
    <w:rsid w:val="00797EF3"/>
    <w:rsid w:val="007A023A"/>
    <w:rsid w:val="007A0305"/>
    <w:rsid w:val="007A046C"/>
    <w:rsid w:val="007A0502"/>
    <w:rsid w:val="007A06F0"/>
    <w:rsid w:val="007A0769"/>
    <w:rsid w:val="007A0BA4"/>
    <w:rsid w:val="007A0CCE"/>
    <w:rsid w:val="007A106F"/>
    <w:rsid w:val="007A1156"/>
    <w:rsid w:val="007A1425"/>
    <w:rsid w:val="007A143B"/>
    <w:rsid w:val="007A1CAE"/>
    <w:rsid w:val="007A1E14"/>
    <w:rsid w:val="007A224B"/>
    <w:rsid w:val="007A2437"/>
    <w:rsid w:val="007A28FB"/>
    <w:rsid w:val="007A2A3D"/>
    <w:rsid w:val="007A2CD0"/>
    <w:rsid w:val="007A2D83"/>
    <w:rsid w:val="007A3129"/>
    <w:rsid w:val="007A3505"/>
    <w:rsid w:val="007A38E6"/>
    <w:rsid w:val="007A3D07"/>
    <w:rsid w:val="007A3D32"/>
    <w:rsid w:val="007A3E21"/>
    <w:rsid w:val="007A40D2"/>
    <w:rsid w:val="007A47F6"/>
    <w:rsid w:val="007A48A4"/>
    <w:rsid w:val="007A4CAD"/>
    <w:rsid w:val="007A51B8"/>
    <w:rsid w:val="007A51F0"/>
    <w:rsid w:val="007A5292"/>
    <w:rsid w:val="007A551E"/>
    <w:rsid w:val="007A5540"/>
    <w:rsid w:val="007A5685"/>
    <w:rsid w:val="007A57A6"/>
    <w:rsid w:val="007A591D"/>
    <w:rsid w:val="007A59FE"/>
    <w:rsid w:val="007A5BDF"/>
    <w:rsid w:val="007A61B3"/>
    <w:rsid w:val="007A644E"/>
    <w:rsid w:val="007A6585"/>
    <w:rsid w:val="007A677D"/>
    <w:rsid w:val="007A6B28"/>
    <w:rsid w:val="007A6C35"/>
    <w:rsid w:val="007A6EFF"/>
    <w:rsid w:val="007A6F00"/>
    <w:rsid w:val="007A6F42"/>
    <w:rsid w:val="007A6F95"/>
    <w:rsid w:val="007A7060"/>
    <w:rsid w:val="007A7348"/>
    <w:rsid w:val="007A7596"/>
    <w:rsid w:val="007A770F"/>
    <w:rsid w:val="007A7762"/>
    <w:rsid w:val="007A7A6B"/>
    <w:rsid w:val="007A7B35"/>
    <w:rsid w:val="007A7BA9"/>
    <w:rsid w:val="007A7E30"/>
    <w:rsid w:val="007A7FBF"/>
    <w:rsid w:val="007B0802"/>
    <w:rsid w:val="007B0F72"/>
    <w:rsid w:val="007B1133"/>
    <w:rsid w:val="007B11F6"/>
    <w:rsid w:val="007B1375"/>
    <w:rsid w:val="007B162D"/>
    <w:rsid w:val="007B16BF"/>
    <w:rsid w:val="007B1706"/>
    <w:rsid w:val="007B1941"/>
    <w:rsid w:val="007B1CD2"/>
    <w:rsid w:val="007B1ED2"/>
    <w:rsid w:val="007B2850"/>
    <w:rsid w:val="007B2882"/>
    <w:rsid w:val="007B2A79"/>
    <w:rsid w:val="007B2AA9"/>
    <w:rsid w:val="007B2BC0"/>
    <w:rsid w:val="007B2E26"/>
    <w:rsid w:val="007B2ECA"/>
    <w:rsid w:val="007B31F5"/>
    <w:rsid w:val="007B3787"/>
    <w:rsid w:val="007B38CC"/>
    <w:rsid w:val="007B3D91"/>
    <w:rsid w:val="007B3E02"/>
    <w:rsid w:val="007B3F72"/>
    <w:rsid w:val="007B4002"/>
    <w:rsid w:val="007B40B7"/>
    <w:rsid w:val="007B40E2"/>
    <w:rsid w:val="007B41BD"/>
    <w:rsid w:val="007B4350"/>
    <w:rsid w:val="007B4372"/>
    <w:rsid w:val="007B4C00"/>
    <w:rsid w:val="007B4C38"/>
    <w:rsid w:val="007B4F5B"/>
    <w:rsid w:val="007B51CB"/>
    <w:rsid w:val="007B53BA"/>
    <w:rsid w:val="007B5636"/>
    <w:rsid w:val="007B56ED"/>
    <w:rsid w:val="007B57B0"/>
    <w:rsid w:val="007B586B"/>
    <w:rsid w:val="007B58AD"/>
    <w:rsid w:val="007B5967"/>
    <w:rsid w:val="007B5A29"/>
    <w:rsid w:val="007B5BD9"/>
    <w:rsid w:val="007B5DE1"/>
    <w:rsid w:val="007B5E80"/>
    <w:rsid w:val="007B5ECB"/>
    <w:rsid w:val="007B61F0"/>
    <w:rsid w:val="007B6539"/>
    <w:rsid w:val="007B658A"/>
    <w:rsid w:val="007B66BC"/>
    <w:rsid w:val="007B6E61"/>
    <w:rsid w:val="007B6FD0"/>
    <w:rsid w:val="007B7120"/>
    <w:rsid w:val="007B72FD"/>
    <w:rsid w:val="007B75D0"/>
    <w:rsid w:val="007B76EA"/>
    <w:rsid w:val="007B7749"/>
    <w:rsid w:val="007B7752"/>
    <w:rsid w:val="007B7B4F"/>
    <w:rsid w:val="007B7BCB"/>
    <w:rsid w:val="007B7EB8"/>
    <w:rsid w:val="007C00FC"/>
    <w:rsid w:val="007C01D2"/>
    <w:rsid w:val="007C066A"/>
    <w:rsid w:val="007C085C"/>
    <w:rsid w:val="007C0AB7"/>
    <w:rsid w:val="007C0B4E"/>
    <w:rsid w:val="007C0D81"/>
    <w:rsid w:val="007C0EA7"/>
    <w:rsid w:val="007C0F5E"/>
    <w:rsid w:val="007C10EB"/>
    <w:rsid w:val="007C11B8"/>
    <w:rsid w:val="007C121D"/>
    <w:rsid w:val="007C1826"/>
    <w:rsid w:val="007C185F"/>
    <w:rsid w:val="007C1BF4"/>
    <w:rsid w:val="007C1CFA"/>
    <w:rsid w:val="007C200E"/>
    <w:rsid w:val="007C2089"/>
    <w:rsid w:val="007C22FB"/>
    <w:rsid w:val="007C231B"/>
    <w:rsid w:val="007C2412"/>
    <w:rsid w:val="007C2413"/>
    <w:rsid w:val="007C262E"/>
    <w:rsid w:val="007C27DD"/>
    <w:rsid w:val="007C281A"/>
    <w:rsid w:val="007C2862"/>
    <w:rsid w:val="007C2920"/>
    <w:rsid w:val="007C2DC8"/>
    <w:rsid w:val="007C2DD8"/>
    <w:rsid w:val="007C31CD"/>
    <w:rsid w:val="007C3225"/>
    <w:rsid w:val="007C368D"/>
    <w:rsid w:val="007C3770"/>
    <w:rsid w:val="007C3AD6"/>
    <w:rsid w:val="007C3D11"/>
    <w:rsid w:val="007C3DAE"/>
    <w:rsid w:val="007C3EFD"/>
    <w:rsid w:val="007C3FE5"/>
    <w:rsid w:val="007C421B"/>
    <w:rsid w:val="007C429C"/>
    <w:rsid w:val="007C43FA"/>
    <w:rsid w:val="007C446E"/>
    <w:rsid w:val="007C46D2"/>
    <w:rsid w:val="007C47D7"/>
    <w:rsid w:val="007C495B"/>
    <w:rsid w:val="007C4A3F"/>
    <w:rsid w:val="007C4B30"/>
    <w:rsid w:val="007C50DE"/>
    <w:rsid w:val="007C54ED"/>
    <w:rsid w:val="007C550E"/>
    <w:rsid w:val="007C57E0"/>
    <w:rsid w:val="007C595F"/>
    <w:rsid w:val="007C5A32"/>
    <w:rsid w:val="007C5A40"/>
    <w:rsid w:val="007C5B4B"/>
    <w:rsid w:val="007C5B97"/>
    <w:rsid w:val="007C5D4F"/>
    <w:rsid w:val="007C6112"/>
    <w:rsid w:val="007C61D4"/>
    <w:rsid w:val="007C6264"/>
    <w:rsid w:val="007C629D"/>
    <w:rsid w:val="007C6355"/>
    <w:rsid w:val="007C6469"/>
    <w:rsid w:val="007C6591"/>
    <w:rsid w:val="007C66C2"/>
    <w:rsid w:val="007C66DD"/>
    <w:rsid w:val="007C6846"/>
    <w:rsid w:val="007C69A8"/>
    <w:rsid w:val="007C6AB9"/>
    <w:rsid w:val="007C6C6B"/>
    <w:rsid w:val="007C6DDD"/>
    <w:rsid w:val="007C6E11"/>
    <w:rsid w:val="007C70C1"/>
    <w:rsid w:val="007C714E"/>
    <w:rsid w:val="007C737F"/>
    <w:rsid w:val="007C78FC"/>
    <w:rsid w:val="007C7CB0"/>
    <w:rsid w:val="007C7D04"/>
    <w:rsid w:val="007C7EF3"/>
    <w:rsid w:val="007C7FD0"/>
    <w:rsid w:val="007D009C"/>
    <w:rsid w:val="007D02FF"/>
    <w:rsid w:val="007D0501"/>
    <w:rsid w:val="007D05D9"/>
    <w:rsid w:val="007D0825"/>
    <w:rsid w:val="007D0902"/>
    <w:rsid w:val="007D09AB"/>
    <w:rsid w:val="007D09DE"/>
    <w:rsid w:val="007D0BD0"/>
    <w:rsid w:val="007D0F2A"/>
    <w:rsid w:val="007D0FAC"/>
    <w:rsid w:val="007D13AD"/>
    <w:rsid w:val="007D172D"/>
    <w:rsid w:val="007D1A38"/>
    <w:rsid w:val="007D1BBB"/>
    <w:rsid w:val="007D1DD6"/>
    <w:rsid w:val="007D2115"/>
    <w:rsid w:val="007D2193"/>
    <w:rsid w:val="007D2326"/>
    <w:rsid w:val="007D24AC"/>
    <w:rsid w:val="007D271C"/>
    <w:rsid w:val="007D2AC5"/>
    <w:rsid w:val="007D2EC3"/>
    <w:rsid w:val="007D2FAA"/>
    <w:rsid w:val="007D3103"/>
    <w:rsid w:val="007D321F"/>
    <w:rsid w:val="007D33AA"/>
    <w:rsid w:val="007D374B"/>
    <w:rsid w:val="007D3824"/>
    <w:rsid w:val="007D3D1E"/>
    <w:rsid w:val="007D42CC"/>
    <w:rsid w:val="007D47C9"/>
    <w:rsid w:val="007D4B50"/>
    <w:rsid w:val="007D4E7C"/>
    <w:rsid w:val="007D565C"/>
    <w:rsid w:val="007D57FA"/>
    <w:rsid w:val="007D583E"/>
    <w:rsid w:val="007D59A5"/>
    <w:rsid w:val="007D5BF5"/>
    <w:rsid w:val="007D5FE7"/>
    <w:rsid w:val="007D6628"/>
    <w:rsid w:val="007D6674"/>
    <w:rsid w:val="007D6DA8"/>
    <w:rsid w:val="007D6F52"/>
    <w:rsid w:val="007D70BD"/>
    <w:rsid w:val="007D754C"/>
    <w:rsid w:val="007D7824"/>
    <w:rsid w:val="007D78AE"/>
    <w:rsid w:val="007D793B"/>
    <w:rsid w:val="007D7BB3"/>
    <w:rsid w:val="007D7C3F"/>
    <w:rsid w:val="007D7E39"/>
    <w:rsid w:val="007E0095"/>
    <w:rsid w:val="007E0134"/>
    <w:rsid w:val="007E01F4"/>
    <w:rsid w:val="007E0483"/>
    <w:rsid w:val="007E057D"/>
    <w:rsid w:val="007E05F9"/>
    <w:rsid w:val="007E0876"/>
    <w:rsid w:val="007E08D0"/>
    <w:rsid w:val="007E0F49"/>
    <w:rsid w:val="007E166A"/>
    <w:rsid w:val="007E1737"/>
    <w:rsid w:val="007E184C"/>
    <w:rsid w:val="007E195C"/>
    <w:rsid w:val="007E1A34"/>
    <w:rsid w:val="007E1A59"/>
    <w:rsid w:val="007E1DD2"/>
    <w:rsid w:val="007E1E53"/>
    <w:rsid w:val="007E2124"/>
    <w:rsid w:val="007E225F"/>
    <w:rsid w:val="007E2914"/>
    <w:rsid w:val="007E2957"/>
    <w:rsid w:val="007E2EBE"/>
    <w:rsid w:val="007E2F69"/>
    <w:rsid w:val="007E30B9"/>
    <w:rsid w:val="007E3DA5"/>
    <w:rsid w:val="007E3F6C"/>
    <w:rsid w:val="007E4059"/>
    <w:rsid w:val="007E41F3"/>
    <w:rsid w:val="007E4497"/>
    <w:rsid w:val="007E45EF"/>
    <w:rsid w:val="007E487B"/>
    <w:rsid w:val="007E49B1"/>
    <w:rsid w:val="007E49B6"/>
    <w:rsid w:val="007E4AD6"/>
    <w:rsid w:val="007E4B7C"/>
    <w:rsid w:val="007E4B8E"/>
    <w:rsid w:val="007E4BE5"/>
    <w:rsid w:val="007E4D98"/>
    <w:rsid w:val="007E4E47"/>
    <w:rsid w:val="007E4F75"/>
    <w:rsid w:val="007E52EC"/>
    <w:rsid w:val="007E544E"/>
    <w:rsid w:val="007E54BA"/>
    <w:rsid w:val="007E573B"/>
    <w:rsid w:val="007E5799"/>
    <w:rsid w:val="007E5B14"/>
    <w:rsid w:val="007E5CB7"/>
    <w:rsid w:val="007E5E8D"/>
    <w:rsid w:val="007E6064"/>
    <w:rsid w:val="007E6C59"/>
    <w:rsid w:val="007E6CAE"/>
    <w:rsid w:val="007E6D88"/>
    <w:rsid w:val="007E7107"/>
    <w:rsid w:val="007E71B4"/>
    <w:rsid w:val="007E720F"/>
    <w:rsid w:val="007E727F"/>
    <w:rsid w:val="007E7340"/>
    <w:rsid w:val="007E7855"/>
    <w:rsid w:val="007E7ACF"/>
    <w:rsid w:val="007E7CC5"/>
    <w:rsid w:val="007E7FD6"/>
    <w:rsid w:val="007F009A"/>
    <w:rsid w:val="007F01CC"/>
    <w:rsid w:val="007F032D"/>
    <w:rsid w:val="007F034A"/>
    <w:rsid w:val="007F04A3"/>
    <w:rsid w:val="007F065C"/>
    <w:rsid w:val="007F06A5"/>
    <w:rsid w:val="007F0772"/>
    <w:rsid w:val="007F0C82"/>
    <w:rsid w:val="007F0F7A"/>
    <w:rsid w:val="007F1191"/>
    <w:rsid w:val="007F11ED"/>
    <w:rsid w:val="007F13A8"/>
    <w:rsid w:val="007F169E"/>
    <w:rsid w:val="007F1743"/>
    <w:rsid w:val="007F17D3"/>
    <w:rsid w:val="007F17E8"/>
    <w:rsid w:val="007F19C2"/>
    <w:rsid w:val="007F19F4"/>
    <w:rsid w:val="007F1B90"/>
    <w:rsid w:val="007F1F04"/>
    <w:rsid w:val="007F1F7B"/>
    <w:rsid w:val="007F2056"/>
    <w:rsid w:val="007F2270"/>
    <w:rsid w:val="007F24E7"/>
    <w:rsid w:val="007F2519"/>
    <w:rsid w:val="007F2A09"/>
    <w:rsid w:val="007F2AB4"/>
    <w:rsid w:val="007F2C7B"/>
    <w:rsid w:val="007F3128"/>
    <w:rsid w:val="007F321E"/>
    <w:rsid w:val="007F33BF"/>
    <w:rsid w:val="007F340F"/>
    <w:rsid w:val="007F3805"/>
    <w:rsid w:val="007F390E"/>
    <w:rsid w:val="007F3ACF"/>
    <w:rsid w:val="007F3FC0"/>
    <w:rsid w:val="007F42EE"/>
    <w:rsid w:val="007F438A"/>
    <w:rsid w:val="007F43F3"/>
    <w:rsid w:val="007F4522"/>
    <w:rsid w:val="007F46F9"/>
    <w:rsid w:val="007F489E"/>
    <w:rsid w:val="007F4B5D"/>
    <w:rsid w:val="007F4D64"/>
    <w:rsid w:val="007F50F9"/>
    <w:rsid w:val="007F5252"/>
    <w:rsid w:val="007F5280"/>
    <w:rsid w:val="007F52F3"/>
    <w:rsid w:val="007F5516"/>
    <w:rsid w:val="007F559A"/>
    <w:rsid w:val="007F55B5"/>
    <w:rsid w:val="007F5660"/>
    <w:rsid w:val="007F5704"/>
    <w:rsid w:val="007F57C0"/>
    <w:rsid w:val="007F5923"/>
    <w:rsid w:val="007F5BEA"/>
    <w:rsid w:val="007F6245"/>
    <w:rsid w:val="007F62EC"/>
    <w:rsid w:val="007F65C5"/>
    <w:rsid w:val="007F6690"/>
    <w:rsid w:val="007F676C"/>
    <w:rsid w:val="007F68BE"/>
    <w:rsid w:val="007F68C8"/>
    <w:rsid w:val="007F6AB0"/>
    <w:rsid w:val="007F6ABB"/>
    <w:rsid w:val="007F6AF4"/>
    <w:rsid w:val="007F6C8C"/>
    <w:rsid w:val="007F702D"/>
    <w:rsid w:val="007F72BE"/>
    <w:rsid w:val="007F72D3"/>
    <w:rsid w:val="007F72FA"/>
    <w:rsid w:val="007F79A5"/>
    <w:rsid w:val="007F7B1C"/>
    <w:rsid w:val="007F7B21"/>
    <w:rsid w:val="007F7B94"/>
    <w:rsid w:val="007F7D22"/>
    <w:rsid w:val="007F7DCE"/>
    <w:rsid w:val="0080015D"/>
    <w:rsid w:val="008001F1"/>
    <w:rsid w:val="00800A93"/>
    <w:rsid w:val="00800CC9"/>
    <w:rsid w:val="00800F60"/>
    <w:rsid w:val="008013A9"/>
    <w:rsid w:val="0080148B"/>
    <w:rsid w:val="008019C4"/>
    <w:rsid w:val="00801AB1"/>
    <w:rsid w:val="00801F9F"/>
    <w:rsid w:val="0080217A"/>
    <w:rsid w:val="00802575"/>
    <w:rsid w:val="008025AE"/>
    <w:rsid w:val="008025CD"/>
    <w:rsid w:val="00802A49"/>
    <w:rsid w:val="00802A58"/>
    <w:rsid w:val="00802F7D"/>
    <w:rsid w:val="0080327F"/>
    <w:rsid w:val="00803475"/>
    <w:rsid w:val="0080355B"/>
    <w:rsid w:val="008035DD"/>
    <w:rsid w:val="0080380F"/>
    <w:rsid w:val="00803C11"/>
    <w:rsid w:val="00803C13"/>
    <w:rsid w:val="00803D8C"/>
    <w:rsid w:val="00803DF5"/>
    <w:rsid w:val="00803F44"/>
    <w:rsid w:val="00804155"/>
    <w:rsid w:val="008042FB"/>
    <w:rsid w:val="00804369"/>
    <w:rsid w:val="008043C4"/>
    <w:rsid w:val="0080464C"/>
    <w:rsid w:val="008047C4"/>
    <w:rsid w:val="00804A93"/>
    <w:rsid w:val="00804DB6"/>
    <w:rsid w:val="00804EDA"/>
    <w:rsid w:val="00804F1F"/>
    <w:rsid w:val="00805F4C"/>
    <w:rsid w:val="0080638F"/>
    <w:rsid w:val="00806394"/>
    <w:rsid w:val="00806519"/>
    <w:rsid w:val="008066F2"/>
    <w:rsid w:val="00806706"/>
    <w:rsid w:val="008067ED"/>
    <w:rsid w:val="008067FE"/>
    <w:rsid w:val="00806A51"/>
    <w:rsid w:val="00806A67"/>
    <w:rsid w:val="00806B0D"/>
    <w:rsid w:val="00806B2D"/>
    <w:rsid w:val="00806D00"/>
    <w:rsid w:val="00806E16"/>
    <w:rsid w:val="008072B1"/>
    <w:rsid w:val="00807343"/>
    <w:rsid w:val="0080752C"/>
    <w:rsid w:val="008078FC"/>
    <w:rsid w:val="00807CE4"/>
    <w:rsid w:val="00807F90"/>
    <w:rsid w:val="0081008C"/>
    <w:rsid w:val="00810123"/>
    <w:rsid w:val="0081019D"/>
    <w:rsid w:val="0081033D"/>
    <w:rsid w:val="0081036A"/>
    <w:rsid w:val="008104E7"/>
    <w:rsid w:val="008104FA"/>
    <w:rsid w:val="00810864"/>
    <w:rsid w:val="00810A0F"/>
    <w:rsid w:val="00810A2E"/>
    <w:rsid w:val="00810B87"/>
    <w:rsid w:val="00810CE9"/>
    <w:rsid w:val="008110D9"/>
    <w:rsid w:val="0081148B"/>
    <w:rsid w:val="00811694"/>
    <w:rsid w:val="008116C0"/>
    <w:rsid w:val="0081187B"/>
    <w:rsid w:val="008119EC"/>
    <w:rsid w:val="00811C67"/>
    <w:rsid w:val="00811E0D"/>
    <w:rsid w:val="00812138"/>
    <w:rsid w:val="00812567"/>
    <w:rsid w:val="00812C82"/>
    <w:rsid w:val="00812D5C"/>
    <w:rsid w:val="00812D98"/>
    <w:rsid w:val="008130E8"/>
    <w:rsid w:val="008131A5"/>
    <w:rsid w:val="00813484"/>
    <w:rsid w:val="008135E2"/>
    <w:rsid w:val="008136F0"/>
    <w:rsid w:val="00813913"/>
    <w:rsid w:val="0081395B"/>
    <w:rsid w:val="00813F9A"/>
    <w:rsid w:val="00813FCC"/>
    <w:rsid w:val="00814872"/>
    <w:rsid w:val="00814E56"/>
    <w:rsid w:val="00814FBA"/>
    <w:rsid w:val="0081501D"/>
    <w:rsid w:val="008150D1"/>
    <w:rsid w:val="00815102"/>
    <w:rsid w:val="0081537F"/>
    <w:rsid w:val="00815A0F"/>
    <w:rsid w:val="00815C79"/>
    <w:rsid w:val="008160DC"/>
    <w:rsid w:val="008163B1"/>
    <w:rsid w:val="008164A6"/>
    <w:rsid w:val="00816677"/>
    <w:rsid w:val="00816B67"/>
    <w:rsid w:val="00816D40"/>
    <w:rsid w:val="00816E49"/>
    <w:rsid w:val="008171E6"/>
    <w:rsid w:val="00817260"/>
    <w:rsid w:val="008178DF"/>
    <w:rsid w:val="00817A64"/>
    <w:rsid w:val="00817D33"/>
    <w:rsid w:val="00817DF4"/>
    <w:rsid w:val="0082006C"/>
    <w:rsid w:val="008202AC"/>
    <w:rsid w:val="0082049F"/>
    <w:rsid w:val="00820740"/>
    <w:rsid w:val="00820AA9"/>
    <w:rsid w:val="0082121F"/>
    <w:rsid w:val="00821410"/>
    <w:rsid w:val="00821A35"/>
    <w:rsid w:val="00821A6D"/>
    <w:rsid w:val="00821C4B"/>
    <w:rsid w:val="00822226"/>
    <w:rsid w:val="008222C1"/>
    <w:rsid w:val="0082241F"/>
    <w:rsid w:val="00822996"/>
    <w:rsid w:val="00822B2B"/>
    <w:rsid w:val="00822B3A"/>
    <w:rsid w:val="00822DC1"/>
    <w:rsid w:val="00823079"/>
    <w:rsid w:val="0082324C"/>
    <w:rsid w:val="00823858"/>
    <w:rsid w:val="00823ABB"/>
    <w:rsid w:val="00823B1F"/>
    <w:rsid w:val="00823CC3"/>
    <w:rsid w:val="00823F95"/>
    <w:rsid w:val="00824334"/>
    <w:rsid w:val="00824F62"/>
    <w:rsid w:val="00825027"/>
    <w:rsid w:val="00825343"/>
    <w:rsid w:val="008255C9"/>
    <w:rsid w:val="008259B5"/>
    <w:rsid w:val="00825B16"/>
    <w:rsid w:val="00825BF2"/>
    <w:rsid w:val="00825FDD"/>
    <w:rsid w:val="008261AB"/>
    <w:rsid w:val="0082661B"/>
    <w:rsid w:val="00826849"/>
    <w:rsid w:val="0082696E"/>
    <w:rsid w:val="00826994"/>
    <w:rsid w:val="00826C65"/>
    <w:rsid w:val="00826CFA"/>
    <w:rsid w:val="00826E7C"/>
    <w:rsid w:val="00827160"/>
    <w:rsid w:val="00827289"/>
    <w:rsid w:val="00827325"/>
    <w:rsid w:val="008274D5"/>
    <w:rsid w:val="00827595"/>
    <w:rsid w:val="008276AB"/>
    <w:rsid w:val="008276F5"/>
    <w:rsid w:val="00827700"/>
    <w:rsid w:val="008277B2"/>
    <w:rsid w:val="008277F2"/>
    <w:rsid w:val="008279BE"/>
    <w:rsid w:val="00827A9E"/>
    <w:rsid w:val="00827E07"/>
    <w:rsid w:val="00827EA8"/>
    <w:rsid w:val="00830267"/>
    <w:rsid w:val="00830364"/>
    <w:rsid w:val="0083081A"/>
    <w:rsid w:val="00830A2C"/>
    <w:rsid w:val="00831310"/>
    <w:rsid w:val="0083163D"/>
    <w:rsid w:val="0083166C"/>
    <w:rsid w:val="0083170E"/>
    <w:rsid w:val="00831911"/>
    <w:rsid w:val="00831A02"/>
    <w:rsid w:val="00831AB6"/>
    <w:rsid w:val="00831B66"/>
    <w:rsid w:val="00831C2C"/>
    <w:rsid w:val="00831CF8"/>
    <w:rsid w:val="00831F10"/>
    <w:rsid w:val="00831FDA"/>
    <w:rsid w:val="00831FEC"/>
    <w:rsid w:val="00832175"/>
    <w:rsid w:val="00832288"/>
    <w:rsid w:val="0083263C"/>
    <w:rsid w:val="0083294E"/>
    <w:rsid w:val="00832EC7"/>
    <w:rsid w:val="00832F36"/>
    <w:rsid w:val="00833088"/>
    <w:rsid w:val="00833A7D"/>
    <w:rsid w:val="00833C23"/>
    <w:rsid w:val="008340BE"/>
    <w:rsid w:val="00834312"/>
    <w:rsid w:val="008347B6"/>
    <w:rsid w:val="008349BD"/>
    <w:rsid w:val="00834B8B"/>
    <w:rsid w:val="00834C02"/>
    <w:rsid w:val="008352E9"/>
    <w:rsid w:val="00835347"/>
    <w:rsid w:val="00835BBC"/>
    <w:rsid w:val="00835CEC"/>
    <w:rsid w:val="00835F1C"/>
    <w:rsid w:val="0083630F"/>
    <w:rsid w:val="00836435"/>
    <w:rsid w:val="0083648C"/>
    <w:rsid w:val="00836564"/>
    <w:rsid w:val="00836CEF"/>
    <w:rsid w:val="00836E86"/>
    <w:rsid w:val="00836F7E"/>
    <w:rsid w:val="0083700C"/>
    <w:rsid w:val="00837088"/>
    <w:rsid w:val="00837137"/>
    <w:rsid w:val="00837309"/>
    <w:rsid w:val="00837362"/>
    <w:rsid w:val="00837537"/>
    <w:rsid w:val="0083789C"/>
    <w:rsid w:val="008379E0"/>
    <w:rsid w:val="00837BF0"/>
    <w:rsid w:val="00837D3D"/>
    <w:rsid w:val="00837E2D"/>
    <w:rsid w:val="00837E49"/>
    <w:rsid w:val="008401A4"/>
    <w:rsid w:val="00840212"/>
    <w:rsid w:val="0084027E"/>
    <w:rsid w:val="00840310"/>
    <w:rsid w:val="00840852"/>
    <w:rsid w:val="008409B2"/>
    <w:rsid w:val="00840A99"/>
    <w:rsid w:val="00840BC3"/>
    <w:rsid w:val="00840CF1"/>
    <w:rsid w:val="00840F9C"/>
    <w:rsid w:val="00841111"/>
    <w:rsid w:val="00841139"/>
    <w:rsid w:val="0084136F"/>
    <w:rsid w:val="00841597"/>
    <w:rsid w:val="008415EE"/>
    <w:rsid w:val="0084189E"/>
    <w:rsid w:val="0084229D"/>
    <w:rsid w:val="008426D9"/>
    <w:rsid w:val="00842738"/>
    <w:rsid w:val="00842AB7"/>
    <w:rsid w:val="00842DD4"/>
    <w:rsid w:val="00842F6C"/>
    <w:rsid w:val="008431C8"/>
    <w:rsid w:val="008434BD"/>
    <w:rsid w:val="008436AD"/>
    <w:rsid w:val="008437E0"/>
    <w:rsid w:val="00843828"/>
    <w:rsid w:val="00843995"/>
    <w:rsid w:val="008439F5"/>
    <w:rsid w:val="00843AE8"/>
    <w:rsid w:val="00843B1C"/>
    <w:rsid w:val="00843B55"/>
    <w:rsid w:val="00843BAD"/>
    <w:rsid w:val="00843BD0"/>
    <w:rsid w:val="00843CA0"/>
    <w:rsid w:val="00843DC2"/>
    <w:rsid w:val="00843EB5"/>
    <w:rsid w:val="0084420F"/>
    <w:rsid w:val="0084437F"/>
    <w:rsid w:val="008444C9"/>
    <w:rsid w:val="008444CB"/>
    <w:rsid w:val="00844524"/>
    <w:rsid w:val="00844940"/>
    <w:rsid w:val="00844A4C"/>
    <w:rsid w:val="00844CAD"/>
    <w:rsid w:val="00844D4F"/>
    <w:rsid w:val="008451F6"/>
    <w:rsid w:val="008455DB"/>
    <w:rsid w:val="0084568F"/>
    <w:rsid w:val="00845B08"/>
    <w:rsid w:val="00845D22"/>
    <w:rsid w:val="00845E0D"/>
    <w:rsid w:val="00845E48"/>
    <w:rsid w:val="008460BD"/>
    <w:rsid w:val="008460D8"/>
    <w:rsid w:val="00846830"/>
    <w:rsid w:val="00846864"/>
    <w:rsid w:val="00846B85"/>
    <w:rsid w:val="008470C7"/>
    <w:rsid w:val="00847263"/>
    <w:rsid w:val="00847273"/>
    <w:rsid w:val="00847316"/>
    <w:rsid w:val="00847667"/>
    <w:rsid w:val="00847677"/>
    <w:rsid w:val="008477AD"/>
    <w:rsid w:val="008477C3"/>
    <w:rsid w:val="00847951"/>
    <w:rsid w:val="00847A5D"/>
    <w:rsid w:val="00847B86"/>
    <w:rsid w:val="00847E97"/>
    <w:rsid w:val="00847E9B"/>
    <w:rsid w:val="00847EF9"/>
    <w:rsid w:val="00847FE3"/>
    <w:rsid w:val="00850798"/>
    <w:rsid w:val="00850951"/>
    <w:rsid w:val="0085099A"/>
    <w:rsid w:val="008509C2"/>
    <w:rsid w:val="00850A7C"/>
    <w:rsid w:val="00850BA6"/>
    <w:rsid w:val="00850DC1"/>
    <w:rsid w:val="00850FA4"/>
    <w:rsid w:val="0085128C"/>
    <w:rsid w:val="00851426"/>
    <w:rsid w:val="008515D5"/>
    <w:rsid w:val="00851743"/>
    <w:rsid w:val="00851973"/>
    <w:rsid w:val="008519CE"/>
    <w:rsid w:val="00851BD4"/>
    <w:rsid w:val="00851DE0"/>
    <w:rsid w:val="00851DF7"/>
    <w:rsid w:val="00852304"/>
    <w:rsid w:val="00852352"/>
    <w:rsid w:val="00852664"/>
    <w:rsid w:val="0085274D"/>
    <w:rsid w:val="00852903"/>
    <w:rsid w:val="00852C03"/>
    <w:rsid w:val="00852DDD"/>
    <w:rsid w:val="00852E26"/>
    <w:rsid w:val="00853452"/>
    <w:rsid w:val="0085370A"/>
    <w:rsid w:val="00853749"/>
    <w:rsid w:val="00853F74"/>
    <w:rsid w:val="008541AE"/>
    <w:rsid w:val="0085420B"/>
    <w:rsid w:val="0085422B"/>
    <w:rsid w:val="00854877"/>
    <w:rsid w:val="00855001"/>
    <w:rsid w:val="00855215"/>
    <w:rsid w:val="00855675"/>
    <w:rsid w:val="008556E2"/>
    <w:rsid w:val="00855851"/>
    <w:rsid w:val="00855CA8"/>
    <w:rsid w:val="00855CC0"/>
    <w:rsid w:val="00856479"/>
    <w:rsid w:val="00856540"/>
    <w:rsid w:val="008565EB"/>
    <w:rsid w:val="00856636"/>
    <w:rsid w:val="00856D64"/>
    <w:rsid w:val="00856D8B"/>
    <w:rsid w:val="00856E24"/>
    <w:rsid w:val="00857175"/>
    <w:rsid w:val="008571E5"/>
    <w:rsid w:val="00857ADB"/>
    <w:rsid w:val="00857B21"/>
    <w:rsid w:val="00857C64"/>
    <w:rsid w:val="00857D68"/>
    <w:rsid w:val="00857F32"/>
    <w:rsid w:val="00860161"/>
    <w:rsid w:val="008601E2"/>
    <w:rsid w:val="00860376"/>
    <w:rsid w:val="008605CF"/>
    <w:rsid w:val="008605DB"/>
    <w:rsid w:val="00860A1A"/>
    <w:rsid w:val="00860A8B"/>
    <w:rsid w:val="00860C4D"/>
    <w:rsid w:val="00861120"/>
    <w:rsid w:val="0086130E"/>
    <w:rsid w:val="008617D0"/>
    <w:rsid w:val="00861BE7"/>
    <w:rsid w:val="00861D74"/>
    <w:rsid w:val="008622A8"/>
    <w:rsid w:val="008623D3"/>
    <w:rsid w:val="008625A0"/>
    <w:rsid w:val="00862872"/>
    <w:rsid w:val="0086299E"/>
    <w:rsid w:val="00862C41"/>
    <w:rsid w:val="00862C96"/>
    <w:rsid w:val="00862CE4"/>
    <w:rsid w:val="00862EB4"/>
    <w:rsid w:val="00862F76"/>
    <w:rsid w:val="00862FC2"/>
    <w:rsid w:val="00862FC6"/>
    <w:rsid w:val="00862FF4"/>
    <w:rsid w:val="00863090"/>
    <w:rsid w:val="008632AB"/>
    <w:rsid w:val="008633A9"/>
    <w:rsid w:val="0086370E"/>
    <w:rsid w:val="00863A69"/>
    <w:rsid w:val="00863C5E"/>
    <w:rsid w:val="00863D98"/>
    <w:rsid w:val="00864169"/>
    <w:rsid w:val="008649BE"/>
    <w:rsid w:val="00864A94"/>
    <w:rsid w:val="00864B52"/>
    <w:rsid w:val="00864D30"/>
    <w:rsid w:val="008650C0"/>
    <w:rsid w:val="00865C1D"/>
    <w:rsid w:val="00865ED0"/>
    <w:rsid w:val="00865FB4"/>
    <w:rsid w:val="0086633A"/>
    <w:rsid w:val="0086634E"/>
    <w:rsid w:val="008669C7"/>
    <w:rsid w:val="00866A0B"/>
    <w:rsid w:val="00866B2A"/>
    <w:rsid w:val="00866BDD"/>
    <w:rsid w:val="00866E18"/>
    <w:rsid w:val="00867095"/>
    <w:rsid w:val="0086735D"/>
    <w:rsid w:val="008676E6"/>
    <w:rsid w:val="0086770A"/>
    <w:rsid w:val="0086790A"/>
    <w:rsid w:val="00867B71"/>
    <w:rsid w:val="008707D6"/>
    <w:rsid w:val="00870B7E"/>
    <w:rsid w:val="00870CBE"/>
    <w:rsid w:val="00870DBA"/>
    <w:rsid w:val="00870E8A"/>
    <w:rsid w:val="00870F18"/>
    <w:rsid w:val="00870F5F"/>
    <w:rsid w:val="0087105B"/>
    <w:rsid w:val="00871405"/>
    <w:rsid w:val="0087165E"/>
    <w:rsid w:val="00871CFE"/>
    <w:rsid w:val="00871E94"/>
    <w:rsid w:val="00872444"/>
    <w:rsid w:val="0087266B"/>
    <w:rsid w:val="008728E0"/>
    <w:rsid w:val="00872910"/>
    <w:rsid w:val="00872A0C"/>
    <w:rsid w:val="00872D17"/>
    <w:rsid w:val="00873154"/>
    <w:rsid w:val="008734CD"/>
    <w:rsid w:val="00873644"/>
    <w:rsid w:val="00873C94"/>
    <w:rsid w:val="008742A7"/>
    <w:rsid w:val="00874329"/>
    <w:rsid w:val="008746FC"/>
    <w:rsid w:val="008748AE"/>
    <w:rsid w:val="008749BD"/>
    <w:rsid w:val="008752A2"/>
    <w:rsid w:val="008752B3"/>
    <w:rsid w:val="00875737"/>
    <w:rsid w:val="008758FA"/>
    <w:rsid w:val="00875B5A"/>
    <w:rsid w:val="00875B7B"/>
    <w:rsid w:val="00875C54"/>
    <w:rsid w:val="00875FE1"/>
    <w:rsid w:val="008760DB"/>
    <w:rsid w:val="008763A5"/>
    <w:rsid w:val="00876612"/>
    <w:rsid w:val="00876C4E"/>
    <w:rsid w:val="00876C86"/>
    <w:rsid w:val="00876E31"/>
    <w:rsid w:val="00877825"/>
    <w:rsid w:val="0087785C"/>
    <w:rsid w:val="008779C8"/>
    <w:rsid w:val="00877AA6"/>
    <w:rsid w:val="00877EE2"/>
    <w:rsid w:val="0088017F"/>
    <w:rsid w:val="008807A7"/>
    <w:rsid w:val="0088088A"/>
    <w:rsid w:val="00880BBD"/>
    <w:rsid w:val="00880D5A"/>
    <w:rsid w:val="008812E2"/>
    <w:rsid w:val="008818C5"/>
    <w:rsid w:val="00881F12"/>
    <w:rsid w:val="00882359"/>
    <w:rsid w:val="008823BD"/>
    <w:rsid w:val="008829C1"/>
    <w:rsid w:val="008829DC"/>
    <w:rsid w:val="00882B0B"/>
    <w:rsid w:val="00882B95"/>
    <w:rsid w:val="00883023"/>
    <w:rsid w:val="00883140"/>
    <w:rsid w:val="0088387B"/>
    <w:rsid w:val="008838C7"/>
    <w:rsid w:val="00883AFD"/>
    <w:rsid w:val="008843A4"/>
    <w:rsid w:val="0088447F"/>
    <w:rsid w:val="008846C3"/>
    <w:rsid w:val="008846C9"/>
    <w:rsid w:val="0088481B"/>
    <w:rsid w:val="00884C98"/>
    <w:rsid w:val="00884E42"/>
    <w:rsid w:val="00884EA8"/>
    <w:rsid w:val="00884F34"/>
    <w:rsid w:val="0088519F"/>
    <w:rsid w:val="008851BE"/>
    <w:rsid w:val="00885288"/>
    <w:rsid w:val="00885624"/>
    <w:rsid w:val="008856B3"/>
    <w:rsid w:val="00885777"/>
    <w:rsid w:val="008858B7"/>
    <w:rsid w:val="0088591E"/>
    <w:rsid w:val="00885ADF"/>
    <w:rsid w:val="00885ED4"/>
    <w:rsid w:val="00885FB0"/>
    <w:rsid w:val="00886248"/>
    <w:rsid w:val="008862F5"/>
    <w:rsid w:val="00886766"/>
    <w:rsid w:val="008869C6"/>
    <w:rsid w:val="008869D5"/>
    <w:rsid w:val="00886A01"/>
    <w:rsid w:val="00886A3F"/>
    <w:rsid w:val="00886C46"/>
    <w:rsid w:val="00886EA2"/>
    <w:rsid w:val="00886EE1"/>
    <w:rsid w:val="008871AA"/>
    <w:rsid w:val="0088733F"/>
    <w:rsid w:val="00887947"/>
    <w:rsid w:val="00887A7F"/>
    <w:rsid w:val="00887C64"/>
    <w:rsid w:val="00887CB2"/>
    <w:rsid w:val="00887CE9"/>
    <w:rsid w:val="00890009"/>
    <w:rsid w:val="00890420"/>
    <w:rsid w:val="008908BE"/>
    <w:rsid w:val="00890CCE"/>
    <w:rsid w:val="00890EAA"/>
    <w:rsid w:val="00891072"/>
    <w:rsid w:val="00891105"/>
    <w:rsid w:val="00891504"/>
    <w:rsid w:val="008915F9"/>
    <w:rsid w:val="00891622"/>
    <w:rsid w:val="00891926"/>
    <w:rsid w:val="00891D50"/>
    <w:rsid w:val="00892762"/>
    <w:rsid w:val="00892799"/>
    <w:rsid w:val="00892CA1"/>
    <w:rsid w:val="00892D84"/>
    <w:rsid w:val="00892E3C"/>
    <w:rsid w:val="00892E93"/>
    <w:rsid w:val="00892F00"/>
    <w:rsid w:val="008930E5"/>
    <w:rsid w:val="00893109"/>
    <w:rsid w:val="00893315"/>
    <w:rsid w:val="0089336E"/>
    <w:rsid w:val="0089350C"/>
    <w:rsid w:val="0089370A"/>
    <w:rsid w:val="00893992"/>
    <w:rsid w:val="00893A5E"/>
    <w:rsid w:val="00893AC4"/>
    <w:rsid w:val="00893C8E"/>
    <w:rsid w:val="00893D37"/>
    <w:rsid w:val="0089401F"/>
    <w:rsid w:val="0089432F"/>
    <w:rsid w:val="008945E9"/>
    <w:rsid w:val="00894A66"/>
    <w:rsid w:val="00895963"/>
    <w:rsid w:val="00895BFF"/>
    <w:rsid w:val="00895D75"/>
    <w:rsid w:val="00895F0E"/>
    <w:rsid w:val="00895F1D"/>
    <w:rsid w:val="00895F3A"/>
    <w:rsid w:val="00895F8E"/>
    <w:rsid w:val="008962D2"/>
    <w:rsid w:val="00896553"/>
    <w:rsid w:val="0089719E"/>
    <w:rsid w:val="00897359"/>
    <w:rsid w:val="0089739A"/>
    <w:rsid w:val="008973B0"/>
    <w:rsid w:val="00897520"/>
    <w:rsid w:val="00897893"/>
    <w:rsid w:val="008979CB"/>
    <w:rsid w:val="00897C1B"/>
    <w:rsid w:val="00897DEB"/>
    <w:rsid w:val="008A0115"/>
    <w:rsid w:val="008A0246"/>
    <w:rsid w:val="008A02E0"/>
    <w:rsid w:val="008A070A"/>
    <w:rsid w:val="008A0D95"/>
    <w:rsid w:val="008A0E44"/>
    <w:rsid w:val="008A0E93"/>
    <w:rsid w:val="008A0E9E"/>
    <w:rsid w:val="008A0F87"/>
    <w:rsid w:val="008A1335"/>
    <w:rsid w:val="008A1382"/>
    <w:rsid w:val="008A17B8"/>
    <w:rsid w:val="008A19E0"/>
    <w:rsid w:val="008A1C1D"/>
    <w:rsid w:val="008A1D5C"/>
    <w:rsid w:val="008A255C"/>
    <w:rsid w:val="008A256F"/>
    <w:rsid w:val="008A272D"/>
    <w:rsid w:val="008A2B31"/>
    <w:rsid w:val="008A2B5B"/>
    <w:rsid w:val="008A2CA2"/>
    <w:rsid w:val="008A2D71"/>
    <w:rsid w:val="008A2E72"/>
    <w:rsid w:val="008A32E5"/>
    <w:rsid w:val="008A384A"/>
    <w:rsid w:val="008A387E"/>
    <w:rsid w:val="008A3C4C"/>
    <w:rsid w:val="008A3DFE"/>
    <w:rsid w:val="008A421B"/>
    <w:rsid w:val="008A497F"/>
    <w:rsid w:val="008A4B89"/>
    <w:rsid w:val="008A4BC8"/>
    <w:rsid w:val="008A4C6B"/>
    <w:rsid w:val="008A5365"/>
    <w:rsid w:val="008A58D3"/>
    <w:rsid w:val="008A5CAD"/>
    <w:rsid w:val="008A6407"/>
    <w:rsid w:val="008A64CA"/>
    <w:rsid w:val="008A6566"/>
    <w:rsid w:val="008A6B4B"/>
    <w:rsid w:val="008A7109"/>
    <w:rsid w:val="008A713F"/>
    <w:rsid w:val="008A7186"/>
    <w:rsid w:val="008A7A7D"/>
    <w:rsid w:val="008B02FB"/>
    <w:rsid w:val="008B04FF"/>
    <w:rsid w:val="008B05EF"/>
    <w:rsid w:val="008B0AF5"/>
    <w:rsid w:val="008B0C08"/>
    <w:rsid w:val="008B0DEF"/>
    <w:rsid w:val="008B0F51"/>
    <w:rsid w:val="008B1083"/>
    <w:rsid w:val="008B13C3"/>
    <w:rsid w:val="008B1B81"/>
    <w:rsid w:val="008B1F51"/>
    <w:rsid w:val="008B1FBA"/>
    <w:rsid w:val="008B203A"/>
    <w:rsid w:val="008B2117"/>
    <w:rsid w:val="008B235B"/>
    <w:rsid w:val="008B2642"/>
    <w:rsid w:val="008B269E"/>
    <w:rsid w:val="008B27F3"/>
    <w:rsid w:val="008B349C"/>
    <w:rsid w:val="008B3507"/>
    <w:rsid w:val="008B350C"/>
    <w:rsid w:val="008B37E4"/>
    <w:rsid w:val="008B3829"/>
    <w:rsid w:val="008B3ABC"/>
    <w:rsid w:val="008B3B15"/>
    <w:rsid w:val="008B41E4"/>
    <w:rsid w:val="008B431C"/>
    <w:rsid w:val="008B437E"/>
    <w:rsid w:val="008B479D"/>
    <w:rsid w:val="008B493F"/>
    <w:rsid w:val="008B5036"/>
    <w:rsid w:val="008B5356"/>
    <w:rsid w:val="008B5415"/>
    <w:rsid w:val="008B5833"/>
    <w:rsid w:val="008B58CE"/>
    <w:rsid w:val="008B5A9A"/>
    <w:rsid w:val="008B5B05"/>
    <w:rsid w:val="008B5FE0"/>
    <w:rsid w:val="008B6106"/>
    <w:rsid w:val="008B61F7"/>
    <w:rsid w:val="008B6583"/>
    <w:rsid w:val="008B6A1E"/>
    <w:rsid w:val="008B6CC4"/>
    <w:rsid w:val="008B6D3F"/>
    <w:rsid w:val="008B6D4B"/>
    <w:rsid w:val="008B6E63"/>
    <w:rsid w:val="008B744F"/>
    <w:rsid w:val="008B760B"/>
    <w:rsid w:val="008B78F0"/>
    <w:rsid w:val="008B7B38"/>
    <w:rsid w:val="008B7C22"/>
    <w:rsid w:val="008B7FCD"/>
    <w:rsid w:val="008C0003"/>
    <w:rsid w:val="008C0090"/>
    <w:rsid w:val="008C0225"/>
    <w:rsid w:val="008C0323"/>
    <w:rsid w:val="008C033A"/>
    <w:rsid w:val="008C0641"/>
    <w:rsid w:val="008C0755"/>
    <w:rsid w:val="008C0B47"/>
    <w:rsid w:val="008C0DF9"/>
    <w:rsid w:val="008C0EA7"/>
    <w:rsid w:val="008C1038"/>
    <w:rsid w:val="008C10A2"/>
    <w:rsid w:val="008C11F6"/>
    <w:rsid w:val="008C142F"/>
    <w:rsid w:val="008C1445"/>
    <w:rsid w:val="008C1930"/>
    <w:rsid w:val="008C2254"/>
    <w:rsid w:val="008C2334"/>
    <w:rsid w:val="008C248E"/>
    <w:rsid w:val="008C2606"/>
    <w:rsid w:val="008C2737"/>
    <w:rsid w:val="008C2B38"/>
    <w:rsid w:val="008C2CA9"/>
    <w:rsid w:val="008C2CD7"/>
    <w:rsid w:val="008C2EF6"/>
    <w:rsid w:val="008C3417"/>
    <w:rsid w:val="008C361D"/>
    <w:rsid w:val="008C372E"/>
    <w:rsid w:val="008C3804"/>
    <w:rsid w:val="008C3923"/>
    <w:rsid w:val="008C393C"/>
    <w:rsid w:val="008C39E8"/>
    <w:rsid w:val="008C3E75"/>
    <w:rsid w:val="008C3F89"/>
    <w:rsid w:val="008C3FB3"/>
    <w:rsid w:val="008C42F3"/>
    <w:rsid w:val="008C45FF"/>
    <w:rsid w:val="008C47B1"/>
    <w:rsid w:val="008C4A30"/>
    <w:rsid w:val="008C4B14"/>
    <w:rsid w:val="008C4CF9"/>
    <w:rsid w:val="008C5829"/>
    <w:rsid w:val="008C59C8"/>
    <w:rsid w:val="008C5A43"/>
    <w:rsid w:val="008C5DC8"/>
    <w:rsid w:val="008C5E36"/>
    <w:rsid w:val="008C603D"/>
    <w:rsid w:val="008C6917"/>
    <w:rsid w:val="008C6EFA"/>
    <w:rsid w:val="008C7096"/>
    <w:rsid w:val="008C74F3"/>
    <w:rsid w:val="008C757D"/>
    <w:rsid w:val="008C76F6"/>
    <w:rsid w:val="008C7724"/>
    <w:rsid w:val="008C7880"/>
    <w:rsid w:val="008C7928"/>
    <w:rsid w:val="008C7C7D"/>
    <w:rsid w:val="008C7CEC"/>
    <w:rsid w:val="008C7F55"/>
    <w:rsid w:val="008D0202"/>
    <w:rsid w:val="008D0270"/>
    <w:rsid w:val="008D03AA"/>
    <w:rsid w:val="008D0424"/>
    <w:rsid w:val="008D04D2"/>
    <w:rsid w:val="008D06EE"/>
    <w:rsid w:val="008D0921"/>
    <w:rsid w:val="008D09EB"/>
    <w:rsid w:val="008D0AEF"/>
    <w:rsid w:val="008D0C6C"/>
    <w:rsid w:val="008D0D23"/>
    <w:rsid w:val="008D1321"/>
    <w:rsid w:val="008D142E"/>
    <w:rsid w:val="008D157D"/>
    <w:rsid w:val="008D15A3"/>
    <w:rsid w:val="008D1650"/>
    <w:rsid w:val="008D18DF"/>
    <w:rsid w:val="008D1D40"/>
    <w:rsid w:val="008D23C4"/>
    <w:rsid w:val="008D2956"/>
    <w:rsid w:val="008D2CDA"/>
    <w:rsid w:val="008D2E17"/>
    <w:rsid w:val="008D3207"/>
    <w:rsid w:val="008D3305"/>
    <w:rsid w:val="008D3444"/>
    <w:rsid w:val="008D3A3E"/>
    <w:rsid w:val="008D3CF7"/>
    <w:rsid w:val="008D3D2E"/>
    <w:rsid w:val="008D3F01"/>
    <w:rsid w:val="008D3F17"/>
    <w:rsid w:val="008D3F1A"/>
    <w:rsid w:val="008D41BA"/>
    <w:rsid w:val="008D4542"/>
    <w:rsid w:val="008D4611"/>
    <w:rsid w:val="008D479A"/>
    <w:rsid w:val="008D4891"/>
    <w:rsid w:val="008D4A46"/>
    <w:rsid w:val="008D4D1B"/>
    <w:rsid w:val="008D4D35"/>
    <w:rsid w:val="008D4E55"/>
    <w:rsid w:val="008D4ED9"/>
    <w:rsid w:val="008D50B2"/>
    <w:rsid w:val="008D524B"/>
    <w:rsid w:val="008D5480"/>
    <w:rsid w:val="008D577A"/>
    <w:rsid w:val="008D5798"/>
    <w:rsid w:val="008D57B7"/>
    <w:rsid w:val="008D5A50"/>
    <w:rsid w:val="008D61F3"/>
    <w:rsid w:val="008D685D"/>
    <w:rsid w:val="008D687D"/>
    <w:rsid w:val="008D68BF"/>
    <w:rsid w:val="008D6D68"/>
    <w:rsid w:val="008D7128"/>
    <w:rsid w:val="008D7198"/>
    <w:rsid w:val="008D7287"/>
    <w:rsid w:val="008D756D"/>
    <w:rsid w:val="008D79E6"/>
    <w:rsid w:val="008D7C96"/>
    <w:rsid w:val="008D7D8C"/>
    <w:rsid w:val="008D7EEF"/>
    <w:rsid w:val="008E00A2"/>
    <w:rsid w:val="008E011F"/>
    <w:rsid w:val="008E0641"/>
    <w:rsid w:val="008E0AE5"/>
    <w:rsid w:val="008E0C0E"/>
    <w:rsid w:val="008E111C"/>
    <w:rsid w:val="008E13CF"/>
    <w:rsid w:val="008E1499"/>
    <w:rsid w:val="008E1580"/>
    <w:rsid w:val="008E1A88"/>
    <w:rsid w:val="008E1AF9"/>
    <w:rsid w:val="008E1CA7"/>
    <w:rsid w:val="008E1CC6"/>
    <w:rsid w:val="008E1DA1"/>
    <w:rsid w:val="008E1F85"/>
    <w:rsid w:val="008E22B0"/>
    <w:rsid w:val="008E2516"/>
    <w:rsid w:val="008E2596"/>
    <w:rsid w:val="008E26BC"/>
    <w:rsid w:val="008E2889"/>
    <w:rsid w:val="008E2C1A"/>
    <w:rsid w:val="008E2CD9"/>
    <w:rsid w:val="008E2F8B"/>
    <w:rsid w:val="008E3317"/>
    <w:rsid w:val="008E3524"/>
    <w:rsid w:val="008E35C8"/>
    <w:rsid w:val="008E36D9"/>
    <w:rsid w:val="008E37FC"/>
    <w:rsid w:val="008E39E5"/>
    <w:rsid w:val="008E3D2F"/>
    <w:rsid w:val="008E3DBB"/>
    <w:rsid w:val="008E3F3B"/>
    <w:rsid w:val="008E448F"/>
    <w:rsid w:val="008E46F7"/>
    <w:rsid w:val="008E4828"/>
    <w:rsid w:val="008E4915"/>
    <w:rsid w:val="008E4D0F"/>
    <w:rsid w:val="008E4F7A"/>
    <w:rsid w:val="008E578C"/>
    <w:rsid w:val="008E57DE"/>
    <w:rsid w:val="008E5B55"/>
    <w:rsid w:val="008E5B7B"/>
    <w:rsid w:val="008E5BC1"/>
    <w:rsid w:val="008E610C"/>
    <w:rsid w:val="008E614C"/>
    <w:rsid w:val="008E6159"/>
    <w:rsid w:val="008E626E"/>
    <w:rsid w:val="008E6330"/>
    <w:rsid w:val="008E656E"/>
    <w:rsid w:val="008E6695"/>
    <w:rsid w:val="008E6B38"/>
    <w:rsid w:val="008E6E97"/>
    <w:rsid w:val="008E6FF6"/>
    <w:rsid w:val="008E71F0"/>
    <w:rsid w:val="008E7439"/>
    <w:rsid w:val="008E756B"/>
    <w:rsid w:val="008E7570"/>
    <w:rsid w:val="008E75A4"/>
    <w:rsid w:val="008E75FE"/>
    <w:rsid w:val="008E7648"/>
    <w:rsid w:val="008E768E"/>
    <w:rsid w:val="008E7E3C"/>
    <w:rsid w:val="008F02FE"/>
    <w:rsid w:val="008F03F2"/>
    <w:rsid w:val="008F055F"/>
    <w:rsid w:val="008F058D"/>
    <w:rsid w:val="008F05DE"/>
    <w:rsid w:val="008F07F8"/>
    <w:rsid w:val="008F0A0F"/>
    <w:rsid w:val="008F0A18"/>
    <w:rsid w:val="008F0C20"/>
    <w:rsid w:val="008F0C2E"/>
    <w:rsid w:val="008F0C72"/>
    <w:rsid w:val="008F0DA9"/>
    <w:rsid w:val="008F1309"/>
    <w:rsid w:val="008F1709"/>
    <w:rsid w:val="008F174D"/>
    <w:rsid w:val="008F17A3"/>
    <w:rsid w:val="008F1917"/>
    <w:rsid w:val="008F1BC5"/>
    <w:rsid w:val="008F1D07"/>
    <w:rsid w:val="008F20C9"/>
    <w:rsid w:val="008F2180"/>
    <w:rsid w:val="008F218A"/>
    <w:rsid w:val="008F258A"/>
    <w:rsid w:val="008F2661"/>
    <w:rsid w:val="008F286E"/>
    <w:rsid w:val="008F2AB0"/>
    <w:rsid w:val="008F2AE8"/>
    <w:rsid w:val="008F2E5D"/>
    <w:rsid w:val="008F2F37"/>
    <w:rsid w:val="008F309C"/>
    <w:rsid w:val="008F3126"/>
    <w:rsid w:val="008F33D5"/>
    <w:rsid w:val="008F3457"/>
    <w:rsid w:val="008F3579"/>
    <w:rsid w:val="008F3703"/>
    <w:rsid w:val="008F3923"/>
    <w:rsid w:val="008F3B87"/>
    <w:rsid w:val="008F3E27"/>
    <w:rsid w:val="008F3E2D"/>
    <w:rsid w:val="008F3F7C"/>
    <w:rsid w:val="008F407C"/>
    <w:rsid w:val="008F4361"/>
    <w:rsid w:val="008F4573"/>
    <w:rsid w:val="008F489F"/>
    <w:rsid w:val="008F4A14"/>
    <w:rsid w:val="008F4AB1"/>
    <w:rsid w:val="008F5244"/>
    <w:rsid w:val="008F545E"/>
    <w:rsid w:val="008F57E8"/>
    <w:rsid w:val="008F5978"/>
    <w:rsid w:val="008F5B4A"/>
    <w:rsid w:val="008F60BC"/>
    <w:rsid w:val="008F64F7"/>
    <w:rsid w:val="008F67CA"/>
    <w:rsid w:val="008F69F4"/>
    <w:rsid w:val="008F6BB1"/>
    <w:rsid w:val="008F6EB2"/>
    <w:rsid w:val="008F6EBF"/>
    <w:rsid w:val="008F70A0"/>
    <w:rsid w:val="008F7360"/>
    <w:rsid w:val="008F73CE"/>
    <w:rsid w:val="008F742E"/>
    <w:rsid w:val="008F75DC"/>
    <w:rsid w:val="008F75EE"/>
    <w:rsid w:val="008F797E"/>
    <w:rsid w:val="008F7F92"/>
    <w:rsid w:val="00900D53"/>
    <w:rsid w:val="00900E5C"/>
    <w:rsid w:val="00900FB4"/>
    <w:rsid w:val="009010A9"/>
    <w:rsid w:val="0090199D"/>
    <w:rsid w:val="00901AA3"/>
    <w:rsid w:val="00901B27"/>
    <w:rsid w:val="00901D4B"/>
    <w:rsid w:val="00901DFA"/>
    <w:rsid w:val="00901DFD"/>
    <w:rsid w:val="009021B8"/>
    <w:rsid w:val="00902347"/>
    <w:rsid w:val="009026A3"/>
    <w:rsid w:val="009028D2"/>
    <w:rsid w:val="00902990"/>
    <w:rsid w:val="00902CE5"/>
    <w:rsid w:val="00902EB7"/>
    <w:rsid w:val="00902F24"/>
    <w:rsid w:val="009032B1"/>
    <w:rsid w:val="00903666"/>
    <w:rsid w:val="00903842"/>
    <w:rsid w:val="00903E84"/>
    <w:rsid w:val="009043BB"/>
    <w:rsid w:val="0090471B"/>
    <w:rsid w:val="00904733"/>
    <w:rsid w:val="00904C63"/>
    <w:rsid w:val="00904C8D"/>
    <w:rsid w:val="00904D69"/>
    <w:rsid w:val="00904DBB"/>
    <w:rsid w:val="009050BF"/>
    <w:rsid w:val="00905104"/>
    <w:rsid w:val="0090512F"/>
    <w:rsid w:val="0090537B"/>
    <w:rsid w:val="00905AA6"/>
    <w:rsid w:val="00905CCD"/>
    <w:rsid w:val="00905FC9"/>
    <w:rsid w:val="0090606B"/>
    <w:rsid w:val="00906179"/>
    <w:rsid w:val="009061D0"/>
    <w:rsid w:val="0090654E"/>
    <w:rsid w:val="00906912"/>
    <w:rsid w:val="00906AC0"/>
    <w:rsid w:val="00906F2A"/>
    <w:rsid w:val="00907113"/>
    <w:rsid w:val="00907307"/>
    <w:rsid w:val="00907407"/>
    <w:rsid w:val="009078CC"/>
    <w:rsid w:val="00907D90"/>
    <w:rsid w:val="00907E5A"/>
    <w:rsid w:val="00910073"/>
    <w:rsid w:val="009100B1"/>
    <w:rsid w:val="009101CD"/>
    <w:rsid w:val="00910554"/>
    <w:rsid w:val="00910B9C"/>
    <w:rsid w:val="00910F45"/>
    <w:rsid w:val="00910F93"/>
    <w:rsid w:val="009112E9"/>
    <w:rsid w:val="009113FD"/>
    <w:rsid w:val="009114B5"/>
    <w:rsid w:val="0091151E"/>
    <w:rsid w:val="0091169E"/>
    <w:rsid w:val="0091170F"/>
    <w:rsid w:val="00911AC0"/>
    <w:rsid w:val="00911E24"/>
    <w:rsid w:val="00911F91"/>
    <w:rsid w:val="00911FDA"/>
    <w:rsid w:val="009124F5"/>
    <w:rsid w:val="0091276D"/>
    <w:rsid w:val="00912790"/>
    <w:rsid w:val="009128CC"/>
    <w:rsid w:val="00912A1B"/>
    <w:rsid w:val="00912C97"/>
    <w:rsid w:val="00912E8D"/>
    <w:rsid w:val="0091310E"/>
    <w:rsid w:val="009132D5"/>
    <w:rsid w:val="00913526"/>
    <w:rsid w:val="00913614"/>
    <w:rsid w:val="00913721"/>
    <w:rsid w:val="00913952"/>
    <w:rsid w:val="00913989"/>
    <w:rsid w:val="00913A91"/>
    <w:rsid w:val="00913B4D"/>
    <w:rsid w:val="00913C43"/>
    <w:rsid w:val="00913D78"/>
    <w:rsid w:val="00913DC1"/>
    <w:rsid w:val="00914538"/>
    <w:rsid w:val="0091462C"/>
    <w:rsid w:val="00914722"/>
    <w:rsid w:val="009147D3"/>
    <w:rsid w:val="00914875"/>
    <w:rsid w:val="00914B09"/>
    <w:rsid w:val="00914B0C"/>
    <w:rsid w:val="00914C6F"/>
    <w:rsid w:val="00915463"/>
    <w:rsid w:val="009157B8"/>
    <w:rsid w:val="009158FE"/>
    <w:rsid w:val="00915986"/>
    <w:rsid w:val="00915D12"/>
    <w:rsid w:val="00915D93"/>
    <w:rsid w:val="00915FEE"/>
    <w:rsid w:val="00916064"/>
    <w:rsid w:val="009160C5"/>
    <w:rsid w:val="0091632E"/>
    <w:rsid w:val="0091637E"/>
    <w:rsid w:val="00916495"/>
    <w:rsid w:val="009164D3"/>
    <w:rsid w:val="009164EB"/>
    <w:rsid w:val="00916643"/>
    <w:rsid w:val="00916CEB"/>
    <w:rsid w:val="00917138"/>
    <w:rsid w:val="0091746B"/>
    <w:rsid w:val="00917876"/>
    <w:rsid w:val="00917DB0"/>
    <w:rsid w:val="009201A2"/>
    <w:rsid w:val="009205BE"/>
    <w:rsid w:val="00920732"/>
    <w:rsid w:val="009207B3"/>
    <w:rsid w:val="009207D9"/>
    <w:rsid w:val="00920CCD"/>
    <w:rsid w:val="00920E96"/>
    <w:rsid w:val="00921149"/>
    <w:rsid w:val="0092182B"/>
    <w:rsid w:val="009218DD"/>
    <w:rsid w:val="00922056"/>
    <w:rsid w:val="0092217F"/>
    <w:rsid w:val="009226DF"/>
    <w:rsid w:val="00922C8C"/>
    <w:rsid w:val="00922CE2"/>
    <w:rsid w:val="00922ECB"/>
    <w:rsid w:val="009232A4"/>
    <w:rsid w:val="009232BA"/>
    <w:rsid w:val="009236A5"/>
    <w:rsid w:val="00923965"/>
    <w:rsid w:val="0092399B"/>
    <w:rsid w:val="00923EE5"/>
    <w:rsid w:val="00924773"/>
    <w:rsid w:val="00924A27"/>
    <w:rsid w:val="00924B06"/>
    <w:rsid w:val="00924B50"/>
    <w:rsid w:val="00924C22"/>
    <w:rsid w:val="00924E23"/>
    <w:rsid w:val="00924FF5"/>
    <w:rsid w:val="00925053"/>
    <w:rsid w:val="0092511C"/>
    <w:rsid w:val="0092511D"/>
    <w:rsid w:val="009252C7"/>
    <w:rsid w:val="0092532E"/>
    <w:rsid w:val="0092570B"/>
    <w:rsid w:val="009258BE"/>
    <w:rsid w:val="009259AA"/>
    <w:rsid w:val="00925BB9"/>
    <w:rsid w:val="00925D16"/>
    <w:rsid w:val="009262E9"/>
    <w:rsid w:val="00926815"/>
    <w:rsid w:val="00926855"/>
    <w:rsid w:val="00926A5C"/>
    <w:rsid w:val="00926B12"/>
    <w:rsid w:val="009270A3"/>
    <w:rsid w:val="00927430"/>
    <w:rsid w:val="00927687"/>
    <w:rsid w:val="0092789F"/>
    <w:rsid w:val="00927A0B"/>
    <w:rsid w:val="00927A14"/>
    <w:rsid w:val="00927A36"/>
    <w:rsid w:val="009306E4"/>
    <w:rsid w:val="00930710"/>
    <w:rsid w:val="009308B4"/>
    <w:rsid w:val="00930AB6"/>
    <w:rsid w:val="00930BA4"/>
    <w:rsid w:val="00930CCC"/>
    <w:rsid w:val="00930CD8"/>
    <w:rsid w:val="00930ECF"/>
    <w:rsid w:val="00930F89"/>
    <w:rsid w:val="009312B9"/>
    <w:rsid w:val="00931EE4"/>
    <w:rsid w:val="00931F9E"/>
    <w:rsid w:val="00932624"/>
    <w:rsid w:val="00932921"/>
    <w:rsid w:val="00933266"/>
    <w:rsid w:val="00933303"/>
    <w:rsid w:val="0093345D"/>
    <w:rsid w:val="0093353B"/>
    <w:rsid w:val="00933893"/>
    <w:rsid w:val="0093392C"/>
    <w:rsid w:val="009339AA"/>
    <w:rsid w:val="00933B8B"/>
    <w:rsid w:val="00933C1D"/>
    <w:rsid w:val="00933C60"/>
    <w:rsid w:val="00933D3A"/>
    <w:rsid w:val="00933E51"/>
    <w:rsid w:val="00933FC0"/>
    <w:rsid w:val="0093402D"/>
    <w:rsid w:val="009341CE"/>
    <w:rsid w:val="00934692"/>
    <w:rsid w:val="00934762"/>
    <w:rsid w:val="00934B29"/>
    <w:rsid w:val="00934C91"/>
    <w:rsid w:val="00934E4A"/>
    <w:rsid w:val="00934E70"/>
    <w:rsid w:val="0093503D"/>
    <w:rsid w:val="0093525C"/>
    <w:rsid w:val="009353E3"/>
    <w:rsid w:val="009354C2"/>
    <w:rsid w:val="0093557F"/>
    <w:rsid w:val="009355FC"/>
    <w:rsid w:val="00935797"/>
    <w:rsid w:val="009357D8"/>
    <w:rsid w:val="0093599B"/>
    <w:rsid w:val="00935A45"/>
    <w:rsid w:val="00935B30"/>
    <w:rsid w:val="00935BE5"/>
    <w:rsid w:val="009364D3"/>
    <w:rsid w:val="0093683C"/>
    <w:rsid w:val="00936CCC"/>
    <w:rsid w:val="00936EBD"/>
    <w:rsid w:val="0093712C"/>
    <w:rsid w:val="00937279"/>
    <w:rsid w:val="00937527"/>
    <w:rsid w:val="00937769"/>
    <w:rsid w:val="00937B6F"/>
    <w:rsid w:val="0094011A"/>
    <w:rsid w:val="0094045F"/>
    <w:rsid w:val="00940513"/>
    <w:rsid w:val="00940756"/>
    <w:rsid w:val="00940852"/>
    <w:rsid w:val="00940A8F"/>
    <w:rsid w:val="00940B25"/>
    <w:rsid w:val="00940D67"/>
    <w:rsid w:val="00940E70"/>
    <w:rsid w:val="009411D8"/>
    <w:rsid w:val="0094125F"/>
    <w:rsid w:val="00941286"/>
    <w:rsid w:val="00941474"/>
    <w:rsid w:val="0094154B"/>
    <w:rsid w:val="009416EE"/>
    <w:rsid w:val="009417A5"/>
    <w:rsid w:val="00941D52"/>
    <w:rsid w:val="00941F50"/>
    <w:rsid w:val="0094206F"/>
    <w:rsid w:val="00942141"/>
    <w:rsid w:val="009422A9"/>
    <w:rsid w:val="009423C0"/>
    <w:rsid w:val="0094244E"/>
    <w:rsid w:val="009425C0"/>
    <w:rsid w:val="00942708"/>
    <w:rsid w:val="0094272E"/>
    <w:rsid w:val="00942815"/>
    <w:rsid w:val="009428C9"/>
    <w:rsid w:val="00942964"/>
    <w:rsid w:val="00942A2E"/>
    <w:rsid w:val="00942CC4"/>
    <w:rsid w:val="00942E42"/>
    <w:rsid w:val="00943238"/>
    <w:rsid w:val="0094338E"/>
    <w:rsid w:val="0094342B"/>
    <w:rsid w:val="00943563"/>
    <w:rsid w:val="009436A5"/>
    <w:rsid w:val="009437B1"/>
    <w:rsid w:val="00943A56"/>
    <w:rsid w:val="00943CC4"/>
    <w:rsid w:val="00943FB0"/>
    <w:rsid w:val="0094405A"/>
    <w:rsid w:val="009441B5"/>
    <w:rsid w:val="00944679"/>
    <w:rsid w:val="00944A55"/>
    <w:rsid w:val="00944AA7"/>
    <w:rsid w:val="00944B18"/>
    <w:rsid w:val="00944C02"/>
    <w:rsid w:val="00944E0C"/>
    <w:rsid w:val="00944FBC"/>
    <w:rsid w:val="00944FDB"/>
    <w:rsid w:val="00945409"/>
    <w:rsid w:val="00945710"/>
    <w:rsid w:val="009457B8"/>
    <w:rsid w:val="009458DA"/>
    <w:rsid w:val="00945901"/>
    <w:rsid w:val="009459C1"/>
    <w:rsid w:val="00945F55"/>
    <w:rsid w:val="00946147"/>
    <w:rsid w:val="0094679B"/>
    <w:rsid w:val="009468F1"/>
    <w:rsid w:val="00946BE5"/>
    <w:rsid w:val="00946D59"/>
    <w:rsid w:val="00946EA6"/>
    <w:rsid w:val="00946F53"/>
    <w:rsid w:val="0094703B"/>
    <w:rsid w:val="00947266"/>
    <w:rsid w:val="00947562"/>
    <w:rsid w:val="0094770B"/>
    <w:rsid w:val="0094782C"/>
    <w:rsid w:val="00947B75"/>
    <w:rsid w:val="00947C86"/>
    <w:rsid w:val="00947E73"/>
    <w:rsid w:val="00950306"/>
    <w:rsid w:val="00950576"/>
    <w:rsid w:val="00950B25"/>
    <w:rsid w:val="00950B52"/>
    <w:rsid w:val="00950B64"/>
    <w:rsid w:val="00950DC3"/>
    <w:rsid w:val="00950E81"/>
    <w:rsid w:val="00950EE5"/>
    <w:rsid w:val="00950F67"/>
    <w:rsid w:val="00951065"/>
    <w:rsid w:val="00951173"/>
    <w:rsid w:val="0095122B"/>
    <w:rsid w:val="00951297"/>
    <w:rsid w:val="0095133D"/>
    <w:rsid w:val="0095195C"/>
    <w:rsid w:val="0095196F"/>
    <w:rsid w:val="00951BD0"/>
    <w:rsid w:val="00951CA1"/>
    <w:rsid w:val="00951D3F"/>
    <w:rsid w:val="00952093"/>
    <w:rsid w:val="009520CB"/>
    <w:rsid w:val="00952108"/>
    <w:rsid w:val="00952338"/>
    <w:rsid w:val="009523A2"/>
    <w:rsid w:val="009527AB"/>
    <w:rsid w:val="00952835"/>
    <w:rsid w:val="00952947"/>
    <w:rsid w:val="00952A5F"/>
    <w:rsid w:val="00952E51"/>
    <w:rsid w:val="00952FEF"/>
    <w:rsid w:val="009531E8"/>
    <w:rsid w:val="00953482"/>
    <w:rsid w:val="00953492"/>
    <w:rsid w:val="009536CF"/>
    <w:rsid w:val="00953808"/>
    <w:rsid w:val="00953A95"/>
    <w:rsid w:val="00953BF9"/>
    <w:rsid w:val="00953E0D"/>
    <w:rsid w:val="00953EDD"/>
    <w:rsid w:val="009540B4"/>
    <w:rsid w:val="009543FA"/>
    <w:rsid w:val="00954734"/>
    <w:rsid w:val="00954D97"/>
    <w:rsid w:val="009552D2"/>
    <w:rsid w:val="00955661"/>
    <w:rsid w:val="00955953"/>
    <w:rsid w:val="00955A22"/>
    <w:rsid w:val="00955AA5"/>
    <w:rsid w:val="00955D0B"/>
    <w:rsid w:val="00955DA9"/>
    <w:rsid w:val="00955F8B"/>
    <w:rsid w:val="0095663D"/>
    <w:rsid w:val="00956C76"/>
    <w:rsid w:val="00956CD2"/>
    <w:rsid w:val="00956CFE"/>
    <w:rsid w:val="0095700A"/>
    <w:rsid w:val="00957152"/>
    <w:rsid w:val="00957218"/>
    <w:rsid w:val="009573B9"/>
    <w:rsid w:val="00957846"/>
    <w:rsid w:val="00957B13"/>
    <w:rsid w:val="00957C8F"/>
    <w:rsid w:val="00957D17"/>
    <w:rsid w:val="00957E31"/>
    <w:rsid w:val="0096081B"/>
    <w:rsid w:val="009609AF"/>
    <w:rsid w:val="00960A93"/>
    <w:rsid w:val="00960D39"/>
    <w:rsid w:val="00960E7A"/>
    <w:rsid w:val="0096147B"/>
    <w:rsid w:val="00961576"/>
    <w:rsid w:val="009615D9"/>
    <w:rsid w:val="00961715"/>
    <w:rsid w:val="00961872"/>
    <w:rsid w:val="0096191D"/>
    <w:rsid w:val="00961D35"/>
    <w:rsid w:val="00961D7F"/>
    <w:rsid w:val="0096244C"/>
    <w:rsid w:val="00962564"/>
    <w:rsid w:val="00962746"/>
    <w:rsid w:val="00962A5B"/>
    <w:rsid w:val="00962C38"/>
    <w:rsid w:val="00962C66"/>
    <w:rsid w:val="00962EEB"/>
    <w:rsid w:val="00962FF7"/>
    <w:rsid w:val="00963284"/>
    <w:rsid w:val="0096352E"/>
    <w:rsid w:val="009635F0"/>
    <w:rsid w:val="009638E5"/>
    <w:rsid w:val="009639EC"/>
    <w:rsid w:val="00963A83"/>
    <w:rsid w:val="00963B73"/>
    <w:rsid w:val="00963BF2"/>
    <w:rsid w:val="00963EAE"/>
    <w:rsid w:val="00963EC7"/>
    <w:rsid w:val="0096420C"/>
    <w:rsid w:val="0096449A"/>
    <w:rsid w:val="009644AB"/>
    <w:rsid w:val="009644CA"/>
    <w:rsid w:val="0096475F"/>
    <w:rsid w:val="00964982"/>
    <w:rsid w:val="00964995"/>
    <w:rsid w:val="00964C34"/>
    <w:rsid w:val="00965044"/>
    <w:rsid w:val="00965194"/>
    <w:rsid w:val="00965800"/>
    <w:rsid w:val="00965C91"/>
    <w:rsid w:val="00965CBD"/>
    <w:rsid w:val="00965D8F"/>
    <w:rsid w:val="0096608F"/>
    <w:rsid w:val="0096628B"/>
    <w:rsid w:val="0096653E"/>
    <w:rsid w:val="0096663B"/>
    <w:rsid w:val="00966812"/>
    <w:rsid w:val="00966846"/>
    <w:rsid w:val="00966863"/>
    <w:rsid w:val="009670FE"/>
    <w:rsid w:val="00967149"/>
    <w:rsid w:val="009671E0"/>
    <w:rsid w:val="009677A4"/>
    <w:rsid w:val="00967E98"/>
    <w:rsid w:val="00967F14"/>
    <w:rsid w:val="009702A7"/>
    <w:rsid w:val="00970629"/>
    <w:rsid w:val="009706CD"/>
    <w:rsid w:val="00970730"/>
    <w:rsid w:val="00970751"/>
    <w:rsid w:val="009708BC"/>
    <w:rsid w:val="00970958"/>
    <w:rsid w:val="00970962"/>
    <w:rsid w:val="00970E9C"/>
    <w:rsid w:val="00970EF2"/>
    <w:rsid w:val="00971094"/>
    <w:rsid w:val="0097118E"/>
    <w:rsid w:val="00971261"/>
    <w:rsid w:val="00971294"/>
    <w:rsid w:val="009712F7"/>
    <w:rsid w:val="00971416"/>
    <w:rsid w:val="009714F8"/>
    <w:rsid w:val="0097161A"/>
    <w:rsid w:val="00971908"/>
    <w:rsid w:val="00971A82"/>
    <w:rsid w:val="00971B2F"/>
    <w:rsid w:val="00971C42"/>
    <w:rsid w:val="00971C9F"/>
    <w:rsid w:val="009720B7"/>
    <w:rsid w:val="009723AE"/>
    <w:rsid w:val="0097249E"/>
    <w:rsid w:val="009724AF"/>
    <w:rsid w:val="009724FE"/>
    <w:rsid w:val="0097259B"/>
    <w:rsid w:val="009726F9"/>
    <w:rsid w:val="00972707"/>
    <w:rsid w:val="009727BD"/>
    <w:rsid w:val="0097354D"/>
    <w:rsid w:val="00973667"/>
    <w:rsid w:val="00973C8D"/>
    <w:rsid w:val="00973CA2"/>
    <w:rsid w:val="00973CB0"/>
    <w:rsid w:val="00973F77"/>
    <w:rsid w:val="009740DE"/>
    <w:rsid w:val="009741E4"/>
    <w:rsid w:val="009742F2"/>
    <w:rsid w:val="00974421"/>
    <w:rsid w:val="00974853"/>
    <w:rsid w:val="00974993"/>
    <w:rsid w:val="009749F4"/>
    <w:rsid w:val="00974CCA"/>
    <w:rsid w:val="00974E9D"/>
    <w:rsid w:val="0097501F"/>
    <w:rsid w:val="0097524B"/>
    <w:rsid w:val="009754BA"/>
    <w:rsid w:val="009756F1"/>
    <w:rsid w:val="009757A3"/>
    <w:rsid w:val="00975D29"/>
    <w:rsid w:val="0097609A"/>
    <w:rsid w:val="00976168"/>
    <w:rsid w:val="0097629F"/>
    <w:rsid w:val="009763F8"/>
    <w:rsid w:val="00976A34"/>
    <w:rsid w:val="00976B54"/>
    <w:rsid w:val="00976BCF"/>
    <w:rsid w:val="00977060"/>
    <w:rsid w:val="00977229"/>
    <w:rsid w:val="00977BAE"/>
    <w:rsid w:val="00977FC8"/>
    <w:rsid w:val="009800BD"/>
    <w:rsid w:val="00980115"/>
    <w:rsid w:val="009801E5"/>
    <w:rsid w:val="00980203"/>
    <w:rsid w:val="009802AF"/>
    <w:rsid w:val="0098061D"/>
    <w:rsid w:val="00980809"/>
    <w:rsid w:val="00980933"/>
    <w:rsid w:val="00980A19"/>
    <w:rsid w:val="00980BE0"/>
    <w:rsid w:val="00980D0F"/>
    <w:rsid w:val="00980EC4"/>
    <w:rsid w:val="00980F29"/>
    <w:rsid w:val="009814C0"/>
    <w:rsid w:val="009819CC"/>
    <w:rsid w:val="00981B57"/>
    <w:rsid w:val="00981B9E"/>
    <w:rsid w:val="00981C7F"/>
    <w:rsid w:val="00981D80"/>
    <w:rsid w:val="00981E45"/>
    <w:rsid w:val="009822C1"/>
    <w:rsid w:val="0098252B"/>
    <w:rsid w:val="0098275B"/>
    <w:rsid w:val="00982A33"/>
    <w:rsid w:val="00982BBB"/>
    <w:rsid w:val="00983004"/>
    <w:rsid w:val="00983474"/>
    <w:rsid w:val="009834BD"/>
    <w:rsid w:val="009834EE"/>
    <w:rsid w:val="0098362A"/>
    <w:rsid w:val="009836BE"/>
    <w:rsid w:val="00983B94"/>
    <w:rsid w:val="00983DEA"/>
    <w:rsid w:val="00983F1E"/>
    <w:rsid w:val="009843DE"/>
    <w:rsid w:val="0098478C"/>
    <w:rsid w:val="00984B62"/>
    <w:rsid w:val="00984CDF"/>
    <w:rsid w:val="009850E8"/>
    <w:rsid w:val="009855D9"/>
    <w:rsid w:val="00985B23"/>
    <w:rsid w:val="00985E7B"/>
    <w:rsid w:val="00985F72"/>
    <w:rsid w:val="00986A0A"/>
    <w:rsid w:val="00986F27"/>
    <w:rsid w:val="009870B5"/>
    <w:rsid w:val="009872DD"/>
    <w:rsid w:val="00987388"/>
    <w:rsid w:val="009874ED"/>
    <w:rsid w:val="00987643"/>
    <w:rsid w:val="009876A1"/>
    <w:rsid w:val="0098792E"/>
    <w:rsid w:val="00987D8C"/>
    <w:rsid w:val="00987D94"/>
    <w:rsid w:val="00987E54"/>
    <w:rsid w:val="00987EB6"/>
    <w:rsid w:val="00990009"/>
    <w:rsid w:val="00990147"/>
    <w:rsid w:val="0099033B"/>
    <w:rsid w:val="0099049D"/>
    <w:rsid w:val="009904AA"/>
    <w:rsid w:val="009905A6"/>
    <w:rsid w:val="009906C8"/>
    <w:rsid w:val="0099078F"/>
    <w:rsid w:val="00990827"/>
    <w:rsid w:val="00990DED"/>
    <w:rsid w:val="00990F8A"/>
    <w:rsid w:val="00990FD3"/>
    <w:rsid w:val="00990FF9"/>
    <w:rsid w:val="009913DB"/>
    <w:rsid w:val="00991857"/>
    <w:rsid w:val="00991A1B"/>
    <w:rsid w:val="00991AAC"/>
    <w:rsid w:val="00991AB1"/>
    <w:rsid w:val="00991C00"/>
    <w:rsid w:val="00991D0E"/>
    <w:rsid w:val="00991F8E"/>
    <w:rsid w:val="009920F0"/>
    <w:rsid w:val="0099245C"/>
    <w:rsid w:val="009927CE"/>
    <w:rsid w:val="0099293A"/>
    <w:rsid w:val="00992C94"/>
    <w:rsid w:val="00992E3B"/>
    <w:rsid w:val="0099332E"/>
    <w:rsid w:val="009934EB"/>
    <w:rsid w:val="00993617"/>
    <w:rsid w:val="00993D37"/>
    <w:rsid w:val="00993EF7"/>
    <w:rsid w:val="00994158"/>
    <w:rsid w:val="00994235"/>
    <w:rsid w:val="00994271"/>
    <w:rsid w:val="0099455B"/>
    <w:rsid w:val="00994630"/>
    <w:rsid w:val="009948A5"/>
    <w:rsid w:val="009949B1"/>
    <w:rsid w:val="00994C77"/>
    <w:rsid w:val="00994CA3"/>
    <w:rsid w:val="00994F62"/>
    <w:rsid w:val="00995194"/>
    <w:rsid w:val="009951E1"/>
    <w:rsid w:val="009953FD"/>
    <w:rsid w:val="00995601"/>
    <w:rsid w:val="00995A7E"/>
    <w:rsid w:val="009961EF"/>
    <w:rsid w:val="00996219"/>
    <w:rsid w:val="0099701D"/>
    <w:rsid w:val="00997127"/>
    <w:rsid w:val="00997AD6"/>
    <w:rsid w:val="00997B64"/>
    <w:rsid w:val="00997BCF"/>
    <w:rsid w:val="00997E51"/>
    <w:rsid w:val="00997F08"/>
    <w:rsid w:val="00997F64"/>
    <w:rsid w:val="009A00AC"/>
    <w:rsid w:val="009A0532"/>
    <w:rsid w:val="009A0874"/>
    <w:rsid w:val="009A0A70"/>
    <w:rsid w:val="009A0ABE"/>
    <w:rsid w:val="009A0CA0"/>
    <w:rsid w:val="009A1050"/>
    <w:rsid w:val="009A137F"/>
    <w:rsid w:val="009A13A5"/>
    <w:rsid w:val="009A176F"/>
    <w:rsid w:val="009A18B6"/>
    <w:rsid w:val="009A1B98"/>
    <w:rsid w:val="009A1C37"/>
    <w:rsid w:val="009A1C87"/>
    <w:rsid w:val="009A1DAF"/>
    <w:rsid w:val="009A1EDC"/>
    <w:rsid w:val="009A1FEF"/>
    <w:rsid w:val="009A25E5"/>
    <w:rsid w:val="009A297C"/>
    <w:rsid w:val="009A2BAC"/>
    <w:rsid w:val="009A2E5F"/>
    <w:rsid w:val="009A2F4E"/>
    <w:rsid w:val="009A3135"/>
    <w:rsid w:val="009A32FC"/>
    <w:rsid w:val="009A3775"/>
    <w:rsid w:val="009A3A19"/>
    <w:rsid w:val="009A3D27"/>
    <w:rsid w:val="009A3F4B"/>
    <w:rsid w:val="009A3F74"/>
    <w:rsid w:val="009A400A"/>
    <w:rsid w:val="009A4073"/>
    <w:rsid w:val="009A40C5"/>
    <w:rsid w:val="009A4254"/>
    <w:rsid w:val="009A4303"/>
    <w:rsid w:val="009A4360"/>
    <w:rsid w:val="009A4874"/>
    <w:rsid w:val="009A4896"/>
    <w:rsid w:val="009A49A6"/>
    <w:rsid w:val="009A4D6E"/>
    <w:rsid w:val="009A4F10"/>
    <w:rsid w:val="009A56D5"/>
    <w:rsid w:val="009A570C"/>
    <w:rsid w:val="009A577D"/>
    <w:rsid w:val="009A579A"/>
    <w:rsid w:val="009A5A41"/>
    <w:rsid w:val="009A5C6F"/>
    <w:rsid w:val="009A5F39"/>
    <w:rsid w:val="009A5FDA"/>
    <w:rsid w:val="009A6303"/>
    <w:rsid w:val="009A6421"/>
    <w:rsid w:val="009A6801"/>
    <w:rsid w:val="009A687E"/>
    <w:rsid w:val="009A68E3"/>
    <w:rsid w:val="009A6F01"/>
    <w:rsid w:val="009A6FB8"/>
    <w:rsid w:val="009A7215"/>
    <w:rsid w:val="009A7652"/>
    <w:rsid w:val="009A76BB"/>
    <w:rsid w:val="009A7EA7"/>
    <w:rsid w:val="009B024F"/>
    <w:rsid w:val="009B0313"/>
    <w:rsid w:val="009B05B0"/>
    <w:rsid w:val="009B06D8"/>
    <w:rsid w:val="009B086A"/>
    <w:rsid w:val="009B0AC5"/>
    <w:rsid w:val="009B0F45"/>
    <w:rsid w:val="009B0F49"/>
    <w:rsid w:val="009B0FB6"/>
    <w:rsid w:val="009B1224"/>
    <w:rsid w:val="009B186D"/>
    <w:rsid w:val="009B19AE"/>
    <w:rsid w:val="009B1AD9"/>
    <w:rsid w:val="009B223A"/>
    <w:rsid w:val="009B2699"/>
    <w:rsid w:val="009B282A"/>
    <w:rsid w:val="009B3004"/>
    <w:rsid w:val="009B308A"/>
    <w:rsid w:val="009B30AF"/>
    <w:rsid w:val="009B3521"/>
    <w:rsid w:val="009B3541"/>
    <w:rsid w:val="009B3667"/>
    <w:rsid w:val="009B3714"/>
    <w:rsid w:val="009B38EA"/>
    <w:rsid w:val="009B3BB7"/>
    <w:rsid w:val="009B3D72"/>
    <w:rsid w:val="009B4384"/>
    <w:rsid w:val="009B44E4"/>
    <w:rsid w:val="009B4734"/>
    <w:rsid w:val="009B477D"/>
    <w:rsid w:val="009B4815"/>
    <w:rsid w:val="009B4D1A"/>
    <w:rsid w:val="009B51F6"/>
    <w:rsid w:val="009B54B5"/>
    <w:rsid w:val="009B5CFE"/>
    <w:rsid w:val="009B5D95"/>
    <w:rsid w:val="009B5F2C"/>
    <w:rsid w:val="009B601C"/>
    <w:rsid w:val="009B633C"/>
    <w:rsid w:val="009B6428"/>
    <w:rsid w:val="009B64D4"/>
    <w:rsid w:val="009B6B3F"/>
    <w:rsid w:val="009B6BFE"/>
    <w:rsid w:val="009B6D47"/>
    <w:rsid w:val="009B6E7F"/>
    <w:rsid w:val="009B6E95"/>
    <w:rsid w:val="009B7537"/>
    <w:rsid w:val="009B7554"/>
    <w:rsid w:val="009B784B"/>
    <w:rsid w:val="009B7FA1"/>
    <w:rsid w:val="009C0495"/>
    <w:rsid w:val="009C0CDC"/>
    <w:rsid w:val="009C0E92"/>
    <w:rsid w:val="009C1391"/>
    <w:rsid w:val="009C17C1"/>
    <w:rsid w:val="009C185E"/>
    <w:rsid w:val="009C19DD"/>
    <w:rsid w:val="009C1B66"/>
    <w:rsid w:val="009C1BBA"/>
    <w:rsid w:val="009C1BE4"/>
    <w:rsid w:val="009C1F9C"/>
    <w:rsid w:val="009C1F9D"/>
    <w:rsid w:val="009C2145"/>
    <w:rsid w:val="009C21D3"/>
    <w:rsid w:val="009C253A"/>
    <w:rsid w:val="009C293F"/>
    <w:rsid w:val="009C2FF7"/>
    <w:rsid w:val="009C35AA"/>
    <w:rsid w:val="009C3720"/>
    <w:rsid w:val="009C391D"/>
    <w:rsid w:val="009C3DAC"/>
    <w:rsid w:val="009C3EF1"/>
    <w:rsid w:val="009C4000"/>
    <w:rsid w:val="009C4104"/>
    <w:rsid w:val="009C4185"/>
    <w:rsid w:val="009C4292"/>
    <w:rsid w:val="009C46EE"/>
    <w:rsid w:val="009C46F7"/>
    <w:rsid w:val="009C4CF1"/>
    <w:rsid w:val="009C4FB2"/>
    <w:rsid w:val="009C506E"/>
    <w:rsid w:val="009C50CC"/>
    <w:rsid w:val="009C51B6"/>
    <w:rsid w:val="009C527B"/>
    <w:rsid w:val="009C52A7"/>
    <w:rsid w:val="009C5535"/>
    <w:rsid w:val="009C56E4"/>
    <w:rsid w:val="009C5B78"/>
    <w:rsid w:val="009C6043"/>
    <w:rsid w:val="009C6204"/>
    <w:rsid w:val="009C62E1"/>
    <w:rsid w:val="009C65EB"/>
    <w:rsid w:val="009C66ED"/>
    <w:rsid w:val="009C6824"/>
    <w:rsid w:val="009C6A06"/>
    <w:rsid w:val="009C6ADB"/>
    <w:rsid w:val="009C6BC1"/>
    <w:rsid w:val="009C6F92"/>
    <w:rsid w:val="009C7570"/>
    <w:rsid w:val="009C7822"/>
    <w:rsid w:val="009C78E7"/>
    <w:rsid w:val="009C7F9E"/>
    <w:rsid w:val="009D0267"/>
    <w:rsid w:val="009D033F"/>
    <w:rsid w:val="009D0351"/>
    <w:rsid w:val="009D07D5"/>
    <w:rsid w:val="009D08FC"/>
    <w:rsid w:val="009D0AC2"/>
    <w:rsid w:val="009D0B59"/>
    <w:rsid w:val="009D0EC2"/>
    <w:rsid w:val="009D10A8"/>
    <w:rsid w:val="009D10C6"/>
    <w:rsid w:val="009D1278"/>
    <w:rsid w:val="009D1A9F"/>
    <w:rsid w:val="009D1AC7"/>
    <w:rsid w:val="009D1B74"/>
    <w:rsid w:val="009D1F42"/>
    <w:rsid w:val="009D202B"/>
    <w:rsid w:val="009D2234"/>
    <w:rsid w:val="009D23AC"/>
    <w:rsid w:val="009D23F9"/>
    <w:rsid w:val="009D27FE"/>
    <w:rsid w:val="009D289E"/>
    <w:rsid w:val="009D29CA"/>
    <w:rsid w:val="009D2A38"/>
    <w:rsid w:val="009D2C56"/>
    <w:rsid w:val="009D2FF5"/>
    <w:rsid w:val="009D3264"/>
    <w:rsid w:val="009D3730"/>
    <w:rsid w:val="009D3BE0"/>
    <w:rsid w:val="009D3C52"/>
    <w:rsid w:val="009D3DA4"/>
    <w:rsid w:val="009D3DB3"/>
    <w:rsid w:val="009D3E7E"/>
    <w:rsid w:val="009D427C"/>
    <w:rsid w:val="009D43E9"/>
    <w:rsid w:val="009D4792"/>
    <w:rsid w:val="009D48E2"/>
    <w:rsid w:val="009D4A24"/>
    <w:rsid w:val="009D4B28"/>
    <w:rsid w:val="009D4D9F"/>
    <w:rsid w:val="009D4F05"/>
    <w:rsid w:val="009D51A0"/>
    <w:rsid w:val="009D527F"/>
    <w:rsid w:val="009D53FC"/>
    <w:rsid w:val="009D566B"/>
    <w:rsid w:val="009D5855"/>
    <w:rsid w:val="009D58C3"/>
    <w:rsid w:val="009D59E3"/>
    <w:rsid w:val="009D5B6F"/>
    <w:rsid w:val="009D5DD0"/>
    <w:rsid w:val="009D5E15"/>
    <w:rsid w:val="009D616B"/>
    <w:rsid w:val="009D625D"/>
    <w:rsid w:val="009D67CC"/>
    <w:rsid w:val="009D689B"/>
    <w:rsid w:val="009D68A9"/>
    <w:rsid w:val="009D6A6F"/>
    <w:rsid w:val="009D6A8C"/>
    <w:rsid w:val="009D7312"/>
    <w:rsid w:val="009D77C4"/>
    <w:rsid w:val="009D78D5"/>
    <w:rsid w:val="009D7A79"/>
    <w:rsid w:val="009D7B53"/>
    <w:rsid w:val="009D7C52"/>
    <w:rsid w:val="009E00C9"/>
    <w:rsid w:val="009E0948"/>
    <w:rsid w:val="009E0D57"/>
    <w:rsid w:val="009E0DBC"/>
    <w:rsid w:val="009E0EDA"/>
    <w:rsid w:val="009E1044"/>
    <w:rsid w:val="009E1101"/>
    <w:rsid w:val="009E113B"/>
    <w:rsid w:val="009E1162"/>
    <w:rsid w:val="009E11EC"/>
    <w:rsid w:val="009E146D"/>
    <w:rsid w:val="009E16B8"/>
    <w:rsid w:val="009E171A"/>
    <w:rsid w:val="009E184D"/>
    <w:rsid w:val="009E1AF7"/>
    <w:rsid w:val="009E1CEC"/>
    <w:rsid w:val="009E2255"/>
    <w:rsid w:val="009E22CC"/>
    <w:rsid w:val="009E23EE"/>
    <w:rsid w:val="009E27EB"/>
    <w:rsid w:val="009E2B63"/>
    <w:rsid w:val="009E2B8C"/>
    <w:rsid w:val="009E2C6D"/>
    <w:rsid w:val="009E2CFE"/>
    <w:rsid w:val="009E2D65"/>
    <w:rsid w:val="009E2DDA"/>
    <w:rsid w:val="009E2F4A"/>
    <w:rsid w:val="009E2FBB"/>
    <w:rsid w:val="009E2FF2"/>
    <w:rsid w:val="009E357E"/>
    <w:rsid w:val="009E37E5"/>
    <w:rsid w:val="009E38D7"/>
    <w:rsid w:val="009E4103"/>
    <w:rsid w:val="009E457C"/>
    <w:rsid w:val="009E4597"/>
    <w:rsid w:val="009E46A5"/>
    <w:rsid w:val="009E470E"/>
    <w:rsid w:val="009E483D"/>
    <w:rsid w:val="009E48AC"/>
    <w:rsid w:val="009E48C8"/>
    <w:rsid w:val="009E490B"/>
    <w:rsid w:val="009E4953"/>
    <w:rsid w:val="009E4B85"/>
    <w:rsid w:val="009E4E8A"/>
    <w:rsid w:val="009E523F"/>
    <w:rsid w:val="009E528A"/>
    <w:rsid w:val="009E5E72"/>
    <w:rsid w:val="009E5FA1"/>
    <w:rsid w:val="009E6076"/>
    <w:rsid w:val="009E6398"/>
    <w:rsid w:val="009E63B7"/>
    <w:rsid w:val="009E64DA"/>
    <w:rsid w:val="009E66D5"/>
    <w:rsid w:val="009E68B8"/>
    <w:rsid w:val="009E6999"/>
    <w:rsid w:val="009E6A2C"/>
    <w:rsid w:val="009E6A39"/>
    <w:rsid w:val="009E6C87"/>
    <w:rsid w:val="009E6D90"/>
    <w:rsid w:val="009E6E22"/>
    <w:rsid w:val="009E7165"/>
    <w:rsid w:val="009E7611"/>
    <w:rsid w:val="009E7D7E"/>
    <w:rsid w:val="009F000D"/>
    <w:rsid w:val="009F00DF"/>
    <w:rsid w:val="009F02C1"/>
    <w:rsid w:val="009F02CD"/>
    <w:rsid w:val="009F02F8"/>
    <w:rsid w:val="009F031D"/>
    <w:rsid w:val="009F0347"/>
    <w:rsid w:val="009F078F"/>
    <w:rsid w:val="009F082F"/>
    <w:rsid w:val="009F086D"/>
    <w:rsid w:val="009F0961"/>
    <w:rsid w:val="009F0E61"/>
    <w:rsid w:val="009F1461"/>
    <w:rsid w:val="009F16B6"/>
    <w:rsid w:val="009F1712"/>
    <w:rsid w:val="009F198E"/>
    <w:rsid w:val="009F19CD"/>
    <w:rsid w:val="009F1A3E"/>
    <w:rsid w:val="009F2050"/>
    <w:rsid w:val="009F24A1"/>
    <w:rsid w:val="009F2E9F"/>
    <w:rsid w:val="009F3A53"/>
    <w:rsid w:val="009F3C55"/>
    <w:rsid w:val="009F3D22"/>
    <w:rsid w:val="009F3DE3"/>
    <w:rsid w:val="009F406A"/>
    <w:rsid w:val="009F414B"/>
    <w:rsid w:val="009F4259"/>
    <w:rsid w:val="009F445D"/>
    <w:rsid w:val="009F470B"/>
    <w:rsid w:val="009F4771"/>
    <w:rsid w:val="009F498B"/>
    <w:rsid w:val="009F49B2"/>
    <w:rsid w:val="009F4A1E"/>
    <w:rsid w:val="009F4B2E"/>
    <w:rsid w:val="009F4C85"/>
    <w:rsid w:val="009F4C9E"/>
    <w:rsid w:val="009F5095"/>
    <w:rsid w:val="009F51B4"/>
    <w:rsid w:val="009F520F"/>
    <w:rsid w:val="009F57F3"/>
    <w:rsid w:val="009F5827"/>
    <w:rsid w:val="009F58F1"/>
    <w:rsid w:val="009F5985"/>
    <w:rsid w:val="009F5B06"/>
    <w:rsid w:val="009F5B2B"/>
    <w:rsid w:val="009F5B97"/>
    <w:rsid w:val="009F620F"/>
    <w:rsid w:val="009F648B"/>
    <w:rsid w:val="009F6631"/>
    <w:rsid w:val="009F6D1C"/>
    <w:rsid w:val="009F6FBF"/>
    <w:rsid w:val="009F7637"/>
    <w:rsid w:val="009F77F7"/>
    <w:rsid w:val="009F79E2"/>
    <w:rsid w:val="00A00189"/>
    <w:rsid w:val="00A001D8"/>
    <w:rsid w:val="00A003EA"/>
    <w:rsid w:val="00A00988"/>
    <w:rsid w:val="00A009AD"/>
    <w:rsid w:val="00A00A80"/>
    <w:rsid w:val="00A015D4"/>
    <w:rsid w:val="00A015E6"/>
    <w:rsid w:val="00A01C43"/>
    <w:rsid w:val="00A01C99"/>
    <w:rsid w:val="00A01D7D"/>
    <w:rsid w:val="00A01E6B"/>
    <w:rsid w:val="00A02078"/>
    <w:rsid w:val="00A02439"/>
    <w:rsid w:val="00A02900"/>
    <w:rsid w:val="00A03027"/>
    <w:rsid w:val="00A0309F"/>
    <w:rsid w:val="00A03419"/>
    <w:rsid w:val="00A03814"/>
    <w:rsid w:val="00A03A93"/>
    <w:rsid w:val="00A03E8A"/>
    <w:rsid w:val="00A04116"/>
    <w:rsid w:val="00A04386"/>
    <w:rsid w:val="00A043C4"/>
    <w:rsid w:val="00A044C3"/>
    <w:rsid w:val="00A048D6"/>
    <w:rsid w:val="00A05069"/>
    <w:rsid w:val="00A050F3"/>
    <w:rsid w:val="00A051C1"/>
    <w:rsid w:val="00A052E8"/>
    <w:rsid w:val="00A05507"/>
    <w:rsid w:val="00A0585D"/>
    <w:rsid w:val="00A058C2"/>
    <w:rsid w:val="00A05CEB"/>
    <w:rsid w:val="00A064EA"/>
    <w:rsid w:val="00A06D73"/>
    <w:rsid w:val="00A0731A"/>
    <w:rsid w:val="00A07340"/>
    <w:rsid w:val="00A07350"/>
    <w:rsid w:val="00A073DD"/>
    <w:rsid w:val="00A07442"/>
    <w:rsid w:val="00A076FC"/>
    <w:rsid w:val="00A079B1"/>
    <w:rsid w:val="00A07AB8"/>
    <w:rsid w:val="00A07C0F"/>
    <w:rsid w:val="00A07CF5"/>
    <w:rsid w:val="00A07D7A"/>
    <w:rsid w:val="00A07FEF"/>
    <w:rsid w:val="00A10051"/>
    <w:rsid w:val="00A1005C"/>
    <w:rsid w:val="00A104E0"/>
    <w:rsid w:val="00A10579"/>
    <w:rsid w:val="00A106A7"/>
    <w:rsid w:val="00A1099F"/>
    <w:rsid w:val="00A10A95"/>
    <w:rsid w:val="00A10AB8"/>
    <w:rsid w:val="00A10B4D"/>
    <w:rsid w:val="00A10D1F"/>
    <w:rsid w:val="00A10D3F"/>
    <w:rsid w:val="00A10FE0"/>
    <w:rsid w:val="00A10FE5"/>
    <w:rsid w:val="00A110FF"/>
    <w:rsid w:val="00A1163F"/>
    <w:rsid w:val="00A11675"/>
    <w:rsid w:val="00A11820"/>
    <w:rsid w:val="00A119A6"/>
    <w:rsid w:val="00A11E4C"/>
    <w:rsid w:val="00A12220"/>
    <w:rsid w:val="00A1223D"/>
    <w:rsid w:val="00A122C1"/>
    <w:rsid w:val="00A127ED"/>
    <w:rsid w:val="00A128BB"/>
    <w:rsid w:val="00A128F1"/>
    <w:rsid w:val="00A12C9C"/>
    <w:rsid w:val="00A12CC4"/>
    <w:rsid w:val="00A12D05"/>
    <w:rsid w:val="00A130BC"/>
    <w:rsid w:val="00A133F2"/>
    <w:rsid w:val="00A133F9"/>
    <w:rsid w:val="00A1356A"/>
    <w:rsid w:val="00A13670"/>
    <w:rsid w:val="00A1381E"/>
    <w:rsid w:val="00A13822"/>
    <w:rsid w:val="00A13831"/>
    <w:rsid w:val="00A1389F"/>
    <w:rsid w:val="00A13AC4"/>
    <w:rsid w:val="00A13B80"/>
    <w:rsid w:val="00A13BB4"/>
    <w:rsid w:val="00A13BD4"/>
    <w:rsid w:val="00A13DC7"/>
    <w:rsid w:val="00A142C5"/>
    <w:rsid w:val="00A145B6"/>
    <w:rsid w:val="00A14A8A"/>
    <w:rsid w:val="00A14B28"/>
    <w:rsid w:val="00A14BC9"/>
    <w:rsid w:val="00A14D8F"/>
    <w:rsid w:val="00A14EF5"/>
    <w:rsid w:val="00A1501B"/>
    <w:rsid w:val="00A1599A"/>
    <w:rsid w:val="00A15B2F"/>
    <w:rsid w:val="00A160F8"/>
    <w:rsid w:val="00A16751"/>
    <w:rsid w:val="00A1677B"/>
    <w:rsid w:val="00A1693F"/>
    <w:rsid w:val="00A16A41"/>
    <w:rsid w:val="00A16E6E"/>
    <w:rsid w:val="00A171DC"/>
    <w:rsid w:val="00A17575"/>
    <w:rsid w:val="00A17AC4"/>
    <w:rsid w:val="00A17C95"/>
    <w:rsid w:val="00A17CB4"/>
    <w:rsid w:val="00A17E74"/>
    <w:rsid w:val="00A17FB6"/>
    <w:rsid w:val="00A204D6"/>
    <w:rsid w:val="00A20591"/>
    <w:rsid w:val="00A205E6"/>
    <w:rsid w:val="00A20699"/>
    <w:rsid w:val="00A2076C"/>
    <w:rsid w:val="00A20822"/>
    <w:rsid w:val="00A20AEC"/>
    <w:rsid w:val="00A20B69"/>
    <w:rsid w:val="00A20DAE"/>
    <w:rsid w:val="00A211CA"/>
    <w:rsid w:val="00A21413"/>
    <w:rsid w:val="00A214AD"/>
    <w:rsid w:val="00A2175B"/>
    <w:rsid w:val="00A21B73"/>
    <w:rsid w:val="00A21C2C"/>
    <w:rsid w:val="00A21E5D"/>
    <w:rsid w:val="00A221EB"/>
    <w:rsid w:val="00A2220B"/>
    <w:rsid w:val="00A22300"/>
    <w:rsid w:val="00A22452"/>
    <w:rsid w:val="00A2246B"/>
    <w:rsid w:val="00A224C6"/>
    <w:rsid w:val="00A225E4"/>
    <w:rsid w:val="00A226AC"/>
    <w:rsid w:val="00A226BA"/>
    <w:rsid w:val="00A2271A"/>
    <w:rsid w:val="00A228E7"/>
    <w:rsid w:val="00A229FA"/>
    <w:rsid w:val="00A22A05"/>
    <w:rsid w:val="00A22C71"/>
    <w:rsid w:val="00A22DC0"/>
    <w:rsid w:val="00A22E72"/>
    <w:rsid w:val="00A2322B"/>
    <w:rsid w:val="00A23A6E"/>
    <w:rsid w:val="00A23AA7"/>
    <w:rsid w:val="00A23BBC"/>
    <w:rsid w:val="00A2454D"/>
    <w:rsid w:val="00A24984"/>
    <w:rsid w:val="00A24A32"/>
    <w:rsid w:val="00A24A34"/>
    <w:rsid w:val="00A24B6B"/>
    <w:rsid w:val="00A24F3E"/>
    <w:rsid w:val="00A2500D"/>
    <w:rsid w:val="00A2504E"/>
    <w:rsid w:val="00A25144"/>
    <w:rsid w:val="00A25149"/>
    <w:rsid w:val="00A251D3"/>
    <w:rsid w:val="00A251EF"/>
    <w:rsid w:val="00A2526E"/>
    <w:rsid w:val="00A25338"/>
    <w:rsid w:val="00A25558"/>
    <w:rsid w:val="00A25592"/>
    <w:rsid w:val="00A256A8"/>
    <w:rsid w:val="00A25A56"/>
    <w:rsid w:val="00A25BB6"/>
    <w:rsid w:val="00A25CE2"/>
    <w:rsid w:val="00A25D13"/>
    <w:rsid w:val="00A25D32"/>
    <w:rsid w:val="00A25D39"/>
    <w:rsid w:val="00A25DC9"/>
    <w:rsid w:val="00A26067"/>
    <w:rsid w:val="00A263DC"/>
    <w:rsid w:val="00A26407"/>
    <w:rsid w:val="00A26690"/>
    <w:rsid w:val="00A266FF"/>
    <w:rsid w:val="00A2671D"/>
    <w:rsid w:val="00A267B6"/>
    <w:rsid w:val="00A26C5A"/>
    <w:rsid w:val="00A26D63"/>
    <w:rsid w:val="00A27080"/>
    <w:rsid w:val="00A270F3"/>
    <w:rsid w:val="00A2711A"/>
    <w:rsid w:val="00A27357"/>
    <w:rsid w:val="00A2748F"/>
    <w:rsid w:val="00A274F8"/>
    <w:rsid w:val="00A27A23"/>
    <w:rsid w:val="00A27DFB"/>
    <w:rsid w:val="00A27E86"/>
    <w:rsid w:val="00A30983"/>
    <w:rsid w:val="00A30984"/>
    <w:rsid w:val="00A316FA"/>
    <w:rsid w:val="00A317A8"/>
    <w:rsid w:val="00A318F8"/>
    <w:rsid w:val="00A31AAD"/>
    <w:rsid w:val="00A32268"/>
    <w:rsid w:val="00A32439"/>
    <w:rsid w:val="00A32488"/>
    <w:rsid w:val="00A32559"/>
    <w:rsid w:val="00A326C9"/>
    <w:rsid w:val="00A327F1"/>
    <w:rsid w:val="00A328EC"/>
    <w:rsid w:val="00A32CE4"/>
    <w:rsid w:val="00A32D2C"/>
    <w:rsid w:val="00A32FE3"/>
    <w:rsid w:val="00A3331F"/>
    <w:rsid w:val="00A33386"/>
    <w:rsid w:val="00A33796"/>
    <w:rsid w:val="00A33B28"/>
    <w:rsid w:val="00A33D2F"/>
    <w:rsid w:val="00A33F96"/>
    <w:rsid w:val="00A340E2"/>
    <w:rsid w:val="00A342D4"/>
    <w:rsid w:val="00A34507"/>
    <w:rsid w:val="00A34662"/>
    <w:rsid w:val="00A346ED"/>
    <w:rsid w:val="00A3498F"/>
    <w:rsid w:val="00A34A8F"/>
    <w:rsid w:val="00A34DB8"/>
    <w:rsid w:val="00A34EAD"/>
    <w:rsid w:val="00A356A2"/>
    <w:rsid w:val="00A356C3"/>
    <w:rsid w:val="00A357F9"/>
    <w:rsid w:val="00A35865"/>
    <w:rsid w:val="00A3599D"/>
    <w:rsid w:val="00A35C0E"/>
    <w:rsid w:val="00A35C31"/>
    <w:rsid w:val="00A35FEA"/>
    <w:rsid w:val="00A3683E"/>
    <w:rsid w:val="00A368A2"/>
    <w:rsid w:val="00A368BB"/>
    <w:rsid w:val="00A36D37"/>
    <w:rsid w:val="00A36E7D"/>
    <w:rsid w:val="00A37065"/>
    <w:rsid w:val="00A37139"/>
    <w:rsid w:val="00A3719F"/>
    <w:rsid w:val="00A37252"/>
    <w:rsid w:val="00A373DE"/>
    <w:rsid w:val="00A37809"/>
    <w:rsid w:val="00A37A0B"/>
    <w:rsid w:val="00A37B60"/>
    <w:rsid w:val="00A37C45"/>
    <w:rsid w:val="00A37C4E"/>
    <w:rsid w:val="00A37EBC"/>
    <w:rsid w:val="00A40376"/>
    <w:rsid w:val="00A40A6E"/>
    <w:rsid w:val="00A40D03"/>
    <w:rsid w:val="00A40E39"/>
    <w:rsid w:val="00A40EB7"/>
    <w:rsid w:val="00A41130"/>
    <w:rsid w:val="00A411FF"/>
    <w:rsid w:val="00A4130F"/>
    <w:rsid w:val="00A41D86"/>
    <w:rsid w:val="00A42277"/>
    <w:rsid w:val="00A423C8"/>
    <w:rsid w:val="00A4261D"/>
    <w:rsid w:val="00A4276A"/>
    <w:rsid w:val="00A42812"/>
    <w:rsid w:val="00A42AA8"/>
    <w:rsid w:val="00A42C26"/>
    <w:rsid w:val="00A42F46"/>
    <w:rsid w:val="00A4300F"/>
    <w:rsid w:val="00A433C9"/>
    <w:rsid w:val="00A43797"/>
    <w:rsid w:val="00A439D0"/>
    <w:rsid w:val="00A439E2"/>
    <w:rsid w:val="00A43B2C"/>
    <w:rsid w:val="00A43C95"/>
    <w:rsid w:val="00A43DDE"/>
    <w:rsid w:val="00A43F50"/>
    <w:rsid w:val="00A4401C"/>
    <w:rsid w:val="00A44027"/>
    <w:rsid w:val="00A4408A"/>
    <w:rsid w:val="00A444D7"/>
    <w:rsid w:val="00A44DC5"/>
    <w:rsid w:val="00A44DEC"/>
    <w:rsid w:val="00A44F1B"/>
    <w:rsid w:val="00A45092"/>
    <w:rsid w:val="00A4526E"/>
    <w:rsid w:val="00A4542F"/>
    <w:rsid w:val="00A45948"/>
    <w:rsid w:val="00A459F5"/>
    <w:rsid w:val="00A45C7C"/>
    <w:rsid w:val="00A4608A"/>
    <w:rsid w:val="00A46119"/>
    <w:rsid w:val="00A461A3"/>
    <w:rsid w:val="00A4639C"/>
    <w:rsid w:val="00A46659"/>
    <w:rsid w:val="00A468D5"/>
    <w:rsid w:val="00A46AEB"/>
    <w:rsid w:val="00A46EA7"/>
    <w:rsid w:val="00A47104"/>
    <w:rsid w:val="00A47112"/>
    <w:rsid w:val="00A4723F"/>
    <w:rsid w:val="00A47515"/>
    <w:rsid w:val="00A475E3"/>
    <w:rsid w:val="00A477A7"/>
    <w:rsid w:val="00A479B3"/>
    <w:rsid w:val="00A500D5"/>
    <w:rsid w:val="00A501E0"/>
    <w:rsid w:val="00A50245"/>
    <w:rsid w:val="00A5050E"/>
    <w:rsid w:val="00A5052A"/>
    <w:rsid w:val="00A50572"/>
    <w:rsid w:val="00A507BE"/>
    <w:rsid w:val="00A5091F"/>
    <w:rsid w:val="00A50B9E"/>
    <w:rsid w:val="00A50D35"/>
    <w:rsid w:val="00A50FEB"/>
    <w:rsid w:val="00A51186"/>
    <w:rsid w:val="00A512AD"/>
    <w:rsid w:val="00A513B7"/>
    <w:rsid w:val="00A515C3"/>
    <w:rsid w:val="00A517A8"/>
    <w:rsid w:val="00A517BA"/>
    <w:rsid w:val="00A51802"/>
    <w:rsid w:val="00A5183A"/>
    <w:rsid w:val="00A5191B"/>
    <w:rsid w:val="00A519DB"/>
    <w:rsid w:val="00A51A25"/>
    <w:rsid w:val="00A51B37"/>
    <w:rsid w:val="00A51FE1"/>
    <w:rsid w:val="00A52079"/>
    <w:rsid w:val="00A52093"/>
    <w:rsid w:val="00A522CD"/>
    <w:rsid w:val="00A526A3"/>
    <w:rsid w:val="00A52868"/>
    <w:rsid w:val="00A53185"/>
    <w:rsid w:val="00A533E3"/>
    <w:rsid w:val="00A5351A"/>
    <w:rsid w:val="00A538CC"/>
    <w:rsid w:val="00A53BB7"/>
    <w:rsid w:val="00A53C76"/>
    <w:rsid w:val="00A5435C"/>
    <w:rsid w:val="00A5476A"/>
    <w:rsid w:val="00A547F3"/>
    <w:rsid w:val="00A548E9"/>
    <w:rsid w:val="00A549E6"/>
    <w:rsid w:val="00A54A1B"/>
    <w:rsid w:val="00A54CE0"/>
    <w:rsid w:val="00A54EFF"/>
    <w:rsid w:val="00A5528C"/>
    <w:rsid w:val="00A552D5"/>
    <w:rsid w:val="00A553B1"/>
    <w:rsid w:val="00A553CF"/>
    <w:rsid w:val="00A55405"/>
    <w:rsid w:val="00A556AD"/>
    <w:rsid w:val="00A55900"/>
    <w:rsid w:val="00A55E43"/>
    <w:rsid w:val="00A55E82"/>
    <w:rsid w:val="00A56482"/>
    <w:rsid w:val="00A5651C"/>
    <w:rsid w:val="00A56672"/>
    <w:rsid w:val="00A566A3"/>
    <w:rsid w:val="00A56AEC"/>
    <w:rsid w:val="00A56ED5"/>
    <w:rsid w:val="00A56FC4"/>
    <w:rsid w:val="00A56FF9"/>
    <w:rsid w:val="00A57048"/>
    <w:rsid w:val="00A5719E"/>
    <w:rsid w:val="00A573B9"/>
    <w:rsid w:val="00A57537"/>
    <w:rsid w:val="00A5784E"/>
    <w:rsid w:val="00A57891"/>
    <w:rsid w:val="00A578B9"/>
    <w:rsid w:val="00A579C2"/>
    <w:rsid w:val="00A57A57"/>
    <w:rsid w:val="00A57BC4"/>
    <w:rsid w:val="00A57CCB"/>
    <w:rsid w:val="00A57CE8"/>
    <w:rsid w:val="00A57F4A"/>
    <w:rsid w:val="00A57F7D"/>
    <w:rsid w:val="00A6025C"/>
    <w:rsid w:val="00A60311"/>
    <w:rsid w:val="00A60499"/>
    <w:rsid w:val="00A60747"/>
    <w:rsid w:val="00A60826"/>
    <w:rsid w:val="00A608F7"/>
    <w:rsid w:val="00A60D71"/>
    <w:rsid w:val="00A60F56"/>
    <w:rsid w:val="00A60F6B"/>
    <w:rsid w:val="00A60F77"/>
    <w:rsid w:val="00A60F92"/>
    <w:rsid w:val="00A611CF"/>
    <w:rsid w:val="00A61632"/>
    <w:rsid w:val="00A61959"/>
    <w:rsid w:val="00A619C8"/>
    <w:rsid w:val="00A61E9C"/>
    <w:rsid w:val="00A6213D"/>
    <w:rsid w:val="00A621B7"/>
    <w:rsid w:val="00A6250E"/>
    <w:rsid w:val="00A62A60"/>
    <w:rsid w:val="00A62DBB"/>
    <w:rsid w:val="00A62ED9"/>
    <w:rsid w:val="00A63024"/>
    <w:rsid w:val="00A63367"/>
    <w:rsid w:val="00A63666"/>
    <w:rsid w:val="00A6386F"/>
    <w:rsid w:val="00A63A71"/>
    <w:rsid w:val="00A63E66"/>
    <w:rsid w:val="00A63FFE"/>
    <w:rsid w:val="00A6446E"/>
    <w:rsid w:val="00A6463D"/>
    <w:rsid w:val="00A64764"/>
    <w:rsid w:val="00A649B6"/>
    <w:rsid w:val="00A64AE2"/>
    <w:rsid w:val="00A64B17"/>
    <w:rsid w:val="00A64B6F"/>
    <w:rsid w:val="00A650A5"/>
    <w:rsid w:val="00A65282"/>
    <w:rsid w:val="00A652FA"/>
    <w:rsid w:val="00A6534F"/>
    <w:rsid w:val="00A65397"/>
    <w:rsid w:val="00A65441"/>
    <w:rsid w:val="00A65685"/>
    <w:rsid w:val="00A6579D"/>
    <w:rsid w:val="00A65B2C"/>
    <w:rsid w:val="00A65D8E"/>
    <w:rsid w:val="00A65E33"/>
    <w:rsid w:val="00A664E6"/>
    <w:rsid w:val="00A66684"/>
    <w:rsid w:val="00A668E9"/>
    <w:rsid w:val="00A66980"/>
    <w:rsid w:val="00A66AA1"/>
    <w:rsid w:val="00A6701B"/>
    <w:rsid w:val="00A670AF"/>
    <w:rsid w:val="00A67823"/>
    <w:rsid w:val="00A679A9"/>
    <w:rsid w:val="00A67EB5"/>
    <w:rsid w:val="00A70057"/>
    <w:rsid w:val="00A701BD"/>
    <w:rsid w:val="00A701C1"/>
    <w:rsid w:val="00A70346"/>
    <w:rsid w:val="00A7060E"/>
    <w:rsid w:val="00A706A2"/>
    <w:rsid w:val="00A70740"/>
    <w:rsid w:val="00A70CF2"/>
    <w:rsid w:val="00A70D2E"/>
    <w:rsid w:val="00A70D68"/>
    <w:rsid w:val="00A70D83"/>
    <w:rsid w:val="00A70DBF"/>
    <w:rsid w:val="00A70E62"/>
    <w:rsid w:val="00A71148"/>
    <w:rsid w:val="00A71421"/>
    <w:rsid w:val="00A71920"/>
    <w:rsid w:val="00A71E4B"/>
    <w:rsid w:val="00A71F90"/>
    <w:rsid w:val="00A72087"/>
    <w:rsid w:val="00A7210F"/>
    <w:rsid w:val="00A721C0"/>
    <w:rsid w:val="00A72560"/>
    <w:rsid w:val="00A7278F"/>
    <w:rsid w:val="00A729E2"/>
    <w:rsid w:val="00A72AD5"/>
    <w:rsid w:val="00A73206"/>
    <w:rsid w:val="00A73247"/>
    <w:rsid w:val="00A7328D"/>
    <w:rsid w:val="00A733DD"/>
    <w:rsid w:val="00A7344D"/>
    <w:rsid w:val="00A734E0"/>
    <w:rsid w:val="00A73508"/>
    <w:rsid w:val="00A7382C"/>
    <w:rsid w:val="00A73965"/>
    <w:rsid w:val="00A73A1A"/>
    <w:rsid w:val="00A73CAC"/>
    <w:rsid w:val="00A73D70"/>
    <w:rsid w:val="00A73DFA"/>
    <w:rsid w:val="00A73E3D"/>
    <w:rsid w:val="00A73EA4"/>
    <w:rsid w:val="00A74531"/>
    <w:rsid w:val="00A745CA"/>
    <w:rsid w:val="00A74873"/>
    <w:rsid w:val="00A748D2"/>
    <w:rsid w:val="00A74A6B"/>
    <w:rsid w:val="00A74B01"/>
    <w:rsid w:val="00A74C60"/>
    <w:rsid w:val="00A7503A"/>
    <w:rsid w:val="00A7527C"/>
    <w:rsid w:val="00A753FB"/>
    <w:rsid w:val="00A75A2C"/>
    <w:rsid w:val="00A75B1D"/>
    <w:rsid w:val="00A75BA5"/>
    <w:rsid w:val="00A75C4E"/>
    <w:rsid w:val="00A75DFD"/>
    <w:rsid w:val="00A75E08"/>
    <w:rsid w:val="00A75FA2"/>
    <w:rsid w:val="00A76072"/>
    <w:rsid w:val="00A76160"/>
    <w:rsid w:val="00A7619D"/>
    <w:rsid w:val="00A76299"/>
    <w:rsid w:val="00A76449"/>
    <w:rsid w:val="00A7653C"/>
    <w:rsid w:val="00A765BB"/>
    <w:rsid w:val="00A768BC"/>
    <w:rsid w:val="00A76B91"/>
    <w:rsid w:val="00A77286"/>
    <w:rsid w:val="00A77844"/>
    <w:rsid w:val="00A77B87"/>
    <w:rsid w:val="00A77C78"/>
    <w:rsid w:val="00A77EF5"/>
    <w:rsid w:val="00A77FDD"/>
    <w:rsid w:val="00A80072"/>
    <w:rsid w:val="00A800C2"/>
    <w:rsid w:val="00A803AC"/>
    <w:rsid w:val="00A80538"/>
    <w:rsid w:val="00A8066D"/>
    <w:rsid w:val="00A808A6"/>
    <w:rsid w:val="00A80A67"/>
    <w:rsid w:val="00A80ABB"/>
    <w:rsid w:val="00A80B1F"/>
    <w:rsid w:val="00A80D3C"/>
    <w:rsid w:val="00A810EF"/>
    <w:rsid w:val="00A810F3"/>
    <w:rsid w:val="00A812A2"/>
    <w:rsid w:val="00A815F9"/>
    <w:rsid w:val="00A817B8"/>
    <w:rsid w:val="00A81A41"/>
    <w:rsid w:val="00A81B21"/>
    <w:rsid w:val="00A81CEA"/>
    <w:rsid w:val="00A825A1"/>
    <w:rsid w:val="00A82601"/>
    <w:rsid w:val="00A82672"/>
    <w:rsid w:val="00A826EF"/>
    <w:rsid w:val="00A82791"/>
    <w:rsid w:val="00A829D8"/>
    <w:rsid w:val="00A829FD"/>
    <w:rsid w:val="00A82A21"/>
    <w:rsid w:val="00A8326E"/>
    <w:rsid w:val="00A83434"/>
    <w:rsid w:val="00A838BD"/>
    <w:rsid w:val="00A83A13"/>
    <w:rsid w:val="00A83AB4"/>
    <w:rsid w:val="00A83BFC"/>
    <w:rsid w:val="00A83C7F"/>
    <w:rsid w:val="00A83DE1"/>
    <w:rsid w:val="00A83E5A"/>
    <w:rsid w:val="00A83E84"/>
    <w:rsid w:val="00A83FA4"/>
    <w:rsid w:val="00A845C6"/>
    <w:rsid w:val="00A845CF"/>
    <w:rsid w:val="00A8472F"/>
    <w:rsid w:val="00A8487F"/>
    <w:rsid w:val="00A84A08"/>
    <w:rsid w:val="00A84D5B"/>
    <w:rsid w:val="00A84E59"/>
    <w:rsid w:val="00A84E5A"/>
    <w:rsid w:val="00A850C5"/>
    <w:rsid w:val="00A850DC"/>
    <w:rsid w:val="00A85228"/>
    <w:rsid w:val="00A85665"/>
    <w:rsid w:val="00A85D70"/>
    <w:rsid w:val="00A860EE"/>
    <w:rsid w:val="00A8611A"/>
    <w:rsid w:val="00A8622B"/>
    <w:rsid w:val="00A866E5"/>
    <w:rsid w:val="00A86B05"/>
    <w:rsid w:val="00A86C06"/>
    <w:rsid w:val="00A870C5"/>
    <w:rsid w:val="00A873C0"/>
    <w:rsid w:val="00A87409"/>
    <w:rsid w:val="00A876BE"/>
    <w:rsid w:val="00A8776E"/>
    <w:rsid w:val="00A87C64"/>
    <w:rsid w:val="00A87CC1"/>
    <w:rsid w:val="00A87CE7"/>
    <w:rsid w:val="00A87E42"/>
    <w:rsid w:val="00A87E97"/>
    <w:rsid w:val="00A87EF3"/>
    <w:rsid w:val="00A90075"/>
    <w:rsid w:val="00A90295"/>
    <w:rsid w:val="00A9043D"/>
    <w:rsid w:val="00A90760"/>
    <w:rsid w:val="00A90913"/>
    <w:rsid w:val="00A909BD"/>
    <w:rsid w:val="00A910EA"/>
    <w:rsid w:val="00A910F8"/>
    <w:rsid w:val="00A912B3"/>
    <w:rsid w:val="00A912BA"/>
    <w:rsid w:val="00A913AC"/>
    <w:rsid w:val="00A913CE"/>
    <w:rsid w:val="00A91551"/>
    <w:rsid w:val="00A915D6"/>
    <w:rsid w:val="00A91684"/>
    <w:rsid w:val="00A916DA"/>
    <w:rsid w:val="00A918A4"/>
    <w:rsid w:val="00A9191D"/>
    <w:rsid w:val="00A919B7"/>
    <w:rsid w:val="00A91C88"/>
    <w:rsid w:val="00A9212E"/>
    <w:rsid w:val="00A92286"/>
    <w:rsid w:val="00A9231D"/>
    <w:rsid w:val="00A92360"/>
    <w:rsid w:val="00A9262E"/>
    <w:rsid w:val="00A9269A"/>
    <w:rsid w:val="00A926F0"/>
    <w:rsid w:val="00A92BF4"/>
    <w:rsid w:val="00A92ECF"/>
    <w:rsid w:val="00A92FE3"/>
    <w:rsid w:val="00A93546"/>
    <w:rsid w:val="00A9370F"/>
    <w:rsid w:val="00A9371F"/>
    <w:rsid w:val="00A9377F"/>
    <w:rsid w:val="00A9379E"/>
    <w:rsid w:val="00A93D2C"/>
    <w:rsid w:val="00A93F6F"/>
    <w:rsid w:val="00A940AE"/>
    <w:rsid w:val="00A944FA"/>
    <w:rsid w:val="00A94765"/>
    <w:rsid w:val="00A94EA1"/>
    <w:rsid w:val="00A94FB2"/>
    <w:rsid w:val="00A94FF7"/>
    <w:rsid w:val="00A95013"/>
    <w:rsid w:val="00A950CF"/>
    <w:rsid w:val="00A9520F"/>
    <w:rsid w:val="00A95466"/>
    <w:rsid w:val="00A957EF"/>
    <w:rsid w:val="00A95ADB"/>
    <w:rsid w:val="00A95AE4"/>
    <w:rsid w:val="00A95CB5"/>
    <w:rsid w:val="00A96066"/>
    <w:rsid w:val="00A9640C"/>
    <w:rsid w:val="00A9651A"/>
    <w:rsid w:val="00A96880"/>
    <w:rsid w:val="00A96BF6"/>
    <w:rsid w:val="00A96DE6"/>
    <w:rsid w:val="00A96F3F"/>
    <w:rsid w:val="00A97070"/>
    <w:rsid w:val="00A97072"/>
    <w:rsid w:val="00A9764C"/>
    <w:rsid w:val="00A97947"/>
    <w:rsid w:val="00A97956"/>
    <w:rsid w:val="00A979A1"/>
    <w:rsid w:val="00A97DBC"/>
    <w:rsid w:val="00AA0011"/>
    <w:rsid w:val="00AA03B0"/>
    <w:rsid w:val="00AA0519"/>
    <w:rsid w:val="00AA0589"/>
    <w:rsid w:val="00AA06C7"/>
    <w:rsid w:val="00AA0A5D"/>
    <w:rsid w:val="00AA0E25"/>
    <w:rsid w:val="00AA11D5"/>
    <w:rsid w:val="00AA154A"/>
    <w:rsid w:val="00AA1664"/>
    <w:rsid w:val="00AA1C2A"/>
    <w:rsid w:val="00AA1D18"/>
    <w:rsid w:val="00AA2419"/>
    <w:rsid w:val="00AA2698"/>
    <w:rsid w:val="00AA2ED6"/>
    <w:rsid w:val="00AA2FD6"/>
    <w:rsid w:val="00AA324A"/>
    <w:rsid w:val="00AA3B10"/>
    <w:rsid w:val="00AA3BF9"/>
    <w:rsid w:val="00AA3CD9"/>
    <w:rsid w:val="00AA4611"/>
    <w:rsid w:val="00AA4C22"/>
    <w:rsid w:val="00AA4C94"/>
    <w:rsid w:val="00AA52B8"/>
    <w:rsid w:val="00AA532A"/>
    <w:rsid w:val="00AA54D1"/>
    <w:rsid w:val="00AA54FE"/>
    <w:rsid w:val="00AA550E"/>
    <w:rsid w:val="00AA55AD"/>
    <w:rsid w:val="00AA5DDC"/>
    <w:rsid w:val="00AA6674"/>
    <w:rsid w:val="00AA6767"/>
    <w:rsid w:val="00AA6C11"/>
    <w:rsid w:val="00AA6C94"/>
    <w:rsid w:val="00AA6E8C"/>
    <w:rsid w:val="00AA7037"/>
    <w:rsid w:val="00AA718D"/>
    <w:rsid w:val="00AA73AF"/>
    <w:rsid w:val="00AA73B2"/>
    <w:rsid w:val="00AA74A6"/>
    <w:rsid w:val="00AA74DA"/>
    <w:rsid w:val="00AA78B7"/>
    <w:rsid w:val="00AA791B"/>
    <w:rsid w:val="00AA7AA3"/>
    <w:rsid w:val="00AA7FE2"/>
    <w:rsid w:val="00AB014D"/>
    <w:rsid w:val="00AB01D5"/>
    <w:rsid w:val="00AB02CD"/>
    <w:rsid w:val="00AB035D"/>
    <w:rsid w:val="00AB08C9"/>
    <w:rsid w:val="00AB090E"/>
    <w:rsid w:val="00AB0955"/>
    <w:rsid w:val="00AB0A72"/>
    <w:rsid w:val="00AB0A8D"/>
    <w:rsid w:val="00AB0CDE"/>
    <w:rsid w:val="00AB0E1C"/>
    <w:rsid w:val="00AB0E8B"/>
    <w:rsid w:val="00AB1232"/>
    <w:rsid w:val="00AB13A3"/>
    <w:rsid w:val="00AB1568"/>
    <w:rsid w:val="00AB1715"/>
    <w:rsid w:val="00AB1728"/>
    <w:rsid w:val="00AB195C"/>
    <w:rsid w:val="00AB1EA6"/>
    <w:rsid w:val="00AB20FA"/>
    <w:rsid w:val="00AB2106"/>
    <w:rsid w:val="00AB22F6"/>
    <w:rsid w:val="00AB2452"/>
    <w:rsid w:val="00AB25E3"/>
    <w:rsid w:val="00AB277C"/>
    <w:rsid w:val="00AB2792"/>
    <w:rsid w:val="00AB2BC3"/>
    <w:rsid w:val="00AB2D95"/>
    <w:rsid w:val="00AB2E12"/>
    <w:rsid w:val="00AB33D3"/>
    <w:rsid w:val="00AB3415"/>
    <w:rsid w:val="00AB360C"/>
    <w:rsid w:val="00AB364F"/>
    <w:rsid w:val="00AB408F"/>
    <w:rsid w:val="00AB4190"/>
    <w:rsid w:val="00AB4540"/>
    <w:rsid w:val="00AB4553"/>
    <w:rsid w:val="00AB46EB"/>
    <w:rsid w:val="00AB4B4D"/>
    <w:rsid w:val="00AB4C98"/>
    <w:rsid w:val="00AB4EFB"/>
    <w:rsid w:val="00AB52BB"/>
    <w:rsid w:val="00AB537F"/>
    <w:rsid w:val="00AB5A37"/>
    <w:rsid w:val="00AB5BFF"/>
    <w:rsid w:val="00AB5FCE"/>
    <w:rsid w:val="00AB6120"/>
    <w:rsid w:val="00AB635F"/>
    <w:rsid w:val="00AB648F"/>
    <w:rsid w:val="00AB6805"/>
    <w:rsid w:val="00AB6945"/>
    <w:rsid w:val="00AB7950"/>
    <w:rsid w:val="00AB7AF6"/>
    <w:rsid w:val="00AB7CFA"/>
    <w:rsid w:val="00AB7D38"/>
    <w:rsid w:val="00AC00D0"/>
    <w:rsid w:val="00AC01D3"/>
    <w:rsid w:val="00AC0239"/>
    <w:rsid w:val="00AC03BC"/>
    <w:rsid w:val="00AC05D5"/>
    <w:rsid w:val="00AC07F3"/>
    <w:rsid w:val="00AC0BC8"/>
    <w:rsid w:val="00AC0EF6"/>
    <w:rsid w:val="00AC0F66"/>
    <w:rsid w:val="00AC10B1"/>
    <w:rsid w:val="00AC1333"/>
    <w:rsid w:val="00AC1538"/>
    <w:rsid w:val="00AC16B5"/>
    <w:rsid w:val="00AC1750"/>
    <w:rsid w:val="00AC1CEE"/>
    <w:rsid w:val="00AC1E83"/>
    <w:rsid w:val="00AC1E9A"/>
    <w:rsid w:val="00AC234B"/>
    <w:rsid w:val="00AC25B2"/>
    <w:rsid w:val="00AC2720"/>
    <w:rsid w:val="00AC2A6F"/>
    <w:rsid w:val="00AC2D4A"/>
    <w:rsid w:val="00AC2E5F"/>
    <w:rsid w:val="00AC2F3D"/>
    <w:rsid w:val="00AC324B"/>
    <w:rsid w:val="00AC34D2"/>
    <w:rsid w:val="00AC36D5"/>
    <w:rsid w:val="00AC398E"/>
    <w:rsid w:val="00AC3A87"/>
    <w:rsid w:val="00AC3B41"/>
    <w:rsid w:val="00AC3BE6"/>
    <w:rsid w:val="00AC4050"/>
    <w:rsid w:val="00AC42EA"/>
    <w:rsid w:val="00AC442C"/>
    <w:rsid w:val="00AC4659"/>
    <w:rsid w:val="00AC4AF1"/>
    <w:rsid w:val="00AC50F8"/>
    <w:rsid w:val="00AC52D1"/>
    <w:rsid w:val="00AC553B"/>
    <w:rsid w:val="00AC581E"/>
    <w:rsid w:val="00AC5B56"/>
    <w:rsid w:val="00AC5C99"/>
    <w:rsid w:val="00AC5DDB"/>
    <w:rsid w:val="00AC5ED8"/>
    <w:rsid w:val="00AC5F23"/>
    <w:rsid w:val="00AC60F3"/>
    <w:rsid w:val="00AC6260"/>
    <w:rsid w:val="00AC633A"/>
    <w:rsid w:val="00AC684A"/>
    <w:rsid w:val="00AC6979"/>
    <w:rsid w:val="00AC69AE"/>
    <w:rsid w:val="00AC6B4E"/>
    <w:rsid w:val="00AC6D3A"/>
    <w:rsid w:val="00AC6D4D"/>
    <w:rsid w:val="00AC6E14"/>
    <w:rsid w:val="00AC6F3A"/>
    <w:rsid w:val="00AC6F97"/>
    <w:rsid w:val="00AC6FB2"/>
    <w:rsid w:val="00AC7159"/>
    <w:rsid w:val="00AC72D6"/>
    <w:rsid w:val="00AC72FF"/>
    <w:rsid w:val="00AC734F"/>
    <w:rsid w:val="00AC747D"/>
    <w:rsid w:val="00AC7B7C"/>
    <w:rsid w:val="00AC7CF0"/>
    <w:rsid w:val="00AD01B7"/>
    <w:rsid w:val="00AD02AC"/>
    <w:rsid w:val="00AD02B1"/>
    <w:rsid w:val="00AD0632"/>
    <w:rsid w:val="00AD07FE"/>
    <w:rsid w:val="00AD08E1"/>
    <w:rsid w:val="00AD090D"/>
    <w:rsid w:val="00AD0CCD"/>
    <w:rsid w:val="00AD0E9C"/>
    <w:rsid w:val="00AD0FD0"/>
    <w:rsid w:val="00AD1277"/>
    <w:rsid w:val="00AD12A8"/>
    <w:rsid w:val="00AD1311"/>
    <w:rsid w:val="00AD1380"/>
    <w:rsid w:val="00AD17AB"/>
    <w:rsid w:val="00AD17CE"/>
    <w:rsid w:val="00AD1899"/>
    <w:rsid w:val="00AD19E3"/>
    <w:rsid w:val="00AD1CA1"/>
    <w:rsid w:val="00AD1D8A"/>
    <w:rsid w:val="00AD20B2"/>
    <w:rsid w:val="00AD214A"/>
    <w:rsid w:val="00AD2152"/>
    <w:rsid w:val="00AD2560"/>
    <w:rsid w:val="00AD259C"/>
    <w:rsid w:val="00AD28C8"/>
    <w:rsid w:val="00AD2B37"/>
    <w:rsid w:val="00AD2BAE"/>
    <w:rsid w:val="00AD2FB3"/>
    <w:rsid w:val="00AD2FEF"/>
    <w:rsid w:val="00AD2FF8"/>
    <w:rsid w:val="00AD3BB6"/>
    <w:rsid w:val="00AD3C8F"/>
    <w:rsid w:val="00AD3D65"/>
    <w:rsid w:val="00AD3F46"/>
    <w:rsid w:val="00AD4036"/>
    <w:rsid w:val="00AD42FC"/>
    <w:rsid w:val="00AD46BD"/>
    <w:rsid w:val="00AD4E51"/>
    <w:rsid w:val="00AD511B"/>
    <w:rsid w:val="00AD52A8"/>
    <w:rsid w:val="00AD56B0"/>
    <w:rsid w:val="00AD5838"/>
    <w:rsid w:val="00AD58A8"/>
    <w:rsid w:val="00AD5A00"/>
    <w:rsid w:val="00AD5CC9"/>
    <w:rsid w:val="00AD5D18"/>
    <w:rsid w:val="00AD5D5A"/>
    <w:rsid w:val="00AD611A"/>
    <w:rsid w:val="00AD6137"/>
    <w:rsid w:val="00AD632A"/>
    <w:rsid w:val="00AD6341"/>
    <w:rsid w:val="00AD653B"/>
    <w:rsid w:val="00AD66AF"/>
    <w:rsid w:val="00AD67D4"/>
    <w:rsid w:val="00AD6958"/>
    <w:rsid w:val="00AD6BC0"/>
    <w:rsid w:val="00AD6FA3"/>
    <w:rsid w:val="00AD7476"/>
    <w:rsid w:val="00AD747D"/>
    <w:rsid w:val="00AD7608"/>
    <w:rsid w:val="00AD7699"/>
    <w:rsid w:val="00AD7733"/>
    <w:rsid w:val="00AD7819"/>
    <w:rsid w:val="00AD7C6F"/>
    <w:rsid w:val="00AD7CCA"/>
    <w:rsid w:val="00AD7D28"/>
    <w:rsid w:val="00AD7EFC"/>
    <w:rsid w:val="00AE032A"/>
    <w:rsid w:val="00AE03F3"/>
    <w:rsid w:val="00AE05FE"/>
    <w:rsid w:val="00AE111F"/>
    <w:rsid w:val="00AE15C9"/>
    <w:rsid w:val="00AE1A72"/>
    <w:rsid w:val="00AE1B90"/>
    <w:rsid w:val="00AE1C30"/>
    <w:rsid w:val="00AE1CB8"/>
    <w:rsid w:val="00AE1D55"/>
    <w:rsid w:val="00AE1E46"/>
    <w:rsid w:val="00AE2041"/>
    <w:rsid w:val="00AE20CA"/>
    <w:rsid w:val="00AE221B"/>
    <w:rsid w:val="00AE243C"/>
    <w:rsid w:val="00AE2555"/>
    <w:rsid w:val="00AE2580"/>
    <w:rsid w:val="00AE25F1"/>
    <w:rsid w:val="00AE27E6"/>
    <w:rsid w:val="00AE28B5"/>
    <w:rsid w:val="00AE299D"/>
    <w:rsid w:val="00AE2D68"/>
    <w:rsid w:val="00AE2FD5"/>
    <w:rsid w:val="00AE30CC"/>
    <w:rsid w:val="00AE30F2"/>
    <w:rsid w:val="00AE3269"/>
    <w:rsid w:val="00AE3805"/>
    <w:rsid w:val="00AE397B"/>
    <w:rsid w:val="00AE3ECC"/>
    <w:rsid w:val="00AE3FB3"/>
    <w:rsid w:val="00AE4105"/>
    <w:rsid w:val="00AE4233"/>
    <w:rsid w:val="00AE4761"/>
    <w:rsid w:val="00AE4821"/>
    <w:rsid w:val="00AE505A"/>
    <w:rsid w:val="00AE5133"/>
    <w:rsid w:val="00AE560F"/>
    <w:rsid w:val="00AE5B16"/>
    <w:rsid w:val="00AE5BC9"/>
    <w:rsid w:val="00AE5D3D"/>
    <w:rsid w:val="00AE5D94"/>
    <w:rsid w:val="00AE5FC4"/>
    <w:rsid w:val="00AE688A"/>
    <w:rsid w:val="00AE6A17"/>
    <w:rsid w:val="00AE6A5C"/>
    <w:rsid w:val="00AE6B9B"/>
    <w:rsid w:val="00AE6C01"/>
    <w:rsid w:val="00AE6E91"/>
    <w:rsid w:val="00AE702B"/>
    <w:rsid w:val="00AE7090"/>
    <w:rsid w:val="00AE75D0"/>
    <w:rsid w:val="00AE75F6"/>
    <w:rsid w:val="00AE7B63"/>
    <w:rsid w:val="00AE7B81"/>
    <w:rsid w:val="00AE7DC1"/>
    <w:rsid w:val="00AE7FEA"/>
    <w:rsid w:val="00AF0174"/>
    <w:rsid w:val="00AF02EF"/>
    <w:rsid w:val="00AF032C"/>
    <w:rsid w:val="00AF034C"/>
    <w:rsid w:val="00AF0B3E"/>
    <w:rsid w:val="00AF105B"/>
    <w:rsid w:val="00AF1342"/>
    <w:rsid w:val="00AF13CC"/>
    <w:rsid w:val="00AF1879"/>
    <w:rsid w:val="00AF1D13"/>
    <w:rsid w:val="00AF201B"/>
    <w:rsid w:val="00AF2226"/>
    <w:rsid w:val="00AF235F"/>
    <w:rsid w:val="00AF24C3"/>
    <w:rsid w:val="00AF2772"/>
    <w:rsid w:val="00AF2B59"/>
    <w:rsid w:val="00AF2C5D"/>
    <w:rsid w:val="00AF2F99"/>
    <w:rsid w:val="00AF32A3"/>
    <w:rsid w:val="00AF32CE"/>
    <w:rsid w:val="00AF38D4"/>
    <w:rsid w:val="00AF3BB0"/>
    <w:rsid w:val="00AF400B"/>
    <w:rsid w:val="00AF41EA"/>
    <w:rsid w:val="00AF438E"/>
    <w:rsid w:val="00AF4B58"/>
    <w:rsid w:val="00AF4FC7"/>
    <w:rsid w:val="00AF5316"/>
    <w:rsid w:val="00AF55C5"/>
    <w:rsid w:val="00AF572D"/>
    <w:rsid w:val="00AF5BD6"/>
    <w:rsid w:val="00AF60AC"/>
    <w:rsid w:val="00AF60BC"/>
    <w:rsid w:val="00AF6474"/>
    <w:rsid w:val="00AF668F"/>
    <w:rsid w:val="00AF6690"/>
    <w:rsid w:val="00AF66EE"/>
    <w:rsid w:val="00AF67C4"/>
    <w:rsid w:val="00AF68C3"/>
    <w:rsid w:val="00AF6D0A"/>
    <w:rsid w:val="00AF6E36"/>
    <w:rsid w:val="00AF6E7B"/>
    <w:rsid w:val="00AF70E2"/>
    <w:rsid w:val="00AF7784"/>
    <w:rsid w:val="00AF7872"/>
    <w:rsid w:val="00AF78A8"/>
    <w:rsid w:val="00AF7C22"/>
    <w:rsid w:val="00AF7E49"/>
    <w:rsid w:val="00AF7E7E"/>
    <w:rsid w:val="00B00015"/>
    <w:rsid w:val="00B0035B"/>
    <w:rsid w:val="00B00671"/>
    <w:rsid w:val="00B0081A"/>
    <w:rsid w:val="00B00924"/>
    <w:rsid w:val="00B009C5"/>
    <w:rsid w:val="00B01176"/>
    <w:rsid w:val="00B01181"/>
    <w:rsid w:val="00B01626"/>
    <w:rsid w:val="00B01A62"/>
    <w:rsid w:val="00B01CD7"/>
    <w:rsid w:val="00B021EE"/>
    <w:rsid w:val="00B024D0"/>
    <w:rsid w:val="00B0280D"/>
    <w:rsid w:val="00B02974"/>
    <w:rsid w:val="00B02C09"/>
    <w:rsid w:val="00B02E9D"/>
    <w:rsid w:val="00B030EB"/>
    <w:rsid w:val="00B0314C"/>
    <w:rsid w:val="00B03241"/>
    <w:rsid w:val="00B032B9"/>
    <w:rsid w:val="00B0333C"/>
    <w:rsid w:val="00B0336C"/>
    <w:rsid w:val="00B03599"/>
    <w:rsid w:val="00B0369E"/>
    <w:rsid w:val="00B037FF"/>
    <w:rsid w:val="00B0382E"/>
    <w:rsid w:val="00B03AEF"/>
    <w:rsid w:val="00B03C0F"/>
    <w:rsid w:val="00B03E8D"/>
    <w:rsid w:val="00B04190"/>
    <w:rsid w:val="00B0537A"/>
    <w:rsid w:val="00B0541E"/>
    <w:rsid w:val="00B05589"/>
    <w:rsid w:val="00B055B2"/>
    <w:rsid w:val="00B05680"/>
    <w:rsid w:val="00B05822"/>
    <w:rsid w:val="00B059AE"/>
    <w:rsid w:val="00B06073"/>
    <w:rsid w:val="00B06374"/>
    <w:rsid w:val="00B06683"/>
    <w:rsid w:val="00B066EC"/>
    <w:rsid w:val="00B06719"/>
    <w:rsid w:val="00B068B7"/>
    <w:rsid w:val="00B068F2"/>
    <w:rsid w:val="00B0698F"/>
    <w:rsid w:val="00B06B8B"/>
    <w:rsid w:val="00B07565"/>
    <w:rsid w:val="00B07853"/>
    <w:rsid w:val="00B078C9"/>
    <w:rsid w:val="00B07A27"/>
    <w:rsid w:val="00B07A93"/>
    <w:rsid w:val="00B07C84"/>
    <w:rsid w:val="00B07EDC"/>
    <w:rsid w:val="00B07F8F"/>
    <w:rsid w:val="00B102B7"/>
    <w:rsid w:val="00B103E2"/>
    <w:rsid w:val="00B1056C"/>
    <w:rsid w:val="00B10744"/>
    <w:rsid w:val="00B10797"/>
    <w:rsid w:val="00B10925"/>
    <w:rsid w:val="00B10C38"/>
    <w:rsid w:val="00B10CB4"/>
    <w:rsid w:val="00B10CCF"/>
    <w:rsid w:val="00B10D55"/>
    <w:rsid w:val="00B10EEC"/>
    <w:rsid w:val="00B10FB4"/>
    <w:rsid w:val="00B110CB"/>
    <w:rsid w:val="00B112CA"/>
    <w:rsid w:val="00B117FE"/>
    <w:rsid w:val="00B11949"/>
    <w:rsid w:val="00B120BF"/>
    <w:rsid w:val="00B12268"/>
    <w:rsid w:val="00B124BA"/>
    <w:rsid w:val="00B12636"/>
    <w:rsid w:val="00B12DD7"/>
    <w:rsid w:val="00B12F06"/>
    <w:rsid w:val="00B12F72"/>
    <w:rsid w:val="00B130BE"/>
    <w:rsid w:val="00B131F1"/>
    <w:rsid w:val="00B133DF"/>
    <w:rsid w:val="00B133F5"/>
    <w:rsid w:val="00B1340E"/>
    <w:rsid w:val="00B13997"/>
    <w:rsid w:val="00B13DAE"/>
    <w:rsid w:val="00B141F9"/>
    <w:rsid w:val="00B143D3"/>
    <w:rsid w:val="00B14441"/>
    <w:rsid w:val="00B144CC"/>
    <w:rsid w:val="00B1496E"/>
    <w:rsid w:val="00B14994"/>
    <w:rsid w:val="00B14A7C"/>
    <w:rsid w:val="00B14BA2"/>
    <w:rsid w:val="00B14D49"/>
    <w:rsid w:val="00B14DFC"/>
    <w:rsid w:val="00B14F6F"/>
    <w:rsid w:val="00B154BD"/>
    <w:rsid w:val="00B15502"/>
    <w:rsid w:val="00B15833"/>
    <w:rsid w:val="00B15A81"/>
    <w:rsid w:val="00B15B5F"/>
    <w:rsid w:val="00B161B2"/>
    <w:rsid w:val="00B161D7"/>
    <w:rsid w:val="00B164E6"/>
    <w:rsid w:val="00B16652"/>
    <w:rsid w:val="00B166E7"/>
    <w:rsid w:val="00B16A19"/>
    <w:rsid w:val="00B16AFC"/>
    <w:rsid w:val="00B16C0D"/>
    <w:rsid w:val="00B16F33"/>
    <w:rsid w:val="00B17386"/>
    <w:rsid w:val="00B17496"/>
    <w:rsid w:val="00B17E51"/>
    <w:rsid w:val="00B20076"/>
    <w:rsid w:val="00B20086"/>
    <w:rsid w:val="00B201E3"/>
    <w:rsid w:val="00B20201"/>
    <w:rsid w:val="00B20420"/>
    <w:rsid w:val="00B20733"/>
    <w:rsid w:val="00B207B9"/>
    <w:rsid w:val="00B2095B"/>
    <w:rsid w:val="00B20BF1"/>
    <w:rsid w:val="00B20E2F"/>
    <w:rsid w:val="00B20F50"/>
    <w:rsid w:val="00B20FE3"/>
    <w:rsid w:val="00B21492"/>
    <w:rsid w:val="00B21AF4"/>
    <w:rsid w:val="00B21BB3"/>
    <w:rsid w:val="00B21C6C"/>
    <w:rsid w:val="00B21ED2"/>
    <w:rsid w:val="00B21F1B"/>
    <w:rsid w:val="00B22216"/>
    <w:rsid w:val="00B22D71"/>
    <w:rsid w:val="00B2341F"/>
    <w:rsid w:val="00B23700"/>
    <w:rsid w:val="00B23C25"/>
    <w:rsid w:val="00B23CE4"/>
    <w:rsid w:val="00B2432E"/>
    <w:rsid w:val="00B2470C"/>
    <w:rsid w:val="00B24747"/>
    <w:rsid w:val="00B24976"/>
    <w:rsid w:val="00B24CC0"/>
    <w:rsid w:val="00B24F72"/>
    <w:rsid w:val="00B24F82"/>
    <w:rsid w:val="00B25278"/>
    <w:rsid w:val="00B256D1"/>
    <w:rsid w:val="00B2592F"/>
    <w:rsid w:val="00B25972"/>
    <w:rsid w:val="00B25A3D"/>
    <w:rsid w:val="00B25AA5"/>
    <w:rsid w:val="00B25B9D"/>
    <w:rsid w:val="00B25C99"/>
    <w:rsid w:val="00B2647A"/>
    <w:rsid w:val="00B264E7"/>
    <w:rsid w:val="00B265AA"/>
    <w:rsid w:val="00B266F7"/>
    <w:rsid w:val="00B26F82"/>
    <w:rsid w:val="00B270BD"/>
    <w:rsid w:val="00B279DA"/>
    <w:rsid w:val="00B27B77"/>
    <w:rsid w:val="00B27C32"/>
    <w:rsid w:val="00B27C53"/>
    <w:rsid w:val="00B27CFA"/>
    <w:rsid w:val="00B27E38"/>
    <w:rsid w:val="00B301FC"/>
    <w:rsid w:val="00B3022B"/>
    <w:rsid w:val="00B3023A"/>
    <w:rsid w:val="00B30397"/>
    <w:rsid w:val="00B30515"/>
    <w:rsid w:val="00B30526"/>
    <w:rsid w:val="00B3063B"/>
    <w:rsid w:val="00B3097E"/>
    <w:rsid w:val="00B30FF9"/>
    <w:rsid w:val="00B31086"/>
    <w:rsid w:val="00B31119"/>
    <w:rsid w:val="00B31490"/>
    <w:rsid w:val="00B314DA"/>
    <w:rsid w:val="00B314EE"/>
    <w:rsid w:val="00B31658"/>
    <w:rsid w:val="00B31B19"/>
    <w:rsid w:val="00B322DC"/>
    <w:rsid w:val="00B32616"/>
    <w:rsid w:val="00B32845"/>
    <w:rsid w:val="00B32909"/>
    <w:rsid w:val="00B32C81"/>
    <w:rsid w:val="00B32E00"/>
    <w:rsid w:val="00B32E68"/>
    <w:rsid w:val="00B33107"/>
    <w:rsid w:val="00B33350"/>
    <w:rsid w:val="00B33D9A"/>
    <w:rsid w:val="00B33F07"/>
    <w:rsid w:val="00B3400A"/>
    <w:rsid w:val="00B34357"/>
    <w:rsid w:val="00B34511"/>
    <w:rsid w:val="00B34622"/>
    <w:rsid w:val="00B34661"/>
    <w:rsid w:val="00B34847"/>
    <w:rsid w:val="00B34A0C"/>
    <w:rsid w:val="00B34A43"/>
    <w:rsid w:val="00B34F40"/>
    <w:rsid w:val="00B35001"/>
    <w:rsid w:val="00B35106"/>
    <w:rsid w:val="00B351F5"/>
    <w:rsid w:val="00B352E4"/>
    <w:rsid w:val="00B35521"/>
    <w:rsid w:val="00B35A1F"/>
    <w:rsid w:val="00B35C57"/>
    <w:rsid w:val="00B35CEC"/>
    <w:rsid w:val="00B35D70"/>
    <w:rsid w:val="00B35E62"/>
    <w:rsid w:val="00B35E7E"/>
    <w:rsid w:val="00B361E4"/>
    <w:rsid w:val="00B363FD"/>
    <w:rsid w:val="00B366B5"/>
    <w:rsid w:val="00B36856"/>
    <w:rsid w:val="00B368C0"/>
    <w:rsid w:val="00B37027"/>
    <w:rsid w:val="00B37391"/>
    <w:rsid w:val="00B37419"/>
    <w:rsid w:val="00B3777C"/>
    <w:rsid w:val="00B378D0"/>
    <w:rsid w:val="00B37A28"/>
    <w:rsid w:val="00B37A58"/>
    <w:rsid w:val="00B37C29"/>
    <w:rsid w:val="00B37E19"/>
    <w:rsid w:val="00B37EB6"/>
    <w:rsid w:val="00B37FF3"/>
    <w:rsid w:val="00B40058"/>
    <w:rsid w:val="00B40118"/>
    <w:rsid w:val="00B40132"/>
    <w:rsid w:val="00B402DF"/>
    <w:rsid w:val="00B40358"/>
    <w:rsid w:val="00B4043F"/>
    <w:rsid w:val="00B4075C"/>
    <w:rsid w:val="00B4099E"/>
    <w:rsid w:val="00B40EE2"/>
    <w:rsid w:val="00B41155"/>
    <w:rsid w:val="00B4153E"/>
    <w:rsid w:val="00B41564"/>
    <w:rsid w:val="00B415EA"/>
    <w:rsid w:val="00B416C3"/>
    <w:rsid w:val="00B41740"/>
    <w:rsid w:val="00B419CF"/>
    <w:rsid w:val="00B41EC2"/>
    <w:rsid w:val="00B4221C"/>
    <w:rsid w:val="00B422D0"/>
    <w:rsid w:val="00B423F4"/>
    <w:rsid w:val="00B42538"/>
    <w:rsid w:val="00B4267D"/>
    <w:rsid w:val="00B42A8C"/>
    <w:rsid w:val="00B42B96"/>
    <w:rsid w:val="00B42BA0"/>
    <w:rsid w:val="00B42DEF"/>
    <w:rsid w:val="00B42EB2"/>
    <w:rsid w:val="00B42FD7"/>
    <w:rsid w:val="00B436D1"/>
    <w:rsid w:val="00B43B1A"/>
    <w:rsid w:val="00B43C6C"/>
    <w:rsid w:val="00B43D71"/>
    <w:rsid w:val="00B43EDA"/>
    <w:rsid w:val="00B43F7E"/>
    <w:rsid w:val="00B440E5"/>
    <w:rsid w:val="00B44224"/>
    <w:rsid w:val="00B445A7"/>
    <w:rsid w:val="00B446F6"/>
    <w:rsid w:val="00B4478D"/>
    <w:rsid w:val="00B448AE"/>
    <w:rsid w:val="00B4499C"/>
    <w:rsid w:val="00B44AC8"/>
    <w:rsid w:val="00B44E1C"/>
    <w:rsid w:val="00B44EC2"/>
    <w:rsid w:val="00B4500F"/>
    <w:rsid w:val="00B451D5"/>
    <w:rsid w:val="00B454D9"/>
    <w:rsid w:val="00B45595"/>
    <w:rsid w:val="00B455EA"/>
    <w:rsid w:val="00B456DC"/>
    <w:rsid w:val="00B458EE"/>
    <w:rsid w:val="00B459A5"/>
    <w:rsid w:val="00B45AEF"/>
    <w:rsid w:val="00B45BD7"/>
    <w:rsid w:val="00B45C5F"/>
    <w:rsid w:val="00B46926"/>
    <w:rsid w:val="00B46A7D"/>
    <w:rsid w:val="00B46C3E"/>
    <w:rsid w:val="00B46CE6"/>
    <w:rsid w:val="00B46D76"/>
    <w:rsid w:val="00B46D94"/>
    <w:rsid w:val="00B46F9B"/>
    <w:rsid w:val="00B46FFC"/>
    <w:rsid w:val="00B470BC"/>
    <w:rsid w:val="00B4731F"/>
    <w:rsid w:val="00B4734C"/>
    <w:rsid w:val="00B47377"/>
    <w:rsid w:val="00B474B3"/>
    <w:rsid w:val="00B477DA"/>
    <w:rsid w:val="00B47814"/>
    <w:rsid w:val="00B47B73"/>
    <w:rsid w:val="00B47EE3"/>
    <w:rsid w:val="00B47F65"/>
    <w:rsid w:val="00B502F4"/>
    <w:rsid w:val="00B5075A"/>
    <w:rsid w:val="00B50764"/>
    <w:rsid w:val="00B50770"/>
    <w:rsid w:val="00B5080E"/>
    <w:rsid w:val="00B50AAB"/>
    <w:rsid w:val="00B50C99"/>
    <w:rsid w:val="00B50E3B"/>
    <w:rsid w:val="00B50F16"/>
    <w:rsid w:val="00B515FD"/>
    <w:rsid w:val="00B51907"/>
    <w:rsid w:val="00B519D8"/>
    <w:rsid w:val="00B519E0"/>
    <w:rsid w:val="00B51A37"/>
    <w:rsid w:val="00B51A49"/>
    <w:rsid w:val="00B51CC6"/>
    <w:rsid w:val="00B520F4"/>
    <w:rsid w:val="00B521E1"/>
    <w:rsid w:val="00B52546"/>
    <w:rsid w:val="00B52579"/>
    <w:rsid w:val="00B527FC"/>
    <w:rsid w:val="00B5284D"/>
    <w:rsid w:val="00B52940"/>
    <w:rsid w:val="00B52CC5"/>
    <w:rsid w:val="00B52CD3"/>
    <w:rsid w:val="00B52D74"/>
    <w:rsid w:val="00B52E04"/>
    <w:rsid w:val="00B52EC6"/>
    <w:rsid w:val="00B52F09"/>
    <w:rsid w:val="00B52FF5"/>
    <w:rsid w:val="00B532B3"/>
    <w:rsid w:val="00B53428"/>
    <w:rsid w:val="00B53625"/>
    <w:rsid w:val="00B53651"/>
    <w:rsid w:val="00B539C8"/>
    <w:rsid w:val="00B539F9"/>
    <w:rsid w:val="00B53D29"/>
    <w:rsid w:val="00B53D50"/>
    <w:rsid w:val="00B540FF"/>
    <w:rsid w:val="00B54163"/>
    <w:rsid w:val="00B54315"/>
    <w:rsid w:val="00B5443F"/>
    <w:rsid w:val="00B54CC3"/>
    <w:rsid w:val="00B54CF9"/>
    <w:rsid w:val="00B54D4E"/>
    <w:rsid w:val="00B54E8C"/>
    <w:rsid w:val="00B54F66"/>
    <w:rsid w:val="00B5517F"/>
    <w:rsid w:val="00B55385"/>
    <w:rsid w:val="00B55481"/>
    <w:rsid w:val="00B558A4"/>
    <w:rsid w:val="00B55A7F"/>
    <w:rsid w:val="00B55A95"/>
    <w:rsid w:val="00B55C4D"/>
    <w:rsid w:val="00B55CBB"/>
    <w:rsid w:val="00B55D1F"/>
    <w:rsid w:val="00B55E4F"/>
    <w:rsid w:val="00B55F36"/>
    <w:rsid w:val="00B56125"/>
    <w:rsid w:val="00B56126"/>
    <w:rsid w:val="00B56185"/>
    <w:rsid w:val="00B565CF"/>
    <w:rsid w:val="00B5673D"/>
    <w:rsid w:val="00B56797"/>
    <w:rsid w:val="00B56808"/>
    <w:rsid w:val="00B56CEC"/>
    <w:rsid w:val="00B56ECA"/>
    <w:rsid w:val="00B56FBE"/>
    <w:rsid w:val="00B57104"/>
    <w:rsid w:val="00B572B4"/>
    <w:rsid w:val="00B5734D"/>
    <w:rsid w:val="00B5752E"/>
    <w:rsid w:val="00B57A00"/>
    <w:rsid w:val="00B57D39"/>
    <w:rsid w:val="00B57DBF"/>
    <w:rsid w:val="00B600AE"/>
    <w:rsid w:val="00B6021A"/>
    <w:rsid w:val="00B603A7"/>
    <w:rsid w:val="00B6076F"/>
    <w:rsid w:val="00B60780"/>
    <w:rsid w:val="00B60783"/>
    <w:rsid w:val="00B60990"/>
    <w:rsid w:val="00B60B1F"/>
    <w:rsid w:val="00B61566"/>
    <w:rsid w:val="00B615A2"/>
    <w:rsid w:val="00B616E3"/>
    <w:rsid w:val="00B61817"/>
    <w:rsid w:val="00B61BB6"/>
    <w:rsid w:val="00B61C2A"/>
    <w:rsid w:val="00B61C77"/>
    <w:rsid w:val="00B61FF3"/>
    <w:rsid w:val="00B6244E"/>
    <w:rsid w:val="00B62602"/>
    <w:rsid w:val="00B62810"/>
    <w:rsid w:val="00B62992"/>
    <w:rsid w:val="00B62DAF"/>
    <w:rsid w:val="00B62EB5"/>
    <w:rsid w:val="00B62FFA"/>
    <w:rsid w:val="00B6325E"/>
    <w:rsid w:val="00B63669"/>
    <w:rsid w:val="00B63773"/>
    <w:rsid w:val="00B6377F"/>
    <w:rsid w:val="00B63B37"/>
    <w:rsid w:val="00B63C7F"/>
    <w:rsid w:val="00B63DE6"/>
    <w:rsid w:val="00B64265"/>
    <w:rsid w:val="00B64829"/>
    <w:rsid w:val="00B64A4D"/>
    <w:rsid w:val="00B64A55"/>
    <w:rsid w:val="00B64A56"/>
    <w:rsid w:val="00B64D0A"/>
    <w:rsid w:val="00B64D1A"/>
    <w:rsid w:val="00B64DEA"/>
    <w:rsid w:val="00B65043"/>
    <w:rsid w:val="00B650B3"/>
    <w:rsid w:val="00B650DB"/>
    <w:rsid w:val="00B651AA"/>
    <w:rsid w:val="00B651E6"/>
    <w:rsid w:val="00B65239"/>
    <w:rsid w:val="00B655F4"/>
    <w:rsid w:val="00B65902"/>
    <w:rsid w:val="00B66294"/>
    <w:rsid w:val="00B664D0"/>
    <w:rsid w:val="00B6659C"/>
    <w:rsid w:val="00B666EC"/>
    <w:rsid w:val="00B66B7D"/>
    <w:rsid w:val="00B66C53"/>
    <w:rsid w:val="00B66F1C"/>
    <w:rsid w:val="00B66F3C"/>
    <w:rsid w:val="00B6704F"/>
    <w:rsid w:val="00B67081"/>
    <w:rsid w:val="00B67423"/>
    <w:rsid w:val="00B67B0D"/>
    <w:rsid w:val="00B67BB6"/>
    <w:rsid w:val="00B67CB1"/>
    <w:rsid w:val="00B67CCB"/>
    <w:rsid w:val="00B705A8"/>
    <w:rsid w:val="00B70A84"/>
    <w:rsid w:val="00B70DDC"/>
    <w:rsid w:val="00B70FD1"/>
    <w:rsid w:val="00B7153A"/>
    <w:rsid w:val="00B7159F"/>
    <w:rsid w:val="00B71B61"/>
    <w:rsid w:val="00B71C36"/>
    <w:rsid w:val="00B7237F"/>
    <w:rsid w:val="00B72500"/>
    <w:rsid w:val="00B72530"/>
    <w:rsid w:val="00B726C0"/>
    <w:rsid w:val="00B72733"/>
    <w:rsid w:val="00B727D7"/>
    <w:rsid w:val="00B728CC"/>
    <w:rsid w:val="00B72D7F"/>
    <w:rsid w:val="00B731C2"/>
    <w:rsid w:val="00B731F9"/>
    <w:rsid w:val="00B73458"/>
    <w:rsid w:val="00B735A2"/>
    <w:rsid w:val="00B73903"/>
    <w:rsid w:val="00B73C67"/>
    <w:rsid w:val="00B7405C"/>
    <w:rsid w:val="00B741CF"/>
    <w:rsid w:val="00B742BC"/>
    <w:rsid w:val="00B74526"/>
    <w:rsid w:val="00B745FD"/>
    <w:rsid w:val="00B7462E"/>
    <w:rsid w:val="00B748BE"/>
    <w:rsid w:val="00B75266"/>
    <w:rsid w:val="00B75436"/>
    <w:rsid w:val="00B754FC"/>
    <w:rsid w:val="00B758BA"/>
    <w:rsid w:val="00B75B21"/>
    <w:rsid w:val="00B75D7B"/>
    <w:rsid w:val="00B7629A"/>
    <w:rsid w:val="00B7637F"/>
    <w:rsid w:val="00B7699B"/>
    <w:rsid w:val="00B769CE"/>
    <w:rsid w:val="00B76EEA"/>
    <w:rsid w:val="00B773A4"/>
    <w:rsid w:val="00B774D9"/>
    <w:rsid w:val="00B775F1"/>
    <w:rsid w:val="00B777F3"/>
    <w:rsid w:val="00B77822"/>
    <w:rsid w:val="00B778CD"/>
    <w:rsid w:val="00B779FC"/>
    <w:rsid w:val="00B77A03"/>
    <w:rsid w:val="00B77ECA"/>
    <w:rsid w:val="00B8031B"/>
    <w:rsid w:val="00B803F0"/>
    <w:rsid w:val="00B8053D"/>
    <w:rsid w:val="00B8055D"/>
    <w:rsid w:val="00B80BA5"/>
    <w:rsid w:val="00B80EA0"/>
    <w:rsid w:val="00B80F8E"/>
    <w:rsid w:val="00B81024"/>
    <w:rsid w:val="00B81374"/>
    <w:rsid w:val="00B814E7"/>
    <w:rsid w:val="00B81849"/>
    <w:rsid w:val="00B81B5E"/>
    <w:rsid w:val="00B81C46"/>
    <w:rsid w:val="00B82041"/>
    <w:rsid w:val="00B82056"/>
    <w:rsid w:val="00B82448"/>
    <w:rsid w:val="00B826E5"/>
    <w:rsid w:val="00B827A4"/>
    <w:rsid w:val="00B82A60"/>
    <w:rsid w:val="00B82CD7"/>
    <w:rsid w:val="00B8329B"/>
    <w:rsid w:val="00B8370F"/>
    <w:rsid w:val="00B8391E"/>
    <w:rsid w:val="00B83BFA"/>
    <w:rsid w:val="00B83D29"/>
    <w:rsid w:val="00B8401C"/>
    <w:rsid w:val="00B84086"/>
    <w:rsid w:val="00B841A3"/>
    <w:rsid w:val="00B84277"/>
    <w:rsid w:val="00B8481C"/>
    <w:rsid w:val="00B84F4C"/>
    <w:rsid w:val="00B855FA"/>
    <w:rsid w:val="00B85658"/>
    <w:rsid w:val="00B856C6"/>
    <w:rsid w:val="00B85896"/>
    <w:rsid w:val="00B85B26"/>
    <w:rsid w:val="00B85BFE"/>
    <w:rsid w:val="00B85D6C"/>
    <w:rsid w:val="00B85E52"/>
    <w:rsid w:val="00B85E77"/>
    <w:rsid w:val="00B8622A"/>
    <w:rsid w:val="00B86430"/>
    <w:rsid w:val="00B865B0"/>
    <w:rsid w:val="00B866B3"/>
    <w:rsid w:val="00B86784"/>
    <w:rsid w:val="00B867C1"/>
    <w:rsid w:val="00B8689F"/>
    <w:rsid w:val="00B868C8"/>
    <w:rsid w:val="00B869B8"/>
    <w:rsid w:val="00B869FB"/>
    <w:rsid w:val="00B86B99"/>
    <w:rsid w:val="00B86E01"/>
    <w:rsid w:val="00B87082"/>
    <w:rsid w:val="00B8736A"/>
    <w:rsid w:val="00B87A1E"/>
    <w:rsid w:val="00B902E4"/>
    <w:rsid w:val="00B90421"/>
    <w:rsid w:val="00B90460"/>
    <w:rsid w:val="00B9046D"/>
    <w:rsid w:val="00B904B7"/>
    <w:rsid w:val="00B904B8"/>
    <w:rsid w:val="00B9060B"/>
    <w:rsid w:val="00B90786"/>
    <w:rsid w:val="00B908D7"/>
    <w:rsid w:val="00B90982"/>
    <w:rsid w:val="00B90A78"/>
    <w:rsid w:val="00B90C34"/>
    <w:rsid w:val="00B90F54"/>
    <w:rsid w:val="00B911AB"/>
    <w:rsid w:val="00B91385"/>
    <w:rsid w:val="00B913A0"/>
    <w:rsid w:val="00B91511"/>
    <w:rsid w:val="00B91568"/>
    <w:rsid w:val="00B918AC"/>
    <w:rsid w:val="00B91946"/>
    <w:rsid w:val="00B91A09"/>
    <w:rsid w:val="00B91CD8"/>
    <w:rsid w:val="00B9208F"/>
    <w:rsid w:val="00B920DB"/>
    <w:rsid w:val="00B92649"/>
    <w:rsid w:val="00B92CDC"/>
    <w:rsid w:val="00B92D50"/>
    <w:rsid w:val="00B92DB5"/>
    <w:rsid w:val="00B92E3D"/>
    <w:rsid w:val="00B92E46"/>
    <w:rsid w:val="00B92E63"/>
    <w:rsid w:val="00B93138"/>
    <w:rsid w:val="00B94197"/>
    <w:rsid w:val="00B94244"/>
    <w:rsid w:val="00B944B9"/>
    <w:rsid w:val="00B945EC"/>
    <w:rsid w:val="00B94A4D"/>
    <w:rsid w:val="00B94A7E"/>
    <w:rsid w:val="00B94C64"/>
    <w:rsid w:val="00B94C90"/>
    <w:rsid w:val="00B94F55"/>
    <w:rsid w:val="00B95004"/>
    <w:rsid w:val="00B950A1"/>
    <w:rsid w:val="00B95157"/>
    <w:rsid w:val="00B9518D"/>
    <w:rsid w:val="00B952B2"/>
    <w:rsid w:val="00B953B1"/>
    <w:rsid w:val="00B954E3"/>
    <w:rsid w:val="00B95514"/>
    <w:rsid w:val="00B9578A"/>
    <w:rsid w:val="00B95D0D"/>
    <w:rsid w:val="00B96114"/>
    <w:rsid w:val="00B96599"/>
    <w:rsid w:val="00B966CC"/>
    <w:rsid w:val="00B96B9F"/>
    <w:rsid w:val="00B96BF7"/>
    <w:rsid w:val="00B96BFF"/>
    <w:rsid w:val="00B96CFA"/>
    <w:rsid w:val="00B971AF"/>
    <w:rsid w:val="00B972C6"/>
    <w:rsid w:val="00B9752D"/>
    <w:rsid w:val="00B977CB"/>
    <w:rsid w:val="00B97DBD"/>
    <w:rsid w:val="00B97FF0"/>
    <w:rsid w:val="00BA0112"/>
    <w:rsid w:val="00BA0257"/>
    <w:rsid w:val="00BA0259"/>
    <w:rsid w:val="00BA082C"/>
    <w:rsid w:val="00BA09E5"/>
    <w:rsid w:val="00BA0EEC"/>
    <w:rsid w:val="00BA1215"/>
    <w:rsid w:val="00BA16BD"/>
    <w:rsid w:val="00BA19BE"/>
    <w:rsid w:val="00BA1E15"/>
    <w:rsid w:val="00BA1F8B"/>
    <w:rsid w:val="00BA1F91"/>
    <w:rsid w:val="00BA2190"/>
    <w:rsid w:val="00BA242C"/>
    <w:rsid w:val="00BA2514"/>
    <w:rsid w:val="00BA2761"/>
    <w:rsid w:val="00BA2937"/>
    <w:rsid w:val="00BA316F"/>
    <w:rsid w:val="00BA33CB"/>
    <w:rsid w:val="00BA368C"/>
    <w:rsid w:val="00BA3710"/>
    <w:rsid w:val="00BA378D"/>
    <w:rsid w:val="00BA37CB"/>
    <w:rsid w:val="00BA38FD"/>
    <w:rsid w:val="00BA3A54"/>
    <w:rsid w:val="00BA3D1A"/>
    <w:rsid w:val="00BA3F64"/>
    <w:rsid w:val="00BA44A3"/>
    <w:rsid w:val="00BA4557"/>
    <w:rsid w:val="00BA47BC"/>
    <w:rsid w:val="00BA49EA"/>
    <w:rsid w:val="00BA4AE2"/>
    <w:rsid w:val="00BA4D36"/>
    <w:rsid w:val="00BA4E85"/>
    <w:rsid w:val="00BA50B6"/>
    <w:rsid w:val="00BA50E9"/>
    <w:rsid w:val="00BA556E"/>
    <w:rsid w:val="00BA55BC"/>
    <w:rsid w:val="00BA568D"/>
    <w:rsid w:val="00BA56A8"/>
    <w:rsid w:val="00BA582B"/>
    <w:rsid w:val="00BA58A1"/>
    <w:rsid w:val="00BA5A46"/>
    <w:rsid w:val="00BA5AB9"/>
    <w:rsid w:val="00BA5E40"/>
    <w:rsid w:val="00BA6264"/>
    <w:rsid w:val="00BA638E"/>
    <w:rsid w:val="00BA6872"/>
    <w:rsid w:val="00BA6D96"/>
    <w:rsid w:val="00BA71D4"/>
    <w:rsid w:val="00BA76EC"/>
    <w:rsid w:val="00BA79FC"/>
    <w:rsid w:val="00BA7BCA"/>
    <w:rsid w:val="00BB06E5"/>
    <w:rsid w:val="00BB0CB2"/>
    <w:rsid w:val="00BB0DAC"/>
    <w:rsid w:val="00BB1253"/>
    <w:rsid w:val="00BB1274"/>
    <w:rsid w:val="00BB1497"/>
    <w:rsid w:val="00BB14A2"/>
    <w:rsid w:val="00BB1514"/>
    <w:rsid w:val="00BB15D2"/>
    <w:rsid w:val="00BB17BD"/>
    <w:rsid w:val="00BB188C"/>
    <w:rsid w:val="00BB1A63"/>
    <w:rsid w:val="00BB1BAC"/>
    <w:rsid w:val="00BB1F62"/>
    <w:rsid w:val="00BB1FC1"/>
    <w:rsid w:val="00BB2005"/>
    <w:rsid w:val="00BB21A4"/>
    <w:rsid w:val="00BB21C2"/>
    <w:rsid w:val="00BB2336"/>
    <w:rsid w:val="00BB234E"/>
    <w:rsid w:val="00BB240D"/>
    <w:rsid w:val="00BB2420"/>
    <w:rsid w:val="00BB2847"/>
    <w:rsid w:val="00BB28EA"/>
    <w:rsid w:val="00BB2AB3"/>
    <w:rsid w:val="00BB2E5D"/>
    <w:rsid w:val="00BB2F1F"/>
    <w:rsid w:val="00BB30D8"/>
    <w:rsid w:val="00BB348E"/>
    <w:rsid w:val="00BB3496"/>
    <w:rsid w:val="00BB3527"/>
    <w:rsid w:val="00BB3622"/>
    <w:rsid w:val="00BB3783"/>
    <w:rsid w:val="00BB3A3E"/>
    <w:rsid w:val="00BB3E03"/>
    <w:rsid w:val="00BB3F44"/>
    <w:rsid w:val="00BB4020"/>
    <w:rsid w:val="00BB421C"/>
    <w:rsid w:val="00BB46D2"/>
    <w:rsid w:val="00BB4A55"/>
    <w:rsid w:val="00BB5323"/>
    <w:rsid w:val="00BB5469"/>
    <w:rsid w:val="00BB5B5E"/>
    <w:rsid w:val="00BB5C46"/>
    <w:rsid w:val="00BB6273"/>
    <w:rsid w:val="00BB62C8"/>
    <w:rsid w:val="00BB6312"/>
    <w:rsid w:val="00BB674D"/>
    <w:rsid w:val="00BB6DF2"/>
    <w:rsid w:val="00BB6E62"/>
    <w:rsid w:val="00BB71E5"/>
    <w:rsid w:val="00BB7285"/>
    <w:rsid w:val="00BB731D"/>
    <w:rsid w:val="00BB7443"/>
    <w:rsid w:val="00BB7977"/>
    <w:rsid w:val="00BC002E"/>
    <w:rsid w:val="00BC0149"/>
    <w:rsid w:val="00BC072B"/>
    <w:rsid w:val="00BC0A1E"/>
    <w:rsid w:val="00BC0B42"/>
    <w:rsid w:val="00BC0B9F"/>
    <w:rsid w:val="00BC0C13"/>
    <w:rsid w:val="00BC0F6F"/>
    <w:rsid w:val="00BC0FA0"/>
    <w:rsid w:val="00BC15BB"/>
    <w:rsid w:val="00BC19AA"/>
    <w:rsid w:val="00BC1A6D"/>
    <w:rsid w:val="00BC1C14"/>
    <w:rsid w:val="00BC2405"/>
    <w:rsid w:val="00BC25B2"/>
    <w:rsid w:val="00BC265C"/>
    <w:rsid w:val="00BC2735"/>
    <w:rsid w:val="00BC29C7"/>
    <w:rsid w:val="00BC2B99"/>
    <w:rsid w:val="00BC2C08"/>
    <w:rsid w:val="00BC2C5C"/>
    <w:rsid w:val="00BC2D07"/>
    <w:rsid w:val="00BC2D40"/>
    <w:rsid w:val="00BC3002"/>
    <w:rsid w:val="00BC30D4"/>
    <w:rsid w:val="00BC32C7"/>
    <w:rsid w:val="00BC385B"/>
    <w:rsid w:val="00BC3AE3"/>
    <w:rsid w:val="00BC3D66"/>
    <w:rsid w:val="00BC418A"/>
    <w:rsid w:val="00BC41F2"/>
    <w:rsid w:val="00BC45C3"/>
    <w:rsid w:val="00BC4782"/>
    <w:rsid w:val="00BC47C3"/>
    <w:rsid w:val="00BC53D7"/>
    <w:rsid w:val="00BC58A4"/>
    <w:rsid w:val="00BC599E"/>
    <w:rsid w:val="00BC5B06"/>
    <w:rsid w:val="00BC5C16"/>
    <w:rsid w:val="00BC5CD9"/>
    <w:rsid w:val="00BC5E34"/>
    <w:rsid w:val="00BC60EC"/>
    <w:rsid w:val="00BC620A"/>
    <w:rsid w:val="00BC6237"/>
    <w:rsid w:val="00BC6634"/>
    <w:rsid w:val="00BC66E3"/>
    <w:rsid w:val="00BC6A82"/>
    <w:rsid w:val="00BC705C"/>
    <w:rsid w:val="00BC7173"/>
    <w:rsid w:val="00BC74D1"/>
    <w:rsid w:val="00BC79F0"/>
    <w:rsid w:val="00BD00BF"/>
    <w:rsid w:val="00BD01B9"/>
    <w:rsid w:val="00BD0AAB"/>
    <w:rsid w:val="00BD0C43"/>
    <w:rsid w:val="00BD0D2B"/>
    <w:rsid w:val="00BD0DEE"/>
    <w:rsid w:val="00BD0E21"/>
    <w:rsid w:val="00BD0EDD"/>
    <w:rsid w:val="00BD0EE3"/>
    <w:rsid w:val="00BD19D4"/>
    <w:rsid w:val="00BD1CF0"/>
    <w:rsid w:val="00BD1DF2"/>
    <w:rsid w:val="00BD1DF9"/>
    <w:rsid w:val="00BD1ECD"/>
    <w:rsid w:val="00BD2101"/>
    <w:rsid w:val="00BD2515"/>
    <w:rsid w:val="00BD2552"/>
    <w:rsid w:val="00BD256A"/>
    <w:rsid w:val="00BD25E7"/>
    <w:rsid w:val="00BD299A"/>
    <w:rsid w:val="00BD2DC1"/>
    <w:rsid w:val="00BD2F41"/>
    <w:rsid w:val="00BD2F9C"/>
    <w:rsid w:val="00BD30FE"/>
    <w:rsid w:val="00BD3593"/>
    <w:rsid w:val="00BD363A"/>
    <w:rsid w:val="00BD3A95"/>
    <w:rsid w:val="00BD3AAC"/>
    <w:rsid w:val="00BD3C9E"/>
    <w:rsid w:val="00BD3CCD"/>
    <w:rsid w:val="00BD4070"/>
    <w:rsid w:val="00BD4677"/>
    <w:rsid w:val="00BD4932"/>
    <w:rsid w:val="00BD4993"/>
    <w:rsid w:val="00BD49DC"/>
    <w:rsid w:val="00BD4C06"/>
    <w:rsid w:val="00BD4D82"/>
    <w:rsid w:val="00BD4FFB"/>
    <w:rsid w:val="00BD5531"/>
    <w:rsid w:val="00BD5623"/>
    <w:rsid w:val="00BD59AC"/>
    <w:rsid w:val="00BD5AD1"/>
    <w:rsid w:val="00BD5B16"/>
    <w:rsid w:val="00BD5B5F"/>
    <w:rsid w:val="00BD5C4E"/>
    <w:rsid w:val="00BD5DEC"/>
    <w:rsid w:val="00BD5F0A"/>
    <w:rsid w:val="00BD5F86"/>
    <w:rsid w:val="00BD6008"/>
    <w:rsid w:val="00BD6185"/>
    <w:rsid w:val="00BD62D0"/>
    <w:rsid w:val="00BD6554"/>
    <w:rsid w:val="00BD6595"/>
    <w:rsid w:val="00BD69A5"/>
    <w:rsid w:val="00BD6CC3"/>
    <w:rsid w:val="00BD6CE2"/>
    <w:rsid w:val="00BD6FB0"/>
    <w:rsid w:val="00BD714F"/>
    <w:rsid w:val="00BD7388"/>
    <w:rsid w:val="00BD7863"/>
    <w:rsid w:val="00BD7C60"/>
    <w:rsid w:val="00BD7C9E"/>
    <w:rsid w:val="00BD7D8B"/>
    <w:rsid w:val="00BD7E27"/>
    <w:rsid w:val="00BD7E9D"/>
    <w:rsid w:val="00BE018A"/>
    <w:rsid w:val="00BE02BC"/>
    <w:rsid w:val="00BE045F"/>
    <w:rsid w:val="00BE04AB"/>
    <w:rsid w:val="00BE061A"/>
    <w:rsid w:val="00BE067A"/>
    <w:rsid w:val="00BE0CB4"/>
    <w:rsid w:val="00BE0E75"/>
    <w:rsid w:val="00BE1008"/>
    <w:rsid w:val="00BE10CB"/>
    <w:rsid w:val="00BE111F"/>
    <w:rsid w:val="00BE1598"/>
    <w:rsid w:val="00BE1847"/>
    <w:rsid w:val="00BE197E"/>
    <w:rsid w:val="00BE1AE2"/>
    <w:rsid w:val="00BE1AF2"/>
    <w:rsid w:val="00BE1B4C"/>
    <w:rsid w:val="00BE1C4E"/>
    <w:rsid w:val="00BE1E33"/>
    <w:rsid w:val="00BE214D"/>
    <w:rsid w:val="00BE21C0"/>
    <w:rsid w:val="00BE22E0"/>
    <w:rsid w:val="00BE267A"/>
    <w:rsid w:val="00BE2BE5"/>
    <w:rsid w:val="00BE2D24"/>
    <w:rsid w:val="00BE2D6E"/>
    <w:rsid w:val="00BE2E45"/>
    <w:rsid w:val="00BE3469"/>
    <w:rsid w:val="00BE361F"/>
    <w:rsid w:val="00BE369D"/>
    <w:rsid w:val="00BE3774"/>
    <w:rsid w:val="00BE38DD"/>
    <w:rsid w:val="00BE3B0F"/>
    <w:rsid w:val="00BE3C46"/>
    <w:rsid w:val="00BE3D40"/>
    <w:rsid w:val="00BE3E79"/>
    <w:rsid w:val="00BE3FEF"/>
    <w:rsid w:val="00BE41A8"/>
    <w:rsid w:val="00BE426B"/>
    <w:rsid w:val="00BE4867"/>
    <w:rsid w:val="00BE494E"/>
    <w:rsid w:val="00BE51C4"/>
    <w:rsid w:val="00BE51DD"/>
    <w:rsid w:val="00BE5C44"/>
    <w:rsid w:val="00BE62D2"/>
    <w:rsid w:val="00BE63B5"/>
    <w:rsid w:val="00BE66B3"/>
    <w:rsid w:val="00BE6AE8"/>
    <w:rsid w:val="00BE6D6C"/>
    <w:rsid w:val="00BE6E74"/>
    <w:rsid w:val="00BE6FC1"/>
    <w:rsid w:val="00BE70CD"/>
    <w:rsid w:val="00BE7495"/>
    <w:rsid w:val="00BE74E2"/>
    <w:rsid w:val="00BE75AD"/>
    <w:rsid w:val="00BE78EC"/>
    <w:rsid w:val="00BE79EA"/>
    <w:rsid w:val="00BE7D02"/>
    <w:rsid w:val="00BE7DB6"/>
    <w:rsid w:val="00BE7F6C"/>
    <w:rsid w:val="00BF0A42"/>
    <w:rsid w:val="00BF0B19"/>
    <w:rsid w:val="00BF0CF9"/>
    <w:rsid w:val="00BF0E77"/>
    <w:rsid w:val="00BF11D1"/>
    <w:rsid w:val="00BF1A2D"/>
    <w:rsid w:val="00BF1B62"/>
    <w:rsid w:val="00BF1FCC"/>
    <w:rsid w:val="00BF22B3"/>
    <w:rsid w:val="00BF240D"/>
    <w:rsid w:val="00BF2444"/>
    <w:rsid w:val="00BF2579"/>
    <w:rsid w:val="00BF2684"/>
    <w:rsid w:val="00BF2781"/>
    <w:rsid w:val="00BF291F"/>
    <w:rsid w:val="00BF2FBD"/>
    <w:rsid w:val="00BF3345"/>
    <w:rsid w:val="00BF33A7"/>
    <w:rsid w:val="00BF340C"/>
    <w:rsid w:val="00BF3776"/>
    <w:rsid w:val="00BF3EA9"/>
    <w:rsid w:val="00BF402F"/>
    <w:rsid w:val="00BF4666"/>
    <w:rsid w:val="00BF4D8E"/>
    <w:rsid w:val="00BF4D91"/>
    <w:rsid w:val="00BF4E2E"/>
    <w:rsid w:val="00BF5292"/>
    <w:rsid w:val="00BF5EAE"/>
    <w:rsid w:val="00BF61E5"/>
    <w:rsid w:val="00BF62A4"/>
    <w:rsid w:val="00BF63AF"/>
    <w:rsid w:val="00BF6423"/>
    <w:rsid w:val="00BF676A"/>
    <w:rsid w:val="00BF678A"/>
    <w:rsid w:val="00BF6A57"/>
    <w:rsid w:val="00BF6BDF"/>
    <w:rsid w:val="00BF6C7C"/>
    <w:rsid w:val="00BF6D95"/>
    <w:rsid w:val="00BF7553"/>
    <w:rsid w:val="00BF776F"/>
    <w:rsid w:val="00BF78B9"/>
    <w:rsid w:val="00BF7DE4"/>
    <w:rsid w:val="00C0029E"/>
    <w:rsid w:val="00C0057E"/>
    <w:rsid w:val="00C00D56"/>
    <w:rsid w:val="00C01106"/>
    <w:rsid w:val="00C0158A"/>
    <w:rsid w:val="00C01BEC"/>
    <w:rsid w:val="00C01D6E"/>
    <w:rsid w:val="00C01DE9"/>
    <w:rsid w:val="00C02194"/>
    <w:rsid w:val="00C0298B"/>
    <w:rsid w:val="00C03066"/>
    <w:rsid w:val="00C03826"/>
    <w:rsid w:val="00C038A4"/>
    <w:rsid w:val="00C03A10"/>
    <w:rsid w:val="00C03F7E"/>
    <w:rsid w:val="00C0405A"/>
    <w:rsid w:val="00C04092"/>
    <w:rsid w:val="00C04204"/>
    <w:rsid w:val="00C0440C"/>
    <w:rsid w:val="00C0457F"/>
    <w:rsid w:val="00C04A26"/>
    <w:rsid w:val="00C04E90"/>
    <w:rsid w:val="00C04F88"/>
    <w:rsid w:val="00C050F6"/>
    <w:rsid w:val="00C05973"/>
    <w:rsid w:val="00C05A3B"/>
    <w:rsid w:val="00C05C47"/>
    <w:rsid w:val="00C05D7E"/>
    <w:rsid w:val="00C06267"/>
    <w:rsid w:val="00C06892"/>
    <w:rsid w:val="00C06A45"/>
    <w:rsid w:val="00C06F6D"/>
    <w:rsid w:val="00C06FDF"/>
    <w:rsid w:val="00C07A3A"/>
    <w:rsid w:val="00C07A6A"/>
    <w:rsid w:val="00C07D84"/>
    <w:rsid w:val="00C1063E"/>
    <w:rsid w:val="00C107A1"/>
    <w:rsid w:val="00C1081E"/>
    <w:rsid w:val="00C10866"/>
    <w:rsid w:val="00C10C83"/>
    <w:rsid w:val="00C10EBA"/>
    <w:rsid w:val="00C10ECE"/>
    <w:rsid w:val="00C11251"/>
    <w:rsid w:val="00C1151C"/>
    <w:rsid w:val="00C11A62"/>
    <w:rsid w:val="00C11AC9"/>
    <w:rsid w:val="00C11B51"/>
    <w:rsid w:val="00C11CE0"/>
    <w:rsid w:val="00C11D0B"/>
    <w:rsid w:val="00C120C1"/>
    <w:rsid w:val="00C12379"/>
    <w:rsid w:val="00C123A7"/>
    <w:rsid w:val="00C12570"/>
    <w:rsid w:val="00C125CA"/>
    <w:rsid w:val="00C12633"/>
    <w:rsid w:val="00C1266B"/>
    <w:rsid w:val="00C126FB"/>
    <w:rsid w:val="00C127B8"/>
    <w:rsid w:val="00C12852"/>
    <w:rsid w:val="00C12893"/>
    <w:rsid w:val="00C1295B"/>
    <w:rsid w:val="00C12B9B"/>
    <w:rsid w:val="00C12C89"/>
    <w:rsid w:val="00C13264"/>
    <w:rsid w:val="00C13795"/>
    <w:rsid w:val="00C137E2"/>
    <w:rsid w:val="00C13CEA"/>
    <w:rsid w:val="00C14191"/>
    <w:rsid w:val="00C141B2"/>
    <w:rsid w:val="00C142A6"/>
    <w:rsid w:val="00C143B3"/>
    <w:rsid w:val="00C144E6"/>
    <w:rsid w:val="00C14A3A"/>
    <w:rsid w:val="00C14AA8"/>
    <w:rsid w:val="00C14E7A"/>
    <w:rsid w:val="00C151B3"/>
    <w:rsid w:val="00C151DA"/>
    <w:rsid w:val="00C1540B"/>
    <w:rsid w:val="00C15421"/>
    <w:rsid w:val="00C15453"/>
    <w:rsid w:val="00C15454"/>
    <w:rsid w:val="00C15A0C"/>
    <w:rsid w:val="00C15C62"/>
    <w:rsid w:val="00C160EC"/>
    <w:rsid w:val="00C163D8"/>
    <w:rsid w:val="00C1645A"/>
    <w:rsid w:val="00C16687"/>
    <w:rsid w:val="00C16815"/>
    <w:rsid w:val="00C168AE"/>
    <w:rsid w:val="00C16BD0"/>
    <w:rsid w:val="00C16DAF"/>
    <w:rsid w:val="00C17239"/>
    <w:rsid w:val="00C17326"/>
    <w:rsid w:val="00C174D9"/>
    <w:rsid w:val="00C1764D"/>
    <w:rsid w:val="00C176C0"/>
    <w:rsid w:val="00C17F57"/>
    <w:rsid w:val="00C20093"/>
    <w:rsid w:val="00C20107"/>
    <w:rsid w:val="00C20145"/>
    <w:rsid w:val="00C203DE"/>
    <w:rsid w:val="00C2048F"/>
    <w:rsid w:val="00C206AC"/>
    <w:rsid w:val="00C21076"/>
    <w:rsid w:val="00C213B9"/>
    <w:rsid w:val="00C217A5"/>
    <w:rsid w:val="00C21872"/>
    <w:rsid w:val="00C219B3"/>
    <w:rsid w:val="00C21E67"/>
    <w:rsid w:val="00C21FF9"/>
    <w:rsid w:val="00C2200D"/>
    <w:rsid w:val="00C2205C"/>
    <w:rsid w:val="00C22451"/>
    <w:rsid w:val="00C224E5"/>
    <w:rsid w:val="00C226C8"/>
    <w:rsid w:val="00C2270B"/>
    <w:rsid w:val="00C22712"/>
    <w:rsid w:val="00C227F3"/>
    <w:rsid w:val="00C228FB"/>
    <w:rsid w:val="00C22D89"/>
    <w:rsid w:val="00C22DC0"/>
    <w:rsid w:val="00C22E22"/>
    <w:rsid w:val="00C23155"/>
    <w:rsid w:val="00C23185"/>
    <w:rsid w:val="00C23997"/>
    <w:rsid w:val="00C23B82"/>
    <w:rsid w:val="00C23C6F"/>
    <w:rsid w:val="00C23C91"/>
    <w:rsid w:val="00C23F1C"/>
    <w:rsid w:val="00C2407A"/>
    <w:rsid w:val="00C2449A"/>
    <w:rsid w:val="00C24693"/>
    <w:rsid w:val="00C246CC"/>
    <w:rsid w:val="00C246D9"/>
    <w:rsid w:val="00C2473C"/>
    <w:rsid w:val="00C24851"/>
    <w:rsid w:val="00C249B0"/>
    <w:rsid w:val="00C24ADE"/>
    <w:rsid w:val="00C24C1C"/>
    <w:rsid w:val="00C25150"/>
    <w:rsid w:val="00C2530B"/>
    <w:rsid w:val="00C2533E"/>
    <w:rsid w:val="00C25788"/>
    <w:rsid w:val="00C261BC"/>
    <w:rsid w:val="00C26655"/>
    <w:rsid w:val="00C26770"/>
    <w:rsid w:val="00C268EF"/>
    <w:rsid w:val="00C26A59"/>
    <w:rsid w:val="00C26FF3"/>
    <w:rsid w:val="00C27337"/>
    <w:rsid w:val="00C27666"/>
    <w:rsid w:val="00C27673"/>
    <w:rsid w:val="00C276DC"/>
    <w:rsid w:val="00C2772B"/>
    <w:rsid w:val="00C2773C"/>
    <w:rsid w:val="00C27AFF"/>
    <w:rsid w:val="00C27B4B"/>
    <w:rsid w:val="00C27D8E"/>
    <w:rsid w:val="00C27E16"/>
    <w:rsid w:val="00C30277"/>
    <w:rsid w:val="00C30354"/>
    <w:rsid w:val="00C3056A"/>
    <w:rsid w:val="00C307CA"/>
    <w:rsid w:val="00C30829"/>
    <w:rsid w:val="00C3096C"/>
    <w:rsid w:val="00C30A2B"/>
    <w:rsid w:val="00C30ED6"/>
    <w:rsid w:val="00C30F46"/>
    <w:rsid w:val="00C30FD9"/>
    <w:rsid w:val="00C31032"/>
    <w:rsid w:val="00C310FD"/>
    <w:rsid w:val="00C31134"/>
    <w:rsid w:val="00C319DB"/>
    <w:rsid w:val="00C31DBC"/>
    <w:rsid w:val="00C31DEA"/>
    <w:rsid w:val="00C32061"/>
    <w:rsid w:val="00C321A7"/>
    <w:rsid w:val="00C32461"/>
    <w:rsid w:val="00C32988"/>
    <w:rsid w:val="00C32BE0"/>
    <w:rsid w:val="00C32EC0"/>
    <w:rsid w:val="00C33108"/>
    <w:rsid w:val="00C334EA"/>
    <w:rsid w:val="00C338FC"/>
    <w:rsid w:val="00C33961"/>
    <w:rsid w:val="00C340FD"/>
    <w:rsid w:val="00C34188"/>
    <w:rsid w:val="00C34441"/>
    <w:rsid w:val="00C345AF"/>
    <w:rsid w:val="00C34768"/>
    <w:rsid w:val="00C34C09"/>
    <w:rsid w:val="00C350CD"/>
    <w:rsid w:val="00C352CE"/>
    <w:rsid w:val="00C35535"/>
    <w:rsid w:val="00C35A05"/>
    <w:rsid w:val="00C35D5D"/>
    <w:rsid w:val="00C35E84"/>
    <w:rsid w:val="00C35E8C"/>
    <w:rsid w:val="00C36239"/>
    <w:rsid w:val="00C362EE"/>
    <w:rsid w:val="00C36754"/>
    <w:rsid w:val="00C369DD"/>
    <w:rsid w:val="00C36C98"/>
    <w:rsid w:val="00C36CF3"/>
    <w:rsid w:val="00C37A6A"/>
    <w:rsid w:val="00C37BF8"/>
    <w:rsid w:val="00C37FA1"/>
    <w:rsid w:val="00C40147"/>
    <w:rsid w:val="00C40655"/>
    <w:rsid w:val="00C4078E"/>
    <w:rsid w:val="00C4099C"/>
    <w:rsid w:val="00C40C3D"/>
    <w:rsid w:val="00C40E7E"/>
    <w:rsid w:val="00C40FC1"/>
    <w:rsid w:val="00C4113C"/>
    <w:rsid w:val="00C411AF"/>
    <w:rsid w:val="00C413A2"/>
    <w:rsid w:val="00C413EA"/>
    <w:rsid w:val="00C4144C"/>
    <w:rsid w:val="00C414B2"/>
    <w:rsid w:val="00C41826"/>
    <w:rsid w:val="00C4186D"/>
    <w:rsid w:val="00C41967"/>
    <w:rsid w:val="00C41A11"/>
    <w:rsid w:val="00C41A8B"/>
    <w:rsid w:val="00C41AF2"/>
    <w:rsid w:val="00C41F4E"/>
    <w:rsid w:val="00C42125"/>
    <w:rsid w:val="00C429C9"/>
    <w:rsid w:val="00C42A9C"/>
    <w:rsid w:val="00C42B59"/>
    <w:rsid w:val="00C42BE3"/>
    <w:rsid w:val="00C4326C"/>
    <w:rsid w:val="00C432BB"/>
    <w:rsid w:val="00C432F2"/>
    <w:rsid w:val="00C436D1"/>
    <w:rsid w:val="00C439CE"/>
    <w:rsid w:val="00C43E86"/>
    <w:rsid w:val="00C44126"/>
    <w:rsid w:val="00C441FA"/>
    <w:rsid w:val="00C44321"/>
    <w:rsid w:val="00C444BF"/>
    <w:rsid w:val="00C4484B"/>
    <w:rsid w:val="00C4489F"/>
    <w:rsid w:val="00C44945"/>
    <w:rsid w:val="00C44C28"/>
    <w:rsid w:val="00C44D68"/>
    <w:rsid w:val="00C44F8C"/>
    <w:rsid w:val="00C44FCE"/>
    <w:rsid w:val="00C45465"/>
    <w:rsid w:val="00C45589"/>
    <w:rsid w:val="00C458B4"/>
    <w:rsid w:val="00C45918"/>
    <w:rsid w:val="00C45A82"/>
    <w:rsid w:val="00C45B27"/>
    <w:rsid w:val="00C45C99"/>
    <w:rsid w:val="00C45DEE"/>
    <w:rsid w:val="00C462E8"/>
    <w:rsid w:val="00C46318"/>
    <w:rsid w:val="00C463D7"/>
    <w:rsid w:val="00C465C8"/>
    <w:rsid w:val="00C46676"/>
    <w:rsid w:val="00C468ED"/>
    <w:rsid w:val="00C46989"/>
    <w:rsid w:val="00C46AE6"/>
    <w:rsid w:val="00C46E22"/>
    <w:rsid w:val="00C470BC"/>
    <w:rsid w:val="00C47445"/>
    <w:rsid w:val="00C47675"/>
    <w:rsid w:val="00C477E7"/>
    <w:rsid w:val="00C47A09"/>
    <w:rsid w:val="00C47AB7"/>
    <w:rsid w:val="00C50084"/>
    <w:rsid w:val="00C5022A"/>
    <w:rsid w:val="00C503C3"/>
    <w:rsid w:val="00C503DC"/>
    <w:rsid w:val="00C50649"/>
    <w:rsid w:val="00C506E0"/>
    <w:rsid w:val="00C507F8"/>
    <w:rsid w:val="00C50829"/>
    <w:rsid w:val="00C50A18"/>
    <w:rsid w:val="00C50B37"/>
    <w:rsid w:val="00C50B7A"/>
    <w:rsid w:val="00C50C44"/>
    <w:rsid w:val="00C50D84"/>
    <w:rsid w:val="00C50E41"/>
    <w:rsid w:val="00C511FF"/>
    <w:rsid w:val="00C5164A"/>
    <w:rsid w:val="00C51799"/>
    <w:rsid w:val="00C518B1"/>
    <w:rsid w:val="00C51977"/>
    <w:rsid w:val="00C51A46"/>
    <w:rsid w:val="00C51C9F"/>
    <w:rsid w:val="00C51E7D"/>
    <w:rsid w:val="00C520FB"/>
    <w:rsid w:val="00C5213D"/>
    <w:rsid w:val="00C522EA"/>
    <w:rsid w:val="00C52390"/>
    <w:rsid w:val="00C52888"/>
    <w:rsid w:val="00C528D9"/>
    <w:rsid w:val="00C52A1B"/>
    <w:rsid w:val="00C52AB0"/>
    <w:rsid w:val="00C52BFA"/>
    <w:rsid w:val="00C52EBF"/>
    <w:rsid w:val="00C53128"/>
    <w:rsid w:val="00C532D0"/>
    <w:rsid w:val="00C533F2"/>
    <w:rsid w:val="00C53759"/>
    <w:rsid w:val="00C538F7"/>
    <w:rsid w:val="00C539AE"/>
    <w:rsid w:val="00C539C4"/>
    <w:rsid w:val="00C53AF1"/>
    <w:rsid w:val="00C53BD6"/>
    <w:rsid w:val="00C53D7A"/>
    <w:rsid w:val="00C53DD2"/>
    <w:rsid w:val="00C53EF3"/>
    <w:rsid w:val="00C540D3"/>
    <w:rsid w:val="00C541C3"/>
    <w:rsid w:val="00C54386"/>
    <w:rsid w:val="00C54883"/>
    <w:rsid w:val="00C54AC8"/>
    <w:rsid w:val="00C54B76"/>
    <w:rsid w:val="00C54CBA"/>
    <w:rsid w:val="00C55162"/>
    <w:rsid w:val="00C55569"/>
    <w:rsid w:val="00C557D9"/>
    <w:rsid w:val="00C55B77"/>
    <w:rsid w:val="00C5601B"/>
    <w:rsid w:val="00C56192"/>
    <w:rsid w:val="00C56931"/>
    <w:rsid w:val="00C569D0"/>
    <w:rsid w:val="00C56ADC"/>
    <w:rsid w:val="00C56E38"/>
    <w:rsid w:val="00C56ECE"/>
    <w:rsid w:val="00C570AB"/>
    <w:rsid w:val="00C570B8"/>
    <w:rsid w:val="00C572B5"/>
    <w:rsid w:val="00C5742E"/>
    <w:rsid w:val="00C574ED"/>
    <w:rsid w:val="00C57578"/>
    <w:rsid w:val="00C576F6"/>
    <w:rsid w:val="00C578F4"/>
    <w:rsid w:val="00C57A20"/>
    <w:rsid w:val="00C57A44"/>
    <w:rsid w:val="00C57CA7"/>
    <w:rsid w:val="00C6011E"/>
    <w:rsid w:val="00C60157"/>
    <w:rsid w:val="00C60242"/>
    <w:rsid w:val="00C60365"/>
    <w:rsid w:val="00C60756"/>
    <w:rsid w:val="00C60C16"/>
    <w:rsid w:val="00C60C9E"/>
    <w:rsid w:val="00C60DF1"/>
    <w:rsid w:val="00C611D7"/>
    <w:rsid w:val="00C61699"/>
    <w:rsid w:val="00C61737"/>
    <w:rsid w:val="00C6173E"/>
    <w:rsid w:val="00C618FD"/>
    <w:rsid w:val="00C618FE"/>
    <w:rsid w:val="00C619BD"/>
    <w:rsid w:val="00C61AF6"/>
    <w:rsid w:val="00C61D1F"/>
    <w:rsid w:val="00C61E0E"/>
    <w:rsid w:val="00C6204F"/>
    <w:rsid w:val="00C621C2"/>
    <w:rsid w:val="00C62380"/>
    <w:rsid w:val="00C62432"/>
    <w:rsid w:val="00C6247E"/>
    <w:rsid w:val="00C62834"/>
    <w:rsid w:val="00C62A9C"/>
    <w:rsid w:val="00C62DB9"/>
    <w:rsid w:val="00C62F91"/>
    <w:rsid w:val="00C6307C"/>
    <w:rsid w:val="00C6320F"/>
    <w:rsid w:val="00C632DF"/>
    <w:rsid w:val="00C633AB"/>
    <w:rsid w:val="00C63D99"/>
    <w:rsid w:val="00C63EEA"/>
    <w:rsid w:val="00C63F77"/>
    <w:rsid w:val="00C63F8D"/>
    <w:rsid w:val="00C6425A"/>
    <w:rsid w:val="00C64755"/>
    <w:rsid w:val="00C64AD6"/>
    <w:rsid w:val="00C64AEF"/>
    <w:rsid w:val="00C64BC4"/>
    <w:rsid w:val="00C64FD4"/>
    <w:rsid w:val="00C65258"/>
    <w:rsid w:val="00C653E1"/>
    <w:rsid w:val="00C65468"/>
    <w:rsid w:val="00C654BB"/>
    <w:rsid w:val="00C6570B"/>
    <w:rsid w:val="00C6580B"/>
    <w:rsid w:val="00C658B2"/>
    <w:rsid w:val="00C65925"/>
    <w:rsid w:val="00C65999"/>
    <w:rsid w:val="00C65D02"/>
    <w:rsid w:val="00C6628C"/>
    <w:rsid w:val="00C66299"/>
    <w:rsid w:val="00C6651F"/>
    <w:rsid w:val="00C66564"/>
    <w:rsid w:val="00C66850"/>
    <w:rsid w:val="00C66953"/>
    <w:rsid w:val="00C66AB8"/>
    <w:rsid w:val="00C66B61"/>
    <w:rsid w:val="00C66DB1"/>
    <w:rsid w:val="00C67287"/>
    <w:rsid w:val="00C672B1"/>
    <w:rsid w:val="00C67590"/>
    <w:rsid w:val="00C67E18"/>
    <w:rsid w:val="00C7028E"/>
    <w:rsid w:val="00C702E0"/>
    <w:rsid w:val="00C706CD"/>
    <w:rsid w:val="00C70B01"/>
    <w:rsid w:val="00C70CE1"/>
    <w:rsid w:val="00C70DBF"/>
    <w:rsid w:val="00C70E4E"/>
    <w:rsid w:val="00C70E79"/>
    <w:rsid w:val="00C70F1E"/>
    <w:rsid w:val="00C71299"/>
    <w:rsid w:val="00C712FD"/>
    <w:rsid w:val="00C71429"/>
    <w:rsid w:val="00C7149B"/>
    <w:rsid w:val="00C714B4"/>
    <w:rsid w:val="00C71539"/>
    <w:rsid w:val="00C71B64"/>
    <w:rsid w:val="00C71E12"/>
    <w:rsid w:val="00C71EC6"/>
    <w:rsid w:val="00C72080"/>
    <w:rsid w:val="00C7218E"/>
    <w:rsid w:val="00C72440"/>
    <w:rsid w:val="00C7256B"/>
    <w:rsid w:val="00C72908"/>
    <w:rsid w:val="00C7297E"/>
    <w:rsid w:val="00C72B54"/>
    <w:rsid w:val="00C72E99"/>
    <w:rsid w:val="00C735CF"/>
    <w:rsid w:val="00C736D5"/>
    <w:rsid w:val="00C73E71"/>
    <w:rsid w:val="00C740FF"/>
    <w:rsid w:val="00C742BD"/>
    <w:rsid w:val="00C743C7"/>
    <w:rsid w:val="00C745BD"/>
    <w:rsid w:val="00C74AB5"/>
    <w:rsid w:val="00C74CAD"/>
    <w:rsid w:val="00C74E14"/>
    <w:rsid w:val="00C74EB6"/>
    <w:rsid w:val="00C74FA7"/>
    <w:rsid w:val="00C75769"/>
    <w:rsid w:val="00C75969"/>
    <w:rsid w:val="00C75A1F"/>
    <w:rsid w:val="00C75A61"/>
    <w:rsid w:val="00C75C5B"/>
    <w:rsid w:val="00C75CC4"/>
    <w:rsid w:val="00C760D6"/>
    <w:rsid w:val="00C762B1"/>
    <w:rsid w:val="00C76349"/>
    <w:rsid w:val="00C7663E"/>
    <w:rsid w:val="00C766A2"/>
    <w:rsid w:val="00C766F3"/>
    <w:rsid w:val="00C7670F"/>
    <w:rsid w:val="00C76913"/>
    <w:rsid w:val="00C76DB4"/>
    <w:rsid w:val="00C76F4D"/>
    <w:rsid w:val="00C76F67"/>
    <w:rsid w:val="00C76F76"/>
    <w:rsid w:val="00C771E7"/>
    <w:rsid w:val="00C77239"/>
    <w:rsid w:val="00C77373"/>
    <w:rsid w:val="00C77529"/>
    <w:rsid w:val="00C77946"/>
    <w:rsid w:val="00C77953"/>
    <w:rsid w:val="00C77A20"/>
    <w:rsid w:val="00C77CC7"/>
    <w:rsid w:val="00C77D0A"/>
    <w:rsid w:val="00C77E23"/>
    <w:rsid w:val="00C8003E"/>
    <w:rsid w:val="00C8049C"/>
    <w:rsid w:val="00C807AC"/>
    <w:rsid w:val="00C8082F"/>
    <w:rsid w:val="00C80BF6"/>
    <w:rsid w:val="00C80C1B"/>
    <w:rsid w:val="00C812EE"/>
    <w:rsid w:val="00C81430"/>
    <w:rsid w:val="00C81551"/>
    <w:rsid w:val="00C81608"/>
    <w:rsid w:val="00C81F70"/>
    <w:rsid w:val="00C8212A"/>
    <w:rsid w:val="00C82636"/>
    <w:rsid w:val="00C828CA"/>
    <w:rsid w:val="00C82CFE"/>
    <w:rsid w:val="00C82DDF"/>
    <w:rsid w:val="00C830D2"/>
    <w:rsid w:val="00C832AC"/>
    <w:rsid w:val="00C833DA"/>
    <w:rsid w:val="00C833DD"/>
    <w:rsid w:val="00C833F1"/>
    <w:rsid w:val="00C83702"/>
    <w:rsid w:val="00C8393D"/>
    <w:rsid w:val="00C83D3C"/>
    <w:rsid w:val="00C83DB4"/>
    <w:rsid w:val="00C83DD1"/>
    <w:rsid w:val="00C83F83"/>
    <w:rsid w:val="00C84509"/>
    <w:rsid w:val="00C84C7D"/>
    <w:rsid w:val="00C84E20"/>
    <w:rsid w:val="00C85039"/>
    <w:rsid w:val="00C8519C"/>
    <w:rsid w:val="00C856EF"/>
    <w:rsid w:val="00C85857"/>
    <w:rsid w:val="00C85965"/>
    <w:rsid w:val="00C8597D"/>
    <w:rsid w:val="00C8598A"/>
    <w:rsid w:val="00C85BEC"/>
    <w:rsid w:val="00C85C3C"/>
    <w:rsid w:val="00C85E41"/>
    <w:rsid w:val="00C85E9B"/>
    <w:rsid w:val="00C85F31"/>
    <w:rsid w:val="00C8636D"/>
    <w:rsid w:val="00C863F6"/>
    <w:rsid w:val="00C86430"/>
    <w:rsid w:val="00C86662"/>
    <w:rsid w:val="00C866D9"/>
    <w:rsid w:val="00C867A8"/>
    <w:rsid w:val="00C869CC"/>
    <w:rsid w:val="00C869DB"/>
    <w:rsid w:val="00C86CB0"/>
    <w:rsid w:val="00C86E4F"/>
    <w:rsid w:val="00C86E96"/>
    <w:rsid w:val="00C86F51"/>
    <w:rsid w:val="00C87005"/>
    <w:rsid w:val="00C874B0"/>
    <w:rsid w:val="00C877EF"/>
    <w:rsid w:val="00C90048"/>
    <w:rsid w:val="00C90155"/>
    <w:rsid w:val="00C90394"/>
    <w:rsid w:val="00C90733"/>
    <w:rsid w:val="00C907C0"/>
    <w:rsid w:val="00C90917"/>
    <w:rsid w:val="00C909DE"/>
    <w:rsid w:val="00C90A09"/>
    <w:rsid w:val="00C90C70"/>
    <w:rsid w:val="00C90F38"/>
    <w:rsid w:val="00C91080"/>
    <w:rsid w:val="00C913F2"/>
    <w:rsid w:val="00C915F5"/>
    <w:rsid w:val="00C9220F"/>
    <w:rsid w:val="00C9224B"/>
    <w:rsid w:val="00C92280"/>
    <w:rsid w:val="00C923DF"/>
    <w:rsid w:val="00C9241D"/>
    <w:rsid w:val="00C926C5"/>
    <w:rsid w:val="00C927E6"/>
    <w:rsid w:val="00C92891"/>
    <w:rsid w:val="00C92C69"/>
    <w:rsid w:val="00C93089"/>
    <w:rsid w:val="00C93673"/>
    <w:rsid w:val="00C9383B"/>
    <w:rsid w:val="00C9390B"/>
    <w:rsid w:val="00C939B4"/>
    <w:rsid w:val="00C93C40"/>
    <w:rsid w:val="00C93C6C"/>
    <w:rsid w:val="00C93F33"/>
    <w:rsid w:val="00C9407B"/>
    <w:rsid w:val="00C940E0"/>
    <w:rsid w:val="00C9410D"/>
    <w:rsid w:val="00C9451E"/>
    <w:rsid w:val="00C94793"/>
    <w:rsid w:val="00C94ADC"/>
    <w:rsid w:val="00C94B76"/>
    <w:rsid w:val="00C94BD5"/>
    <w:rsid w:val="00C94CC4"/>
    <w:rsid w:val="00C94DF5"/>
    <w:rsid w:val="00C95431"/>
    <w:rsid w:val="00C9547E"/>
    <w:rsid w:val="00C95726"/>
    <w:rsid w:val="00C95A06"/>
    <w:rsid w:val="00C95A18"/>
    <w:rsid w:val="00C95E54"/>
    <w:rsid w:val="00C960DE"/>
    <w:rsid w:val="00C963E5"/>
    <w:rsid w:val="00C964B6"/>
    <w:rsid w:val="00C965E2"/>
    <w:rsid w:val="00C96C2E"/>
    <w:rsid w:val="00C96CB4"/>
    <w:rsid w:val="00C96D4A"/>
    <w:rsid w:val="00C96F05"/>
    <w:rsid w:val="00C96F61"/>
    <w:rsid w:val="00C9719D"/>
    <w:rsid w:val="00C974EC"/>
    <w:rsid w:val="00C9752A"/>
    <w:rsid w:val="00C9787F"/>
    <w:rsid w:val="00C97906"/>
    <w:rsid w:val="00C97B4A"/>
    <w:rsid w:val="00C97C8A"/>
    <w:rsid w:val="00C97ECA"/>
    <w:rsid w:val="00C97ECB"/>
    <w:rsid w:val="00CA076A"/>
    <w:rsid w:val="00CA078E"/>
    <w:rsid w:val="00CA098C"/>
    <w:rsid w:val="00CA0A19"/>
    <w:rsid w:val="00CA0B23"/>
    <w:rsid w:val="00CA0B2F"/>
    <w:rsid w:val="00CA0B6E"/>
    <w:rsid w:val="00CA0C10"/>
    <w:rsid w:val="00CA0ED8"/>
    <w:rsid w:val="00CA102B"/>
    <w:rsid w:val="00CA1417"/>
    <w:rsid w:val="00CA18F6"/>
    <w:rsid w:val="00CA1FC9"/>
    <w:rsid w:val="00CA223E"/>
    <w:rsid w:val="00CA22AC"/>
    <w:rsid w:val="00CA2306"/>
    <w:rsid w:val="00CA2752"/>
    <w:rsid w:val="00CA29A1"/>
    <w:rsid w:val="00CA2DDA"/>
    <w:rsid w:val="00CA3326"/>
    <w:rsid w:val="00CA3C9A"/>
    <w:rsid w:val="00CA411C"/>
    <w:rsid w:val="00CA419D"/>
    <w:rsid w:val="00CA4473"/>
    <w:rsid w:val="00CA4ADA"/>
    <w:rsid w:val="00CA4C80"/>
    <w:rsid w:val="00CA5093"/>
    <w:rsid w:val="00CA51E7"/>
    <w:rsid w:val="00CA525A"/>
    <w:rsid w:val="00CA533E"/>
    <w:rsid w:val="00CA54AB"/>
    <w:rsid w:val="00CA5585"/>
    <w:rsid w:val="00CA5591"/>
    <w:rsid w:val="00CA5990"/>
    <w:rsid w:val="00CA5A4C"/>
    <w:rsid w:val="00CA5D41"/>
    <w:rsid w:val="00CA5FA7"/>
    <w:rsid w:val="00CA60A0"/>
    <w:rsid w:val="00CA64EC"/>
    <w:rsid w:val="00CA65DF"/>
    <w:rsid w:val="00CA665D"/>
    <w:rsid w:val="00CA688F"/>
    <w:rsid w:val="00CA68D0"/>
    <w:rsid w:val="00CA6975"/>
    <w:rsid w:val="00CA6A29"/>
    <w:rsid w:val="00CA6DEF"/>
    <w:rsid w:val="00CA6E20"/>
    <w:rsid w:val="00CA7236"/>
    <w:rsid w:val="00CA7259"/>
    <w:rsid w:val="00CB0022"/>
    <w:rsid w:val="00CB019B"/>
    <w:rsid w:val="00CB041D"/>
    <w:rsid w:val="00CB0AB4"/>
    <w:rsid w:val="00CB0BE7"/>
    <w:rsid w:val="00CB11B0"/>
    <w:rsid w:val="00CB11EA"/>
    <w:rsid w:val="00CB16B4"/>
    <w:rsid w:val="00CB1C28"/>
    <w:rsid w:val="00CB1C6E"/>
    <w:rsid w:val="00CB210F"/>
    <w:rsid w:val="00CB2276"/>
    <w:rsid w:val="00CB232A"/>
    <w:rsid w:val="00CB258F"/>
    <w:rsid w:val="00CB262B"/>
    <w:rsid w:val="00CB2922"/>
    <w:rsid w:val="00CB2A1A"/>
    <w:rsid w:val="00CB2BAD"/>
    <w:rsid w:val="00CB346F"/>
    <w:rsid w:val="00CB36BB"/>
    <w:rsid w:val="00CB38ED"/>
    <w:rsid w:val="00CB3BFD"/>
    <w:rsid w:val="00CB431F"/>
    <w:rsid w:val="00CB43A7"/>
    <w:rsid w:val="00CB4559"/>
    <w:rsid w:val="00CB4731"/>
    <w:rsid w:val="00CB4A9A"/>
    <w:rsid w:val="00CB4D3E"/>
    <w:rsid w:val="00CB4D8A"/>
    <w:rsid w:val="00CB505F"/>
    <w:rsid w:val="00CB50D4"/>
    <w:rsid w:val="00CB5345"/>
    <w:rsid w:val="00CB57CE"/>
    <w:rsid w:val="00CB5BCA"/>
    <w:rsid w:val="00CB6162"/>
    <w:rsid w:val="00CB6450"/>
    <w:rsid w:val="00CB64E8"/>
    <w:rsid w:val="00CB64FA"/>
    <w:rsid w:val="00CB69B7"/>
    <w:rsid w:val="00CB6CBD"/>
    <w:rsid w:val="00CB7329"/>
    <w:rsid w:val="00CB75AF"/>
    <w:rsid w:val="00CB7A8B"/>
    <w:rsid w:val="00CB7A8C"/>
    <w:rsid w:val="00CB7ABE"/>
    <w:rsid w:val="00CB7B79"/>
    <w:rsid w:val="00CB7CF3"/>
    <w:rsid w:val="00CC0016"/>
    <w:rsid w:val="00CC0663"/>
    <w:rsid w:val="00CC083A"/>
    <w:rsid w:val="00CC08C9"/>
    <w:rsid w:val="00CC092F"/>
    <w:rsid w:val="00CC0A8E"/>
    <w:rsid w:val="00CC0B17"/>
    <w:rsid w:val="00CC0C65"/>
    <w:rsid w:val="00CC0D8E"/>
    <w:rsid w:val="00CC0FC0"/>
    <w:rsid w:val="00CC14B0"/>
    <w:rsid w:val="00CC18C2"/>
    <w:rsid w:val="00CC197E"/>
    <w:rsid w:val="00CC1A85"/>
    <w:rsid w:val="00CC1B0F"/>
    <w:rsid w:val="00CC1F4B"/>
    <w:rsid w:val="00CC202C"/>
    <w:rsid w:val="00CC2149"/>
    <w:rsid w:val="00CC272B"/>
    <w:rsid w:val="00CC2766"/>
    <w:rsid w:val="00CC28F7"/>
    <w:rsid w:val="00CC2A0F"/>
    <w:rsid w:val="00CC2CCC"/>
    <w:rsid w:val="00CC2DD5"/>
    <w:rsid w:val="00CC2EA5"/>
    <w:rsid w:val="00CC2EC4"/>
    <w:rsid w:val="00CC2EE5"/>
    <w:rsid w:val="00CC3055"/>
    <w:rsid w:val="00CC31C5"/>
    <w:rsid w:val="00CC3395"/>
    <w:rsid w:val="00CC371D"/>
    <w:rsid w:val="00CC3BF3"/>
    <w:rsid w:val="00CC3C13"/>
    <w:rsid w:val="00CC3C2D"/>
    <w:rsid w:val="00CC40D9"/>
    <w:rsid w:val="00CC437A"/>
    <w:rsid w:val="00CC4477"/>
    <w:rsid w:val="00CC45BA"/>
    <w:rsid w:val="00CC4756"/>
    <w:rsid w:val="00CC4776"/>
    <w:rsid w:val="00CC48D6"/>
    <w:rsid w:val="00CC4A9D"/>
    <w:rsid w:val="00CC4E06"/>
    <w:rsid w:val="00CC50D5"/>
    <w:rsid w:val="00CC5118"/>
    <w:rsid w:val="00CC518C"/>
    <w:rsid w:val="00CC547D"/>
    <w:rsid w:val="00CC5533"/>
    <w:rsid w:val="00CC571D"/>
    <w:rsid w:val="00CC5875"/>
    <w:rsid w:val="00CC5CA0"/>
    <w:rsid w:val="00CC5D65"/>
    <w:rsid w:val="00CC5D9D"/>
    <w:rsid w:val="00CC6291"/>
    <w:rsid w:val="00CC62A5"/>
    <w:rsid w:val="00CC67D9"/>
    <w:rsid w:val="00CC6CB0"/>
    <w:rsid w:val="00CC7230"/>
    <w:rsid w:val="00CC726A"/>
    <w:rsid w:val="00CC7603"/>
    <w:rsid w:val="00CC7849"/>
    <w:rsid w:val="00CC784F"/>
    <w:rsid w:val="00CC7881"/>
    <w:rsid w:val="00CD0025"/>
    <w:rsid w:val="00CD01A0"/>
    <w:rsid w:val="00CD02B4"/>
    <w:rsid w:val="00CD0365"/>
    <w:rsid w:val="00CD0793"/>
    <w:rsid w:val="00CD07BC"/>
    <w:rsid w:val="00CD084B"/>
    <w:rsid w:val="00CD0CA0"/>
    <w:rsid w:val="00CD1727"/>
    <w:rsid w:val="00CD187B"/>
    <w:rsid w:val="00CD1A80"/>
    <w:rsid w:val="00CD219C"/>
    <w:rsid w:val="00CD23B1"/>
    <w:rsid w:val="00CD25B0"/>
    <w:rsid w:val="00CD2609"/>
    <w:rsid w:val="00CD2631"/>
    <w:rsid w:val="00CD2866"/>
    <w:rsid w:val="00CD29AD"/>
    <w:rsid w:val="00CD2B21"/>
    <w:rsid w:val="00CD306E"/>
    <w:rsid w:val="00CD3195"/>
    <w:rsid w:val="00CD3244"/>
    <w:rsid w:val="00CD32D8"/>
    <w:rsid w:val="00CD35BB"/>
    <w:rsid w:val="00CD3833"/>
    <w:rsid w:val="00CD39E1"/>
    <w:rsid w:val="00CD3BC9"/>
    <w:rsid w:val="00CD3DF6"/>
    <w:rsid w:val="00CD3E71"/>
    <w:rsid w:val="00CD3FFF"/>
    <w:rsid w:val="00CD4157"/>
    <w:rsid w:val="00CD455D"/>
    <w:rsid w:val="00CD4666"/>
    <w:rsid w:val="00CD4AF2"/>
    <w:rsid w:val="00CD4D31"/>
    <w:rsid w:val="00CD4E1A"/>
    <w:rsid w:val="00CD4F3D"/>
    <w:rsid w:val="00CD532F"/>
    <w:rsid w:val="00CD55A4"/>
    <w:rsid w:val="00CD5871"/>
    <w:rsid w:val="00CD5A73"/>
    <w:rsid w:val="00CD5AA7"/>
    <w:rsid w:val="00CD6342"/>
    <w:rsid w:val="00CD6379"/>
    <w:rsid w:val="00CD649F"/>
    <w:rsid w:val="00CD6914"/>
    <w:rsid w:val="00CD6DAA"/>
    <w:rsid w:val="00CD6EF2"/>
    <w:rsid w:val="00CD6FDB"/>
    <w:rsid w:val="00CD75D4"/>
    <w:rsid w:val="00CD77DE"/>
    <w:rsid w:val="00CD7810"/>
    <w:rsid w:val="00CD7B9C"/>
    <w:rsid w:val="00CD7BD2"/>
    <w:rsid w:val="00CD7F0D"/>
    <w:rsid w:val="00CD7F37"/>
    <w:rsid w:val="00CD7F6B"/>
    <w:rsid w:val="00CE029E"/>
    <w:rsid w:val="00CE0546"/>
    <w:rsid w:val="00CE05AC"/>
    <w:rsid w:val="00CE0989"/>
    <w:rsid w:val="00CE0AA6"/>
    <w:rsid w:val="00CE0ACE"/>
    <w:rsid w:val="00CE108B"/>
    <w:rsid w:val="00CE10AC"/>
    <w:rsid w:val="00CE1246"/>
    <w:rsid w:val="00CE136D"/>
    <w:rsid w:val="00CE1430"/>
    <w:rsid w:val="00CE1527"/>
    <w:rsid w:val="00CE1773"/>
    <w:rsid w:val="00CE1CDF"/>
    <w:rsid w:val="00CE1D09"/>
    <w:rsid w:val="00CE1DDA"/>
    <w:rsid w:val="00CE20D0"/>
    <w:rsid w:val="00CE2128"/>
    <w:rsid w:val="00CE22B8"/>
    <w:rsid w:val="00CE2426"/>
    <w:rsid w:val="00CE25BD"/>
    <w:rsid w:val="00CE25FA"/>
    <w:rsid w:val="00CE268C"/>
    <w:rsid w:val="00CE276F"/>
    <w:rsid w:val="00CE27B7"/>
    <w:rsid w:val="00CE2961"/>
    <w:rsid w:val="00CE2EE2"/>
    <w:rsid w:val="00CE3433"/>
    <w:rsid w:val="00CE381C"/>
    <w:rsid w:val="00CE38B5"/>
    <w:rsid w:val="00CE3E45"/>
    <w:rsid w:val="00CE3E6D"/>
    <w:rsid w:val="00CE41A2"/>
    <w:rsid w:val="00CE456E"/>
    <w:rsid w:val="00CE475F"/>
    <w:rsid w:val="00CE4A16"/>
    <w:rsid w:val="00CE4B24"/>
    <w:rsid w:val="00CE4E70"/>
    <w:rsid w:val="00CE4EE4"/>
    <w:rsid w:val="00CE5255"/>
    <w:rsid w:val="00CE52C2"/>
    <w:rsid w:val="00CE555A"/>
    <w:rsid w:val="00CE55DD"/>
    <w:rsid w:val="00CE5680"/>
    <w:rsid w:val="00CE57AD"/>
    <w:rsid w:val="00CE58DF"/>
    <w:rsid w:val="00CE5C77"/>
    <w:rsid w:val="00CE5D50"/>
    <w:rsid w:val="00CE5E8A"/>
    <w:rsid w:val="00CE6137"/>
    <w:rsid w:val="00CE6230"/>
    <w:rsid w:val="00CE6E25"/>
    <w:rsid w:val="00CE6E34"/>
    <w:rsid w:val="00CE6FFD"/>
    <w:rsid w:val="00CE70B3"/>
    <w:rsid w:val="00CE72F6"/>
    <w:rsid w:val="00CE750C"/>
    <w:rsid w:val="00CE76B4"/>
    <w:rsid w:val="00CE76F7"/>
    <w:rsid w:val="00CE780E"/>
    <w:rsid w:val="00CE7CA9"/>
    <w:rsid w:val="00CF0350"/>
    <w:rsid w:val="00CF0644"/>
    <w:rsid w:val="00CF068B"/>
    <w:rsid w:val="00CF0C7F"/>
    <w:rsid w:val="00CF0FC8"/>
    <w:rsid w:val="00CF13F5"/>
    <w:rsid w:val="00CF13FF"/>
    <w:rsid w:val="00CF1458"/>
    <w:rsid w:val="00CF187B"/>
    <w:rsid w:val="00CF18C5"/>
    <w:rsid w:val="00CF1980"/>
    <w:rsid w:val="00CF208E"/>
    <w:rsid w:val="00CF21C8"/>
    <w:rsid w:val="00CF35DB"/>
    <w:rsid w:val="00CF3684"/>
    <w:rsid w:val="00CF3688"/>
    <w:rsid w:val="00CF3784"/>
    <w:rsid w:val="00CF382B"/>
    <w:rsid w:val="00CF3923"/>
    <w:rsid w:val="00CF39B7"/>
    <w:rsid w:val="00CF3B4B"/>
    <w:rsid w:val="00CF3BA3"/>
    <w:rsid w:val="00CF3E28"/>
    <w:rsid w:val="00CF403F"/>
    <w:rsid w:val="00CF4634"/>
    <w:rsid w:val="00CF4A2F"/>
    <w:rsid w:val="00CF4E1A"/>
    <w:rsid w:val="00CF4E2E"/>
    <w:rsid w:val="00CF4F52"/>
    <w:rsid w:val="00CF4FF7"/>
    <w:rsid w:val="00CF502B"/>
    <w:rsid w:val="00CF5037"/>
    <w:rsid w:val="00CF5058"/>
    <w:rsid w:val="00CF5309"/>
    <w:rsid w:val="00CF5363"/>
    <w:rsid w:val="00CF55E7"/>
    <w:rsid w:val="00CF58C6"/>
    <w:rsid w:val="00CF5B57"/>
    <w:rsid w:val="00CF5C41"/>
    <w:rsid w:val="00CF6416"/>
    <w:rsid w:val="00CF68B0"/>
    <w:rsid w:val="00CF6A8B"/>
    <w:rsid w:val="00CF6BE2"/>
    <w:rsid w:val="00CF6BF3"/>
    <w:rsid w:val="00CF6E5C"/>
    <w:rsid w:val="00CF744E"/>
    <w:rsid w:val="00CF7451"/>
    <w:rsid w:val="00CF746A"/>
    <w:rsid w:val="00CF7554"/>
    <w:rsid w:val="00CF7C1E"/>
    <w:rsid w:val="00CF7E4A"/>
    <w:rsid w:val="00CF7E6F"/>
    <w:rsid w:val="00CF7FC0"/>
    <w:rsid w:val="00D0002D"/>
    <w:rsid w:val="00D007C5"/>
    <w:rsid w:val="00D00827"/>
    <w:rsid w:val="00D00FE3"/>
    <w:rsid w:val="00D011F4"/>
    <w:rsid w:val="00D01565"/>
    <w:rsid w:val="00D015E7"/>
    <w:rsid w:val="00D016B6"/>
    <w:rsid w:val="00D01B87"/>
    <w:rsid w:val="00D02080"/>
    <w:rsid w:val="00D02357"/>
    <w:rsid w:val="00D0236A"/>
    <w:rsid w:val="00D02594"/>
    <w:rsid w:val="00D027A7"/>
    <w:rsid w:val="00D02A41"/>
    <w:rsid w:val="00D02CD6"/>
    <w:rsid w:val="00D03364"/>
    <w:rsid w:val="00D0352B"/>
    <w:rsid w:val="00D037D6"/>
    <w:rsid w:val="00D038AF"/>
    <w:rsid w:val="00D038B3"/>
    <w:rsid w:val="00D03E58"/>
    <w:rsid w:val="00D03F23"/>
    <w:rsid w:val="00D0464B"/>
    <w:rsid w:val="00D0464C"/>
    <w:rsid w:val="00D0498E"/>
    <w:rsid w:val="00D04AD7"/>
    <w:rsid w:val="00D04B2B"/>
    <w:rsid w:val="00D04FD4"/>
    <w:rsid w:val="00D05700"/>
    <w:rsid w:val="00D0579D"/>
    <w:rsid w:val="00D057B7"/>
    <w:rsid w:val="00D0588C"/>
    <w:rsid w:val="00D0597B"/>
    <w:rsid w:val="00D05BF8"/>
    <w:rsid w:val="00D060E1"/>
    <w:rsid w:val="00D060E4"/>
    <w:rsid w:val="00D06456"/>
    <w:rsid w:val="00D0656E"/>
    <w:rsid w:val="00D06854"/>
    <w:rsid w:val="00D069C5"/>
    <w:rsid w:val="00D06A04"/>
    <w:rsid w:val="00D06A06"/>
    <w:rsid w:val="00D06BB9"/>
    <w:rsid w:val="00D07138"/>
    <w:rsid w:val="00D071A6"/>
    <w:rsid w:val="00D07445"/>
    <w:rsid w:val="00D07623"/>
    <w:rsid w:val="00D07A00"/>
    <w:rsid w:val="00D07B0C"/>
    <w:rsid w:val="00D07DBD"/>
    <w:rsid w:val="00D1002D"/>
    <w:rsid w:val="00D10077"/>
    <w:rsid w:val="00D10131"/>
    <w:rsid w:val="00D101F0"/>
    <w:rsid w:val="00D10267"/>
    <w:rsid w:val="00D104D0"/>
    <w:rsid w:val="00D10B0B"/>
    <w:rsid w:val="00D10CC4"/>
    <w:rsid w:val="00D10D6A"/>
    <w:rsid w:val="00D10E8C"/>
    <w:rsid w:val="00D10FE6"/>
    <w:rsid w:val="00D1101A"/>
    <w:rsid w:val="00D110BA"/>
    <w:rsid w:val="00D110DD"/>
    <w:rsid w:val="00D1118E"/>
    <w:rsid w:val="00D11348"/>
    <w:rsid w:val="00D11580"/>
    <w:rsid w:val="00D1173F"/>
    <w:rsid w:val="00D118AC"/>
    <w:rsid w:val="00D11988"/>
    <w:rsid w:val="00D11DC9"/>
    <w:rsid w:val="00D12186"/>
    <w:rsid w:val="00D123B4"/>
    <w:rsid w:val="00D1257A"/>
    <w:rsid w:val="00D126FB"/>
    <w:rsid w:val="00D12A6C"/>
    <w:rsid w:val="00D12FF2"/>
    <w:rsid w:val="00D1378F"/>
    <w:rsid w:val="00D1384B"/>
    <w:rsid w:val="00D139D3"/>
    <w:rsid w:val="00D13AE5"/>
    <w:rsid w:val="00D13B43"/>
    <w:rsid w:val="00D13E05"/>
    <w:rsid w:val="00D14189"/>
    <w:rsid w:val="00D1484A"/>
    <w:rsid w:val="00D14FA6"/>
    <w:rsid w:val="00D1515D"/>
    <w:rsid w:val="00D151F4"/>
    <w:rsid w:val="00D156C1"/>
    <w:rsid w:val="00D15770"/>
    <w:rsid w:val="00D15807"/>
    <w:rsid w:val="00D15C13"/>
    <w:rsid w:val="00D15C60"/>
    <w:rsid w:val="00D1609A"/>
    <w:rsid w:val="00D16419"/>
    <w:rsid w:val="00D1651D"/>
    <w:rsid w:val="00D16826"/>
    <w:rsid w:val="00D16885"/>
    <w:rsid w:val="00D168DC"/>
    <w:rsid w:val="00D168E0"/>
    <w:rsid w:val="00D16A77"/>
    <w:rsid w:val="00D16A96"/>
    <w:rsid w:val="00D16AD5"/>
    <w:rsid w:val="00D16B4C"/>
    <w:rsid w:val="00D16BFC"/>
    <w:rsid w:val="00D16EAE"/>
    <w:rsid w:val="00D17121"/>
    <w:rsid w:val="00D1724C"/>
    <w:rsid w:val="00D17283"/>
    <w:rsid w:val="00D173D4"/>
    <w:rsid w:val="00D17A1B"/>
    <w:rsid w:val="00D17A8A"/>
    <w:rsid w:val="00D17AD9"/>
    <w:rsid w:val="00D17F70"/>
    <w:rsid w:val="00D17F81"/>
    <w:rsid w:val="00D20045"/>
    <w:rsid w:val="00D2045D"/>
    <w:rsid w:val="00D20D99"/>
    <w:rsid w:val="00D20EB9"/>
    <w:rsid w:val="00D20F09"/>
    <w:rsid w:val="00D2173F"/>
    <w:rsid w:val="00D21A5A"/>
    <w:rsid w:val="00D21C78"/>
    <w:rsid w:val="00D21CEF"/>
    <w:rsid w:val="00D21D33"/>
    <w:rsid w:val="00D21DD7"/>
    <w:rsid w:val="00D21F72"/>
    <w:rsid w:val="00D223E5"/>
    <w:rsid w:val="00D225D4"/>
    <w:rsid w:val="00D2286C"/>
    <w:rsid w:val="00D22BB4"/>
    <w:rsid w:val="00D22CB1"/>
    <w:rsid w:val="00D22F1F"/>
    <w:rsid w:val="00D22F47"/>
    <w:rsid w:val="00D2319C"/>
    <w:rsid w:val="00D2350B"/>
    <w:rsid w:val="00D2364C"/>
    <w:rsid w:val="00D236ED"/>
    <w:rsid w:val="00D237F4"/>
    <w:rsid w:val="00D238C9"/>
    <w:rsid w:val="00D23914"/>
    <w:rsid w:val="00D23C8B"/>
    <w:rsid w:val="00D23FEC"/>
    <w:rsid w:val="00D24235"/>
    <w:rsid w:val="00D24379"/>
    <w:rsid w:val="00D244DB"/>
    <w:rsid w:val="00D2476D"/>
    <w:rsid w:val="00D24895"/>
    <w:rsid w:val="00D248AB"/>
    <w:rsid w:val="00D248C2"/>
    <w:rsid w:val="00D249B9"/>
    <w:rsid w:val="00D24A3B"/>
    <w:rsid w:val="00D24B19"/>
    <w:rsid w:val="00D2508F"/>
    <w:rsid w:val="00D2521A"/>
    <w:rsid w:val="00D25295"/>
    <w:rsid w:val="00D25611"/>
    <w:rsid w:val="00D258D3"/>
    <w:rsid w:val="00D260CE"/>
    <w:rsid w:val="00D261BE"/>
    <w:rsid w:val="00D26376"/>
    <w:rsid w:val="00D26379"/>
    <w:rsid w:val="00D26397"/>
    <w:rsid w:val="00D26656"/>
    <w:rsid w:val="00D26733"/>
    <w:rsid w:val="00D2676E"/>
    <w:rsid w:val="00D26820"/>
    <w:rsid w:val="00D26AA0"/>
    <w:rsid w:val="00D26EFF"/>
    <w:rsid w:val="00D27694"/>
    <w:rsid w:val="00D276E7"/>
    <w:rsid w:val="00D27AB1"/>
    <w:rsid w:val="00D27DCE"/>
    <w:rsid w:val="00D27DFD"/>
    <w:rsid w:val="00D3037D"/>
    <w:rsid w:val="00D30393"/>
    <w:rsid w:val="00D30450"/>
    <w:rsid w:val="00D305D6"/>
    <w:rsid w:val="00D30782"/>
    <w:rsid w:val="00D307E2"/>
    <w:rsid w:val="00D30849"/>
    <w:rsid w:val="00D30E94"/>
    <w:rsid w:val="00D312DD"/>
    <w:rsid w:val="00D318DF"/>
    <w:rsid w:val="00D318E2"/>
    <w:rsid w:val="00D3195E"/>
    <w:rsid w:val="00D31D79"/>
    <w:rsid w:val="00D31DD7"/>
    <w:rsid w:val="00D32354"/>
    <w:rsid w:val="00D32691"/>
    <w:rsid w:val="00D32A4C"/>
    <w:rsid w:val="00D32A5A"/>
    <w:rsid w:val="00D32BDD"/>
    <w:rsid w:val="00D32F5D"/>
    <w:rsid w:val="00D331BC"/>
    <w:rsid w:val="00D3322A"/>
    <w:rsid w:val="00D33284"/>
    <w:rsid w:val="00D33394"/>
    <w:rsid w:val="00D334C7"/>
    <w:rsid w:val="00D3357B"/>
    <w:rsid w:val="00D33896"/>
    <w:rsid w:val="00D33D90"/>
    <w:rsid w:val="00D33FFE"/>
    <w:rsid w:val="00D34BAA"/>
    <w:rsid w:val="00D34DE0"/>
    <w:rsid w:val="00D34EA5"/>
    <w:rsid w:val="00D34EF9"/>
    <w:rsid w:val="00D351A5"/>
    <w:rsid w:val="00D3542A"/>
    <w:rsid w:val="00D35778"/>
    <w:rsid w:val="00D3587B"/>
    <w:rsid w:val="00D35ADA"/>
    <w:rsid w:val="00D3618D"/>
    <w:rsid w:val="00D36615"/>
    <w:rsid w:val="00D367DD"/>
    <w:rsid w:val="00D3699B"/>
    <w:rsid w:val="00D36B56"/>
    <w:rsid w:val="00D36BCB"/>
    <w:rsid w:val="00D36E82"/>
    <w:rsid w:val="00D37071"/>
    <w:rsid w:val="00D372CE"/>
    <w:rsid w:val="00D3731B"/>
    <w:rsid w:val="00D3789A"/>
    <w:rsid w:val="00D378BF"/>
    <w:rsid w:val="00D37F8E"/>
    <w:rsid w:val="00D40044"/>
    <w:rsid w:val="00D4005B"/>
    <w:rsid w:val="00D40274"/>
    <w:rsid w:val="00D40316"/>
    <w:rsid w:val="00D4035D"/>
    <w:rsid w:val="00D40583"/>
    <w:rsid w:val="00D407A2"/>
    <w:rsid w:val="00D40859"/>
    <w:rsid w:val="00D409BB"/>
    <w:rsid w:val="00D40C61"/>
    <w:rsid w:val="00D40CA4"/>
    <w:rsid w:val="00D40E5D"/>
    <w:rsid w:val="00D41009"/>
    <w:rsid w:val="00D4100C"/>
    <w:rsid w:val="00D41035"/>
    <w:rsid w:val="00D4103F"/>
    <w:rsid w:val="00D41206"/>
    <w:rsid w:val="00D41381"/>
    <w:rsid w:val="00D41667"/>
    <w:rsid w:val="00D419CE"/>
    <w:rsid w:val="00D41DE9"/>
    <w:rsid w:val="00D41EBF"/>
    <w:rsid w:val="00D42167"/>
    <w:rsid w:val="00D42617"/>
    <w:rsid w:val="00D42643"/>
    <w:rsid w:val="00D426B7"/>
    <w:rsid w:val="00D426BF"/>
    <w:rsid w:val="00D42889"/>
    <w:rsid w:val="00D42CEA"/>
    <w:rsid w:val="00D42E03"/>
    <w:rsid w:val="00D43029"/>
    <w:rsid w:val="00D43165"/>
    <w:rsid w:val="00D4323C"/>
    <w:rsid w:val="00D433E4"/>
    <w:rsid w:val="00D43B3E"/>
    <w:rsid w:val="00D43F2A"/>
    <w:rsid w:val="00D44169"/>
    <w:rsid w:val="00D44199"/>
    <w:rsid w:val="00D44388"/>
    <w:rsid w:val="00D443C9"/>
    <w:rsid w:val="00D443FC"/>
    <w:rsid w:val="00D444DA"/>
    <w:rsid w:val="00D44659"/>
    <w:rsid w:val="00D44687"/>
    <w:rsid w:val="00D4474A"/>
    <w:rsid w:val="00D44A38"/>
    <w:rsid w:val="00D44E5F"/>
    <w:rsid w:val="00D4501A"/>
    <w:rsid w:val="00D4537E"/>
    <w:rsid w:val="00D4552D"/>
    <w:rsid w:val="00D45575"/>
    <w:rsid w:val="00D45912"/>
    <w:rsid w:val="00D45EEE"/>
    <w:rsid w:val="00D46334"/>
    <w:rsid w:val="00D46606"/>
    <w:rsid w:val="00D46737"/>
    <w:rsid w:val="00D46D24"/>
    <w:rsid w:val="00D4711A"/>
    <w:rsid w:val="00D47155"/>
    <w:rsid w:val="00D472F6"/>
    <w:rsid w:val="00D473B7"/>
    <w:rsid w:val="00D4763F"/>
    <w:rsid w:val="00D4781F"/>
    <w:rsid w:val="00D47896"/>
    <w:rsid w:val="00D47955"/>
    <w:rsid w:val="00D479EA"/>
    <w:rsid w:val="00D47C78"/>
    <w:rsid w:val="00D47D68"/>
    <w:rsid w:val="00D47FD1"/>
    <w:rsid w:val="00D50178"/>
    <w:rsid w:val="00D509B9"/>
    <w:rsid w:val="00D509FD"/>
    <w:rsid w:val="00D50B2F"/>
    <w:rsid w:val="00D50E49"/>
    <w:rsid w:val="00D51151"/>
    <w:rsid w:val="00D514F8"/>
    <w:rsid w:val="00D51699"/>
    <w:rsid w:val="00D51E62"/>
    <w:rsid w:val="00D5264B"/>
    <w:rsid w:val="00D5270F"/>
    <w:rsid w:val="00D5275E"/>
    <w:rsid w:val="00D52A33"/>
    <w:rsid w:val="00D52FFA"/>
    <w:rsid w:val="00D53090"/>
    <w:rsid w:val="00D5315A"/>
    <w:rsid w:val="00D5336F"/>
    <w:rsid w:val="00D53495"/>
    <w:rsid w:val="00D534A1"/>
    <w:rsid w:val="00D535D4"/>
    <w:rsid w:val="00D53873"/>
    <w:rsid w:val="00D53EEB"/>
    <w:rsid w:val="00D53F5B"/>
    <w:rsid w:val="00D53F82"/>
    <w:rsid w:val="00D53FDD"/>
    <w:rsid w:val="00D5423A"/>
    <w:rsid w:val="00D5460F"/>
    <w:rsid w:val="00D546F5"/>
    <w:rsid w:val="00D5479A"/>
    <w:rsid w:val="00D547BD"/>
    <w:rsid w:val="00D548F7"/>
    <w:rsid w:val="00D54B99"/>
    <w:rsid w:val="00D54B9A"/>
    <w:rsid w:val="00D55098"/>
    <w:rsid w:val="00D552ED"/>
    <w:rsid w:val="00D55434"/>
    <w:rsid w:val="00D55686"/>
    <w:rsid w:val="00D55AB4"/>
    <w:rsid w:val="00D55C3F"/>
    <w:rsid w:val="00D55CFC"/>
    <w:rsid w:val="00D55DDE"/>
    <w:rsid w:val="00D5607D"/>
    <w:rsid w:val="00D56972"/>
    <w:rsid w:val="00D56C67"/>
    <w:rsid w:val="00D5704A"/>
    <w:rsid w:val="00D57406"/>
    <w:rsid w:val="00D5746B"/>
    <w:rsid w:val="00D577C8"/>
    <w:rsid w:val="00D57B78"/>
    <w:rsid w:val="00D57DB1"/>
    <w:rsid w:val="00D57E61"/>
    <w:rsid w:val="00D57E9F"/>
    <w:rsid w:val="00D57EB5"/>
    <w:rsid w:val="00D603D4"/>
    <w:rsid w:val="00D6045E"/>
    <w:rsid w:val="00D60555"/>
    <w:rsid w:val="00D60AFE"/>
    <w:rsid w:val="00D60BA5"/>
    <w:rsid w:val="00D60CE7"/>
    <w:rsid w:val="00D60DF5"/>
    <w:rsid w:val="00D60E3A"/>
    <w:rsid w:val="00D60F27"/>
    <w:rsid w:val="00D610C6"/>
    <w:rsid w:val="00D61168"/>
    <w:rsid w:val="00D6118E"/>
    <w:rsid w:val="00D612B4"/>
    <w:rsid w:val="00D612DA"/>
    <w:rsid w:val="00D61321"/>
    <w:rsid w:val="00D61334"/>
    <w:rsid w:val="00D616BB"/>
    <w:rsid w:val="00D618E3"/>
    <w:rsid w:val="00D61C57"/>
    <w:rsid w:val="00D61F25"/>
    <w:rsid w:val="00D62033"/>
    <w:rsid w:val="00D620A7"/>
    <w:rsid w:val="00D621BA"/>
    <w:rsid w:val="00D62261"/>
    <w:rsid w:val="00D62BED"/>
    <w:rsid w:val="00D62C10"/>
    <w:rsid w:val="00D62D36"/>
    <w:rsid w:val="00D62E1D"/>
    <w:rsid w:val="00D62EA3"/>
    <w:rsid w:val="00D630E7"/>
    <w:rsid w:val="00D63116"/>
    <w:rsid w:val="00D6340A"/>
    <w:rsid w:val="00D63620"/>
    <w:rsid w:val="00D63CEC"/>
    <w:rsid w:val="00D63FA0"/>
    <w:rsid w:val="00D64280"/>
    <w:rsid w:val="00D644AB"/>
    <w:rsid w:val="00D64561"/>
    <w:rsid w:val="00D6479A"/>
    <w:rsid w:val="00D64AAB"/>
    <w:rsid w:val="00D64EBE"/>
    <w:rsid w:val="00D64FEF"/>
    <w:rsid w:val="00D650F7"/>
    <w:rsid w:val="00D652CE"/>
    <w:rsid w:val="00D652E5"/>
    <w:rsid w:val="00D65439"/>
    <w:rsid w:val="00D6549D"/>
    <w:rsid w:val="00D65B5D"/>
    <w:rsid w:val="00D661B2"/>
    <w:rsid w:val="00D6630D"/>
    <w:rsid w:val="00D66452"/>
    <w:rsid w:val="00D665C8"/>
    <w:rsid w:val="00D668D8"/>
    <w:rsid w:val="00D66A2A"/>
    <w:rsid w:val="00D66B4F"/>
    <w:rsid w:val="00D66D8D"/>
    <w:rsid w:val="00D67038"/>
    <w:rsid w:val="00D671BD"/>
    <w:rsid w:val="00D67278"/>
    <w:rsid w:val="00D672B0"/>
    <w:rsid w:val="00D672F0"/>
    <w:rsid w:val="00D672F8"/>
    <w:rsid w:val="00D67340"/>
    <w:rsid w:val="00D6743E"/>
    <w:rsid w:val="00D6750C"/>
    <w:rsid w:val="00D6769C"/>
    <w:rsid w:val="00D67C66"/>
    <w:rsid w:val="00D67DCA"/>
    <w:rsid w:val="00D70165"/>
    <w:rsid w:val="00D7032B"/>
    <w:rsid w:val="00D70BB1"/>
    <w:rsid w:val="00D70C24"/>
    <w:rsid w:val="00D70D12"/>
    <w:rsid w:val="00D70FC6"/>
    <w:rsid w:val="00D71436"/>
    <w:rsid w:val="00D71443"/>
    <w:rsid w:val="00D714BF"/>
    <w:rsid w:val="00D71A39"/>
    <w:rsid w:val="00D71BBC"/>
    <w:rsid w:val="00D71D36"/>
    <w:rsid w:val="00D71D70"/>
    <w:rsid w:val="00D728C6"/>
    <w:rsid w:val="00D72B9B"/>
    <w:rsid w:val="00D72F9B"/>
    <w:rsid w:val="00D7307F"/>
    <w:rsid w:val="00D7328D"/>
    <w:rsid w:val="00D7334C"/>
    <w:rsid w:val="00D73443"/>
    <w:rsid w:val="00D7345F"/>
    <w:rsid w:val="00D735FC"/>
    <w:rsid w:val="00D73812"/>
    <w:rsid w:val="00D738D5"/>
    <w:rsid w:val="00D739CF"/>
    <w:rsid w:val="00D73A61"/>
    <w:rsid w:val="00D74157"/>
    <w:rsid w:val="00D7438E"/>
    <w:rsid w:val="00D74826"/>
    <w:rsid w:val="00D74949"/>
    <w:rsid w:val="00D74BB4"/>
    <w:rsid w:val="00D74D2B"/>
    <w:rsid w:val="00D7506C"/>
    <w:rsid w:val="00D753C1"/>
    <w:rsid w:val="00D75506"/>
    <w:rsid w:val="00D75637"/>
    <w:rsid w:val="00D7575F"/>
    <w:rsid w:val="00D7598C"/>
    <w:rsid w:val="00D75C62"/>
    <w:rsid w:val="00D75FBD"/>
    <w:rsid w:val="00D7613F"/>
    <w:rsid w:val="00D761CE"/>
    <w:rsid w:val="00D76420"/>
    <w:rsid w:val="00D7647A"/>
    <w:rsid w:val="00D764AF"/>
    <w:rsid w:val="00D764B6"/>
    <w:rsid w:val="00D7671B"/>
    <w:rsid w:val="00D76734"/>
    <w:rsid w:val="00D76835"/>
    <w:rsid w:val="00D7683B"/>
    <w:rsid w:val="00D77021"/>
    <w:rsid w:val="00D7710E"/>
    <w:rsid w:val="00D7782A"/>
    <w:rsid w:val="00D77EE7"/>
    <w:rsid w:val="00D77F32"/>
    <w:rsid w:val="00D77F38"/>
    <w:rsid w:val="00D806B9"/>
    <w:rsid w:val="00D80876"/>
    <w:rsid w:val="00D809C4"/>
    <w:rsid w:val="00D80BC0"/>
    <w:rsid w:val="00D80C79"/>
    <w:rsid w:val="00D80ECE"/>
    <w:rsid w:val="00D81416"/>
    <w:rsid w:val="00D8147B"/>
    <w:rsid w:val="00D81778"/>
    <w:rsid w:val="00D8179D"/>
    <w:rsid w:val="00D817D6"/>
    <w:rsid w:val="00D81A03"/>
    <w:rsid w:val="00D81C47"/>
    <w:rsid w:val="00D81E6A"/>
    <w:rsid w:val="00D82261"/>
    <w:rsid w:val="00D824FD"/>
    <w:rsid w:val="00D828A6"/>
    <w:rsid w:val="00D82CBC"/>
    <w:rsid w:val="00D82DD9"/>
    <w:rsid w:val="00D82E94"/>
    <w:rsid w:val="00D830B0"/>
    <w:rsid w:val="00D833E5"/>
    <w:rsid w:val="00D833F1"/>
    <w:rsid w:val="00D8399E"/>
    <w:rsid w:val="00D83EE2"/>
    <w:rsid w:val="00D83F40"/>
    <w:rsid w:val="00D84792"/>
    <w:rsid w:val="00D84AB3"/>
    <w:rsid w:val="00D84D3D"/>
    <w:rsid w:val="00D84D4E"/>
    <w:rsid w:val="00D84D65"/>
    <w:rsid w:val="00D84EFA"/>
    <w:rsid w:val="00D851EC"/>
    <w:rsid w:val="00D856C5"/>
    <w:rsid w:val="00D85AE6"/>
    <w:rsid w:val="00D85C9E"/>
    <w:rsid w:val="00D85D76"/>
    <w:rsid w:val="00D85ECF"/>
    <w:rsid w:val="00D86579"/>
    <w:rsid w:val="00D86618"/>
    <w:rsid w:val="00D86901"/>
    <w:rsid w:val="00D86B94"/>
    <w:rsid w:val="00D86C56"/>
    <w:rsid w:val="00D86CD1"/>
    <w:rsid w:val="00D8709B"/>
    <w:rsid w:val="00D87270"/>
    <w:rsid w:val="00D873F4"/>
    <w:rsid w:val="00D874CF"/>
    <w:rsid w:val="00D875B7"/>
    <w:rsid w:val="00D87A29"/>
    <w:rsid w:val="00D87DFD"/>
    <w:rsid w:val="00D901A4"/>
    <w:rsid w:val="00D905C0"/>
    <w:rsid w:val="00D90638"/>
    <w:rsid w:val="00D90702"/>
    <w:rsid w:val="00D90709"/>
    <w:rsid w:val="00D9091B"/>
    <w:rsid w:val="00D9093B"/>
    <w:rsid w:val="00D90A75"/>
    <w:rsid w:val="00D90E26"/>
    <w:rsid w:val="00D90F3E"/>
    <w:rsid w:val="00D91091"/>
    <w:rsid w:val="00D91713"/>
    <w:rsid w:val="00D91A90"/>
    <w:rsid w:val="00D91C2A"/>
    <w:rsid w:val="00D91FB9"/>
    <w:rsid w:val="00D921BA"/>
    <w:rsid w:val="00D921D8"/>
    <w:rsid w:val="00D92232"/>
    <w:rsid w:val="00D92341"/>
    <w:rsid w:val="00D9252D"/>
    <w:rsid w:val="00D92563"/>
    <w:rsid w:val="00D9284C"/>
    <w:rsid w:val="00D92E1D"/>
    <w:rsid w:val="00D932AA"/>
    <w:rsid w:val="00D9338E"/>
    <w:rsid w:val="00D9361C"/>
    <w:rsid w:val="00D93860"/>
    <w:rsid w:val="00D938CA"/>
    <w:rsid w:val="00D9394C"/>
    <w:rsid w:val="00D93AE6"/>
    <w:rsid w:val="00D93B0D"/>
    <w:rsid w:val="00D93B42"/>
    <w:rsid w:val="00D93B65"/>
    <w:rsid w:val="00D93C6E"/>
    <w:rsid w:val="00D942A6"/>
    <w:rsid w:val="00D94376"/>
    <w:rsid w:val="00D94546"/>
    <w:rsid w:val="00D9454A"/>
    <w:rsid w:val="00D94743"/>
    <w:rsid w:val="00D949C0"/>
    <w:rsid w:val="00D94BE4"/>
    <w:rsid w:val="00D94BFC"/>
    <w:rsid w:val="00D94D2F"/>
    <w:rsid w:val="00D94DC5"/>
    <w:rsid w:val="00D95190"/>
    <w:rsid w:val="00D951E7"/>
    <w:rsid w:val="00D95223"/>
    <w:rsid w:val="00D95337"/>
    <w:rsid w:val="00D956DE"/>
    <w:rsid w:val="00D9571C"/>
    <w:rsid w:val="00D95725"/>
    <w:rsid w:val="00D959E5"/>
    <w:rsid w:val="00D95A98"/>
    <w:rsid w:val="00D95D4F"/>
    <w:rsid w:val="00D95D50"/>
    <w:rsid w:val="00D95DDE"/>
    <w:rsid w:val="00D95E81"/>
    <w:rsid w:val="00D96112"/>
    <w:rsid w:val="00D9614D"/>
    <w:rsid w:val="00D96152"/>
    <w:rsid w:val="00D96366"/>
    <w:rsid w:val="00D96437"/>
    <w:rsid w:val="00D9661D"/>
    <w:rsid w:val="00D96B0B"/>
    <w:rsid w:val="00D96C99"/>
    <w:rsid w:val="00D96CEA"/>
    <w:rsid w:val="00D970CF"/>
    <w:rsid w:val="00D97412"/>
    <w:rsid w:val="00D974DB"/>
    <w:rsid w:val="00D97529"/>
    <w:rsid w:val="00D9760F"/>
    <w:rsid w:val="00D976D6"/>
    <w:rsid w:val="00D9778F"/>
    <w:rsid w:val="00D97B19"/>
    <w:rsid w:val="00D97D74"/>
    <w:rsid w:val="00D97D95"/>
    <w:rsid w:val="00D97EC8"/>
    <w:rsid w:val="00DA00DE"/>
    <w:rsid w:val="00DA08A7"/>
    <w:rsid w:val="00DA0A6F"/>
    <w:rsid w:val="00DA0C92"/>
    <w:rsid w:val="00DA119E"/>
    <w:rsid w:val="00DA11A4"/>
    <w:rsid w:val="00DA11E8"/>
    <w:rsid w:val="00DA174B"/>
    <w:rsid w:val="00DA179A"/>
    <w:rsid w:val="00DA17EF"/>
    <w:rsid w:val="00DA1C08"/>
    <w:rsid w:val="00DA1C17"/>
    <w:rsid w:val="00DA1C73"/>
    <w:rsid w:val="00DA1D60"/>
    <w:rsid w:val="00DA1E5E"/>
    <w:rsid w:val="00DA1F97"/>
    <w:rsid w:val="00DA2383"/>
    <w:rsid w:val="00DA25F9"/>
    <w:rsid w:val="00DA2706"/>
    <w:rsid w:val="00DA29F7"/>
    <w:rsid w:val="00DA2AC6"/>
    <w:rsid w:val="00DA2B30"/>
    <w:rsid w:val="00DA2B6D"/>
    <w:rsid w:val="00DA2CB2"/>
    <w:rsid w:val="00DA2E64"/>
    <w:rsid w:val="00DA2E7D"/>
    <w:rsid w:val="00DA2EAA"/>
    <w:rsid w:val="00DA3435"/>
    <w:rsid w:val="00DA374F"/>
    <w:rsid w:val="00DA3795"/>
    <w:rsid w:val="00DA3BF5"/>
    <w:rsid w:val="00DA3C0D"/>
    <w:rsid w:val="00DA3CE5"/>
    <w:rsid w:val="00DA3DE3"/>
    <w:rsid w:val="00DA463B"/>
    <w:rsid w:val="00DA46CA"/>
    <w:rsid w:val="00DA46FE"/>
    <w:rsid w:val="00DA4AC1"/>
    <w:rsid w:val="00DA502D"/>
    <w:rsid w:val="00DA5303"/>
    <w:rsid w:val="00DA547F"/>
    <w:rsid w:val="00DA5563"/>
    <w:rsid w:val="00DA5922"/>
    <w:rsid w:val="00DA5AA6"/>
    <w:rsid w:val="00DA5B4C"/>
    <w:rsid w:val="00DA5B8E"/>
    <w:rsid w:val="00DA5BF6"/>
    <w:rsid w:val="00DA5EB3"/>
    <w:rsid w:val="00DA5FAA"/>
    <w:rsid w:val="00DA640A"/>
    <w:rsid w:val="00DA645B"/>
    <w:rsid w:val="00DA6B4F"/>
    <w:rsid w:val="00DA6B9B"/>
    <w:rsid w:val="00DA6C30"/>
    <w:rsid w:val="00DA6C96"/>
    <w:rsid w:val="00DA6CA6"/>
    <w:rsid w:val="00DA6F6B"/>
    <w:rsid w:val="00DA7251"/>
    <w:rsid w:val="00DA733A"/>
    <w:rsid w:val="00DA757E"/>
    <w:rsid w:val="00DA76AC"/>
    <w:rsid w:val="00DA7731"/>
    <w:rsid w:val="00DA78F0"/>
    <w:rsid w:val="00DA7B1D"/>
    <w:rsid w:val="00DA7BEE"/>
    <w:rsid w:val="00DA7D9E"/>
    <w:rsid w:val="00DA7F5C"/>
    <w:rsid w:val="00DB011E"/>
    <w:rsid w:val="00DB06C6"/>
    <w:rsid w:val="00DB072E"/>
    <w:rsid w:val="00DB08D0"/>
    <w:rsid w:val="00DB0C97"/>
    <w:rsid w:val="00DB0E74"/>
    <w:rsid w:val="00DB0F6E"/>
    <w:rsid w:val="00DB0FEE"/>
    <w:rsid w:val="00DB107B"/>
    <w:rsid w:val="00DB1585"/>
    <w:rsid w:val="00DB1594"/>
    <w:rsid w:val="00DB19F1"/>
    <w:rsid w:val="00DB1ECA"/>
    <w:rsid w:val="00DB1EDD"/>
    <w:rsid w:val="00DB1FBD"/>
    <w:rsid w:val="00DB2000"/>
    <w:rsid w:val="00DB2351"/>
    <w:rsid w:val="00DB23E5"/>
    <w:rsid w:val="00DB295F"/>
    <w:rsid w:val="00DB2CF2"/>
    <w:rsid w:val="00DB3238"/>
    <w:rsid w:val="00DB3299"/>
    <w:rsid w:val="00DB3983"/>
    <w:rsid w:val="00DB39E4"/>
    <w:rsid w:val="00DB3D11"/>
    <w:rsid w:val="00DB3D5F"/>
    <w:rsid w:val="00DB3ED1"/>
    <w:rsid w:val="00DB3F92"/>
    <w:rsid w:val="00DB410F"/>
    <w:rsid w:val="00DB4259"/>
    <w:rsid w:val="00DB431C"/>
    <w:rsid w:val="00DB47AD"/>
    <w:rsid w:val="00DB49D0"/>
    <w:rsid w:val="00DB4C0D"/>
    <w:rsid w:val="00DB4EAD"/>
    <w:rsid w:val="00DB5137"/>
    <w:rsid w:val="00DB5354"/>
    <w:rsid w:val="00DB56CF"/>
    <w:rsid w:val="00DB5999"/>
    <w:rsid w:val="00DB5BCA"/>
    <w:rsid w:val="00DB5D16"/>
    <w:rsid w:val="00DB5DC3"/>
    <w:rsid w:val="00DB5DC4"/>
    <w:rsid w:val="00DB636F"/>
    <w:rsid w:val="00DB638F"/>
    <w:rsid w:val="00DB641D"/>
    <w:rsid w:val="00DB6436"/>
    <w:rsid w:val="00DB6476"/>
    <w:rsid w:val="00DB6606"/>
    <w:rsid w:val="00DB669D"/>
    <w:rsid w:val="00DB6733"/>
    <w:rsid w:val="00DB6815"/>
    <w:rsid w:val="00DB6824"/>
    <w:rsid w:val="00DB68F3"/>
    <w:rsid w:val="00DB6A0C"/>
    <w:rsid w:val="00DB6B1E"/>
    <w:rsid w:val="00DB6C56"/>
    <w:rsid w:val="00DB6D6A"/>
    <w:rsid w:val="00DB70CD"/>
    <w:rsid w:val="00DB7584"/>
    <w:rsid w:val="00DB778E"/>
    <w:rsid w:val="00DB7FB8"/>
    <w:rsid w:val="00DC0CC1"/>
    <w:rsid w:val="00DC104C"/>
    <w:rsid w:val="00DC1197"/>
    <w:rsid w:val="00DC133B"/>
    <w:rsid w:val="00DC164A"/>
    <w:rsid w:val="00DC18B2"/>
    <w:rsid w:val="00DC1949"/>
    <w:rsid w:val="00DC1AA6"/>
    <w:rsid w:val="00DC1F96"/>
    <w:rsid w:val="00DC21AF"/>
    <w:rsid w:val="00DC21FC"/>
    <w:rsid w:val="00DC2289"/>
    <w:rsid w:val="00DC230C"/>
    <w:rsid w:val="00DC24DC"/>
    <w:rsid w:val="00DC25E8"/>
    <w:rsid w:val="00DC2A6F"/>
    <w:rsid w:val="00DC2E63"/>
    <w:rsid w:val="00DC34B2"/>
    <w:rsid w:val="00DC34E6"/>
    <w:rsid w:val="00DC36FD"/>
    <w:rsid w:val="00DC3C7A"/>
    <w:rsid w:val="00DC4242"/>
    <w:rsid w:val="00DC43A7"/>
    <w:rsid w:val="00DC4716"/>
    <w:rsid w:val="00DC478E"/>
    <w:rsid w:val="00DC4803"/>
    <w:rsid w:val="00DC4822"/>
    <w:rsid w:val="00DC49EB"/>
    <w:rsid w:val="00DC4A3C"/>
    <w:rsid w:val="00DC4B9D"/>
    <w:rsid w:val="00DC4C1F"/>
    <w:rsid w:val="00DC4C48"/>
    <w:rsid w:val="00DC4E21"/>
    <w:rsid w:val="00DC4EC2"/>
    <w:rsid w:val="00DC4F3A"/>
    <w:rsid w:val="00DC5086"/>
    <w:rsid w:val="00DC509C"/>
    <w:rsid w:val="00DC515A"/>
    <w:rsid w:val="00DC543E"/>
    <w:rsid w:val="00DC5812"/>
    <w:rsid w:val="00DC5A18"/>
    <w:rsid w:val="00DC5A27"/>
    <w:rsid w:val="00DC5E7E"/>
    <w:rsid w:val="00DC5F66"/>
    <w:rsid w:val="00DC618C"/>
    <w:rsid w:val="00DC61F2"/>
    <w:rsid w:val="00DC6274"/>
    <w:rsid w:val="00DC632C"/>
    <w:rsid w:val="00DC63BE"/>
    <w:rsid w:val="00DC644E"/>
    <w:rsid w:val="00DC676D"/>
    <w:rsid w:val="00DC6861"/>
    <w:rsid w:val="00DC68F2"/>
    <w:rsid w:val="00DC695E"/>
    <w:rsid w:val="00DC6A7A"/>
    <w:rsid w:val="00DC6C50"/>
    <w:rsid w:val="00DC6DD8"/>
    <w:rsid w:val="00DC70AA"/>
    <w:rsid w:val="00DC719A"/>
    <w:rsid w:val="00DC741B"/>
    <w:rsid w:val="00DC74B3"/>
    <w:rsid w:val="00DC754D"/>
    <w:rsid w:val="00DC78BF"/>
    <w:rsid w:val="00DC7998"/>
    <w:rsid w:val="00DC7BB8"/>
    <w:rsid w:val="00DC7DDA"/>
    <w:rsid w:val="00DD01A0"/>
    <w:rsid w:val="00DD01D9"/>
    <w:rsid w:val="00DD0277"/>
    <w:rsid w:val="00DD04DA"/>
    <w:rsid w:val="00DD0977"/>
    <w:rsid w:val="00DD0991"/>
    <w:rsid w:val="00DD0A27"/>
    <w:rsid w:val="00DD110A"/>
    <w:rsid w:val="00DD12FE"/>
    <w:rsid w:val="00DD142F"/>
    <w:rsid w:val="00DD1439"/>
    <w:rsid w:val="00DD1533"/>
    <w:rsid w:val="00DD1723"/>
    <w:rsid w:val="00DD18B4"/>
    <w:rsid w:val="00DD1ACB"/>
    <w:rsid w:val="00DD1BE5"/>
    <w:rsid w:val="00DD1CAB"/>
    <w:rsid w:val="00DD1CF6"/>
    <w:rsid w:val="00DD226D"/>
    <w:rsid w:val="00DD2613"/>
    <w:rsid w:val="00DD28EA"/>
    <w:rsid w:val="00DD2A61"/>
    <w:rsid w:val="00DD2CC4"/>
    <w:rsid w:val="00DD2F07"/>
    <w:rsid w:val="00DD2F24"/>
    <w:rsid w:val="00DD308E"/>
    <w:rsid w:val="00DD3491"/>
    <w:rsid w:val="00DD3CE1"/>
    <w:rsid w:val="00DD3D31"/>
    <w:rsid w:val="00DD3DB7"/>
    <w:rsid w:val="00DD442E"/>
    <w:rsid w:val="00DD4AD8"/>
    <w:rsid w:val="00DD4BAF"/>
    <w:rsid w:val="00DD4D33"/>
    <w:rsid w:val="00DD4D63"/>
    <w:rsid w:val="00DD4FEF"/>
    <w:rsid w:val="00DD50BA"/>
    <w:rsid w:val="00DD5193"/>
    <w:rsid w:val="00DD54BE"/>
    <w:rsid w:val="00DD5623"/>
    <w:rsid w:val="00DD58D4"/>
    <w:rsid w:val="00DD5908"/>
    <w:rsid w:val="00DD5BDF"/>
    <w:rsid w:val="00DD5D4A"/>
    <w:rsid w:val="00DD64D5"/>
    <w:rsid w:val="00DD65E3"/>
    <w:rsid w:val="00DD6738"/>
    <w:rsid w:val="00DD67DC"/>
    <w:rsid w:val="00DD6854"/>
    <w:rsid w:val="00DD6AE3"/>
    <w:rsid w:val="00DD6E84"/>
    <w:rsid w:val="00DD7162"/>
    <w:rsid w:val="00DD76FE"/>
    <w:rsid w:val="00DD7990"/>
    <w:rsid w:val="00DD7BF1"/>
    <w:rsid w:val="00DE00F1"/>
    <w:rsid w:val="00DE016D"/>
    <w:rsid w:val="00DE0335"/>
    <w:rsid w:val="00DE05B3"/>
    <w:rsid w:val="00DE066A"/>
    <w:rsid w:val="00DE06D1"/>
    <w:rsid w:val="00DE073F"/>
    <w:rsid w:val="00DE08FC"/>
    <w:rsid w:val="00DE090B"/>
    <w:rsid w:val="00DE092C"/>
    <w:rsid w:val="00DE1301"/>
    <w:rsid w:val="00DE1446"/>
    <w:rsid w:val="00DE145D"/>
    <w:rsid w:val="00DE16A8"/>
    <w:rsid w:val="00DE1A38"/>
    <w:rsid w:val="00DE1A53"/>
    <w:rsid w:val="00DE1ABF"/>
    <w:rsid w:val="00DE20A7"/>
    <w:rsid w:val="00DE20FD"/>
    <w:rsid w:val="00DE2440"/>
    <w:rsid w:val="00DE2869"/>
    <w:rsid w:val="00DE2B46"/>
    <w:rsid w:val="00DE2B9D"/>
    <w:rsid w:val="00DE2BD2"/>
    <w:rsid w:val="00DE2FC3"/>
    <w:rsid w:val="00DE2FFF"/>
    <w:rsid w:val="00DE3352"/>
    <w:rsid w:val="00DE3A4F"/>
    <w:rsid w:val="00DE3A77"/>
    <w:rsid w:val="00DE3D2F"/>
    <w:rsid w:val="00DE3F20"/>
    <w:rsid w:val="00DE3F7F"/>
    <w:rsid w:val="00DE40B6"/>
    <w:rsid w:val="00DE4410"/>
    <w:rsid w:val="00DE55E5"/>
    <w:rsid w:val="00DE58C3"/>
    <w:rsid w:val="00DE5996"/>
    <w:rsid w:val="00DE5A12"/>
    <w:rsid w:val="00DE5B44"/>
    <w:rsid w:val="00DE5C89"/>
    <w:rsid w:val="00DE5EF7"/>
    <w:rsid w:val="00DE5F4D"/>
    <w:rsid w:val="00DE5F89"/>
    <w:rsid w:val="00DE6633"/>
    <w:rsid w:val="00DE69D5"/>
    <w:rsid w:val="00DE6B56"/>
    <w:rsid w:val="00DE6FDD"/>
    <w:rsid w:val="00DE7240"/>
    <w:rsid w:val="00DE7845"/>
    <w:rsid w:val="00DE7A7F"/>
    <w:rsid w:val="00DE7B69"/>
    <w:rsid w:val="00DE7F4B"/>
    <w:rsid w:val="00DF01BE"/>
    <w:rsid w:val="00DF06B0"/>
    <w:rsid w:val="00DF091B"/>
    <w:rsid w:val="00DF09A1"/>
    <w:rsid w:val="00DF0B22"/>
    <w:rsid w:val="00DF0EBF"/>
    <w:rsid w:val="00DF0F77"/>
    <w:rsid w:val="00DF11C6"/>
    <w:rsid w:val="00DF145F"/>
    <w:rsid w:val="00DF1706"/>
    <w:rsid w:val="00DF1A78"/>
    <w:rsid w:val="00DF1AF1"/>
    <w:rsid w:val="00DF1E75"/>
    <w:rsid w:val="00DF1F3F"/>
    <w:rsid w:val="00DF2058"/>
    <w:rsid w:val="00DF20CE"/>
    <w:rsid w:val="00DF253C"/>
    <w:rsid w:val="00DF25F5"/>
    <w:rsid w:val="00DF27B6"/>
    <w:rsid w:val="00DF2832"/>
    <w:rsid w:val="00DF2C81"/>
    <w:rsid w:val="00DF2D27"/>
    <w:rsid w:val="00DF2D2D"/>
    <w:rsid w:val="00DF2F10"/>
    <w:rsid w:val="00DF2F80"/>
    <w:rsid w:val="00DF3035"/>
    <w:rsid w:val="00DF3233"/>
    <w:rsid w:val="00DF3428"/>
    <w:rsid w:val="00DF37F2"/>
    <w:rsid w:val="00DF3CEA"/>
    <w:rsid w:val="00DF3F73"/>
    <w:rsid w:val="00DF4006"/>
    <w:rsid w:val="00DF415D"/>
    <w:rsid w:val="00DF4358"/>
    <w:rsid w:val="00DF44AE"/>
    <w:rsid w:val="00DF4727"/>
    <w:rsid w:val="00DF4A3F"/>
    <w:rsid w:val="00DF4B00"/>
    <w:rsid w:val="00DF4C3B"/>
    <w:rsid w:val="00DF502A"/>
    <w:rsid w:val="00DF534C"/>
    <w:rsid w:val="00DF55F6"/>
    <w:rsid w:val="00DF56AD"/>
    <w:rsid w:val="00DF5701"/>
    <w:rsid w:val="00DF5702"/>
    <w:rsid w:val="00DF58C9"/>
    <w:rsid w:val="00DF5BA3"/>
    <w:rsid w:val="00DF6060"/>
    <w:rsid w:val="00DF61FC"/>
    <w:rsid w:val="00DF67DC"/>
    <w:rsid w:val="00DF6827"/>
    <w:rsid w:val="00DF689E"/>
    <w:rsid w:val="00DF68EA"/>
    <w:rsid w:val="00DF6C09"/>
    <w:rsid w:val="00DF6E62"/>
    <w:rsid w:val="00DF6E80"/>
    <w:rsid w:val="00DF6F4E"/>
    <w:rsid w:val="00DF72B9"/>
    <w:rsid w:val="00DF7706"/>
    <w:rsid w:val="00DF7C30"/>
    <w:rsid w:val="00DF7F69"/>
    <w:rsid w:val="00E0010B"/>
    <w:rsid w:val="00E00266"/>
    <w:rsid w:val="00E00461"/>
    <w:rsid w:val="00E004F1"/>
    <w:rsid w:val="00E00573"/>
    <w:rsid w:val="00E0080E"/>
    <w:rsid w:val="00E00822"/>
    <w:rsid w:val="00E00B24"/>
    <w:rsid w:val="00E00EE9"/>
    <w:rsid w:val="00E00F36"/>
    <w:rsid w:val="00E0108C"/>
    <w:rsid w:val="00E012B5"/>
    <w:rsid w:val="00E01461"/>
    <w:rsid w:val="00E01473"/>
    <w:rsid w:val="00E01703"/>
    <w:rsid w:val="00E0172C"/>
    <w:rsid w:val="00E01798"/>
    <w:rsid w:val="00E01A7B"/>
    <w:rsid w:val="00E01CA3"/>
    <w:rsid w:val="00E01FBC"/>
    <w:rsid w:val="00E020A8"/>
    <w:rsid w:val="00E0221A"/>
    <w:rsid w:val="00E024AF"/>
    <w:rsid w:val="00E026BB"/>
    <w:rsid w:val="00E02778"/>
    <w:rsid w:val="00E0282B"/>
    <w:rsid w:val="00E028AB"/>
    <w:rsid w:val="00E028BA"/>
    <w:rsid w:val="00E028CD"/>
    <w:rsid w:val="00E02AA1"/>
    <w:rsid w:val="00E02D64"/>
    <w:rsid w:val="00E02EBB"/>
    <w:rsid w:val="00E03431"/>
    <w:rsid w:val="00E0349B"/>
    <w:rsid w:val="00E034FB"/>
    <w:rsid w:val="00E035CC"/>
    <w:rsid w:val="00E03830"/>
    <w:rsid w:val="00E038B1"/>
    <w:rsid w:val="00E03BE2"/>
    <w:rsid w:val="00E03C95"/>
    <w:rsid w:val="00E04179"/>
    <w:rsid w:val="00E042EF"/>
    <w:rsid w:val="00E0475D"/>
    <w:rsid w:val="00E047DC"/>
    <w:rsid w:val="00E0485A"/>
    <w:rsid w:val="00E05065"/>
    <w:rsid w:val="00E0529B"/>
    <w:rsid w:val="00E052F1"/>
    <w:rsid w:val="00E05439"/>
    <w:rsid w:val="00E054C2"/>
    <w:rsid w:val="00E05652"/>
    <w:rsid w:val="00E05926"/>
    <w:rsid w:val="00E059B7"/>
    <w:rsid w:val="00E05B0C"/>
    <w:rsid w:val="00E05C7D"/>
    <w:rsid w:val="00E05ECE"/>
    <w:rsid w:val="00E05F20"/>
    <w:rsid w:val="00E0687D"/>
    <w:rsid w:val="00E06B06"/>
    <w:rsid w:val="00E06CCA"/>
    <w:rsid w:val="00E06D58"/>
    <w:rsid w:val="00E06FF5"/>
    <w:rsid w:val="00E07270"/>
    <w:rsid w:val="00E077FB"/>
    <w:rsid w:val="00E07C15"/>
    <w:rsid w:val="00E10363"/>
    <w:rsid w:val="00E103F2"/>
    <w:rsid w:val="00E104DF"/>
    <w:rsid w:val="00E109A5"/>
    <w:rsid w:val="00E10AE2"/>
    <w:rsid w:val="00E10B72"/>
    <w:rsid w:val="00E11243"/>
    <w:rsid w:val="00E1152A"/>
    <w:rsid w:val="00E118B4"/>
    <w:rsid w:val="00E11A39"/>
    <w:rsid w:val="00E11CBD"/>
    <w:rsid w:val="00E12751"/>
    <w:rsid w:val="00E1282A"/>
    <w:rsid w:val="00E12AD9"/>
    <w:rsid w:val="00E12D0E"/>
    <w:rsid w:val="00E12F17"/>
    <w:rsid w:val="00E12F61"/>
    <w:rsid w:val="00E13005"/>
    <w:rsid w:val="00E13169"/>
    <w:rsid w:val="00E138E2"/>
    <w:rsid w:val="00E138E3"/>
    <w:rsid w:val="00E13BE6"/>
    <w:rsid w:val="00E13C9F"/>
    <w:rsid w:val="00E13D29"/>
    <w:rsid w:val="00E14255"/>
    <w:rsid w:val="00E147C1"/>
    <w:rsid w:val="00E14896"/>
    <w:rsid w:val="00E148B9"/>
    <w:rsid w:val="00E149D9"/>
    <w:rsid w:val="00E14D06"/>
    <w:rsid w:val="00E14D1C"/>
    <w:rsid w:val="00E14E8E"/>
    <w:rsid w:val="00E1503C"/>
    <w:rsid w:val="00E15272"/>
    <w:rsid w:val="00E15661"/>
    <w:rsid w:val="00E15C8A"/>
    <w:rsid w:val="00E15F25"/>
    <w:rsid w:val="00E16051"/>
    <w:rsid w:val="00E16101"/>
    <w:rsid w:val="00E1625D"/>
    <w:rsid w:val="00E16269"/>
    <w:rsid w:val="00E164E0"/>
    <w:rsid w:val="00E1651F"/>
    <w:rsid w:val="00E16716"/>
    <w:rsid w:val="00E16753"/>
    <w:rsid w:val="00E16AD7"/>
    <w:rsid w:val="00E16C4F"/>
    <w:rsid w:val="00E16CFE"/>
    <w:rsid w:val="00E16F03"/>
    <w:rsid w:val="00E171DC"/>
    <w:rsid w:val="00E1725B"/>
    <w:rsid w:val="00E17514"/>
    <w:rsid w:val="00E175FC"/>
    <w:rsid w:val="00E17ADC"/>
    <w:rsid w:val="00E17BCE"/>
    <w:rsid w:val="00E17ED6"/>
    <w:rsid w:val="00E200E9"/>
    <w:rsid w:val="00E2049E"/>
    <w:rsid w:val="00E20CBA"/>
    <w:rsid w:val="00E20CC0"/>
    <w:rsid w:val="00E20D1A"/>
    <w:rsid w:val="00E21139"/>
    <w:rsid w:val="00E21370"/>
    <w:rsid w:val="00E219E0"/>
    <w:rsid w:val="00E21D2F"/>
    <w:rsid w:val="00E21DE6"/>
    <w:rsid w:val="00E22164"/>
    <w:rsid w:val="00E223A4"/>
    <w:rsid w:val="00E2264B"/>
    <w:rsid w:val="00E2266C"/>
    <w:rsid w:val="00E22ACF"/>
    <w:rsid w:val="00E22BCE"/>
    <w:rsid w:val="00E22C3F"/>
    <w:rsid w:val="00E22C84"/>
    <w:rsid w:val="00E22D5D"/>
    <w:rsid w:val="00E22DCA"/>
    <w:rsid w:val="00E22EE0"/>
    <w:rsid w:val="00E2300C"/>
    <w:rsid w:val="00E2310F"/>
    <w:rsid w:val="00E23113"/>
    <w:rsid w:val="00E233E0"/>
    <w:rsid w:val="00E23543"/>
    <w:rsid w:val="00E235B6"/>
    <w:rsid w:val="00E238B6"/>
    <w:rsid w:val="00E23D16"/>
    <w:rsid w:val="00E240FB"/>
    <w:rsid w:val="00E2415D"/>
    <w:rsid w:val="00E24347"/>
    <w:rsid w:val="00E2466A"/>
    <w:rsid w:val="00E254E7"/>
    <w:rsid w:val="00E256A5"/>
    <w:rsid w:val="00E25902"/>
    <w:rsid w:val="00E25C2A"/>
    <w:rsid w:val="00E25F05"/>
    <w:rsid w:val="00E26011"/>
    <w:rsid w:val="00E2622D"/>
    <w:rsid w:val="00E26231"/>
    <w:rsid w:val="00E26271"/>
    <w:rsid w:val="00E26350"/>
    <w:rsid w:val="00E26424"/>
    <w:rsid w:val="00E2657B"/>
    <w:rsid w:val="00E26AF7"/>
    <w:rsid w:val="00E26F7E"/>
    <w:rsid w:val="00E2704F"/>
    <w:rsid w:val="00E270B6"/>
    <w:rsid w:val="00E270FD"/>
    <w:rsid w:val="00E2731D"/>
    <w:rsid w:val="00E27566"/>
    <w:rsid w:val="00E275DF"/>
    <w:rsid w:val="00E277CF"/>
    <w:rsid w:val="00E27914"/>
    <w:rsid w:val="00E27B18"/>
    <w:rsid w:val="00E27E86"/>
    <w:rsid w:val="00E27F1C"/>
    <w:rsid w:val="00E27F64"/>
    <w:rsid w:val="00E27FE7"/>
    <w:rsid w:val="00E30132"/>
    <w:rsid w:val="00E30375"/>
    <w:rsid w:val="00E303FD"/>
    <w:rsid w:val="00E30C8A"/>
    <w:rsid w:val="00E30D70"/>
    <w:rsid w:val="00E30E41"/>
    <w:rsid w:val="00E30F00"/>
    <w:rsid w:val="00E31011"/>
    <w:rsid w:val="00E313A6"/>
    <w:rsid w:val="00E316A0"/>
    <w:rsid w:val="00E31714"/>
    <w:rsid w:val="00E31958"/>
    <w:rsid w:val="00E3196D"/>
    <w:rsid w:val="00E31B4C"/>
    <w:rsid w:val="00E31DD7"/>
    <w:rsid w:val="00E31ED9"/>
    <w:rsid w:val="00E3227C"/>
    <w:rsid w:val="00E32285"/>
    <w:rsid w:val="00E3236D"/>
    <w:rsid w:val="00E32400"/>
    <w:rsid w:val="00E328F5"/>
    <w:rsid w:val="00E32C9F"/>
    <w:rsid w:val="00E32CEA"/>
    <w:rsid w:val="00E32EC6"/>
    <w:rsid w:val="00E33105"/>
    <w:rsid w:val="00E331F6"/>
    <w:rsid w:val="00E335B3"/>
    <w:rsid w:val="00E33912"/>
    <w:rsid w:val="00E33BEF"/>
    <w:rsid w:val="00E33D42"/>
    <w:rsid w:val="00E34024"/>
    <w:rsid w:val="00E34108"/>
    <w:rsid w:val="00E34110"/>
    <w:rsid w:val="00E34238"/>
    <w:rsid w:val="00E34286"/>
    <w:rsid w:val="00E347F9"/>
    <w:rsid w:val="00E34A64"/>
    <w:rsid w:val="00E34B25"/>
    <w:rsid w:val="00E34C6E"/>
    <w:rsid w:val="00E34DF9"/>
    <w:rsid w:val="00E34E21"/>
    <w:rsid w:val="00E3512A"/>
    <w:rsid w:val="00E35254"/>
    <w:rsid w:val="00E35266"/>
    <w:rsid w:val="00E3527A"/>
    <w:rsid w:val="00E352DE"/>
    <w:rsid w:val="00E35354"/>
    <w:rsid w:val="00E3566E"/>
    <w:rsid w:val="00E35B75"/>
    <w:rsid w:val="00E35CCC"/>
    <w:rsid w:val="00E362C4"/>
    <w:rsid w:val="00E36695"/>
    <w:rsid w:val="00E36AAD"/>
    <w:rsid w:val="00E371B5"/>
    <w:rsid w:val="00E372EA"/>
    <w:rsid w:val="00E372ED"/>
    <w:rsid w:val="00E3783A"/>
    <w:rsid w:val="00E37840"/>
    <w:rsid w:val="00E37B27"/>
    <w:rsid w:val="00E37BBE"/>
    <w:rsid w:val="00E37C4E"/>
    <w:rsid w:val="00E4020F"/>
    <w:rsid w:val="00E404D2"/>
    <w:rsid w:val="00E4057B"/>
    <w:rsid w:val="00E408D2"/>
    <w:rsid w:val="00E40917"/>
    <w:rsid w:val="00E40A31"/>
    <w:rsid w:val="00E40A35"/>
    <w:rsid w:val="00E40A48"/>
    <w:rsid w:val="00E40DFD"/>
    <w:rsid w:val="00E40E59"/>
    <w:rsid w:val="00E4109B"/>
    <w:rsid w:val="00E41113"/>
    <w:rsid w:val="00E413C2"/>
    <w:rsid w:val="00E41512"/>
    <w:rsid w:val="00E41AC6"/>
    <w:rsid w:val="00E421C5"/>
    <w:rsid w:val="00E423C9"/>
    <w:rsid w:val="00E42492"/>
    <w:rsid w:val="00E42981"/>
    <w:rsid w:val="00E42BD3"/>
    <w:rsid w:val="00E42C58"/>
    <w:rsid w:val="00E42C92"/>
    <w:rsid w:val="00E42CFE"/>
    <w:rsid w:val="00E43005"/>
    <w:rsid w:val="00E43114"/>
    <w:rsid w:val="00E4337B"/>
    <w:rsid w:val="00E4347B"/>
    <w:rsid w:val="00E43495"/>
    <w:rsid w:val="00E434F5"/>
    <w:rsid w:val="00E4367D"/>
    <w:rsid w:val="00E44239"/>
    <w:rsid w:val="00E44359"/>
    <w:rsid w:val="00E44935"/>
    <w:rsid w:val="00E44996"/>
    <w:rsid w:val="00E44E83"/>
    <w:rsid w:val="00E44E8C"/>
    <w:rsid w:val="00E44F1E"/>
    <w:rsid w:val="00E4507E"/>
    <w:rsid w:val="00E45251"/>
    <w:rsid w:val="00E45978"/>
    <w:rsid w:val="00E45B5B"/>
    <w:rsid w:val="00E46006"/>
    <w:rsid w:val="00E46783"/>
    <w:rsid w:val="00E467DF"/>
    <w:rsid w:val="00E46C4A"/>
    <w:rsid w:val="00E46E73"/>
    <w:rsid w:val="00E46FED"/>
    <w:rsid w:val="00E47157"/>
    <w:rsid w:val="00E4788C"/>
    <w:rsid w:val="00E47B4D"/>
    <w:rsid w:val="00E47ECB"/>
    <w:rsid w:val="00E47FC1"/>
    <w:rsid w:val="00E47FE2"/>
    <w:rsid w:val="00E500B2"/>
    <w:rsid w:val="00E5026B"/>
    <w:rsid w:val="00E502E3"/>
    <w:rsid w:val="00E503F9"/>
    <w:rsid w:val="00E50476"/>
    <w:rsid w:val="00E50CE8"/>
    <w:rsid w:val="00E50F75"/>
    <w:rsid w:val="00E5140B"/>
    <w:rsid w:val="00E5142B"/>
    <w:rsid w:val="00E51609"/>
    <w:rsid w:val="00E5161C"/>
    <w:rsid w:val="00E51927"/>
    <w:rsid w:val="00E51FCE"/>
    <w:rsid w:val="00E51FE2"/>
    <w:rsid w:val="00E521F9"/>
    <w:rsid w:val="00E522EF"/>
    <w:rsid w:val="00E52587"/>
    <w:rsid w:val="00E52626"/>
    <w:rsid w:val="00E52841"/>
    <w:rsid w:val="00E528B9"/>
    <w:rsid w:val="00E5294F"/>
    <w:rsid w:val="00E52A22"/>
    <w:rsid w:val="00E52B14"/>
    <w:rsid w:val="00E52C5A"/>
    <w:rsid w:val="00E52CEC"/>
    <w:rsid w:val="00E52D45"/>
    <w:rsid w:val="00E52F76"/>
    <w:rsid w:val="00E530A8"/>
    <w:rsid w:val="00E53115"/>
    <w:rsid w:val="00E531E7"/>
    <w:rsid w:val="00E531EB"/>
    <w:rsid w:val="00E53558"/>
    <w:rsid w:val="00E53725"/>
    <w:rsid w:val="00E53860"/>
    <w:rsid w:val="00E539A5"/>
    <w:rsid w:val="00E53CE0"/>
    <w:rsid w:val="00E53ED9"/>
    <w:rsid w:val="00E5405A"/>
    <w:rsid w:val="00E54144"/>
    <w:rsid w:val="00E545FE"/>
    <w:rsid w:val="00E54741"/>
    <w:rsid w:val="00E54995"/>
    <w:rsid w:val="00E54A58"/>
    <w:rsid w:val="00E54A59"/>
    <w:rsid w:val="00E54B47"/>
    <w:rsid w:val="00E5509E"/>
    <w:rsid w:val="00E55507"/>
    <w:rsid w:val="00E55562"/>
    <w:rsid w:val="00E5577F"/>
    <w:rsid w:val="00E559C0"/>
    <w:rsid w:val="00E55EBD"/>
    <w:rsid w:val="00E56357"/>
    <w:rsid w:val="00E56ADE"/>
    <w:rsid w:val="00E57076"/>
    <w:rsid w:val="00E57387"/>
    <w:rsid w:val="00E574C5"/>
    <w:rsid w:val="00E57A5F"/>
    <w:rsid w:val="00E57E12"/>
    <w:rsid w:val="00E60600"/>
    <w:rsid w:val="00E606A1"/>
    <w:rsid w:val="00E608B8"/>
    <w:rsid w:val="00E60C2B"/>
    <w:rsid w:val="00E60D1A"/>
    <w:rsid w:val="00E60D26"/>
    <w:rsid w:val="00E60D2D"/>
    <w:rsid w:val="00E61709"/>
    <w:rsid w:val="00E619FA"/>
    <w:rsid w:val="00E61A8A"/>
    <w:rsid w:val="00E61AF8"/>
    <w:rsid w:val="00E61B32"/>
    <w:rsid w:val="00E61E40"/>
    <w:rsid w:val="00E62237"/>
    <w:rsid w:val="00E624D1"/>
    <w:rsid w:val="00E6260C"/>
    <w:rsid w:val="00E629C2"/>
    <w:rsid w:val="00E62B28"/>
    <w:rsid w:val="00E62B5E"/>
    <w:rsid w:val="00E62C0B"/>
    <w:rsid w:val="00E62D05"/>
    <w:rsid w:val="00E62DA9"/>
    <w:rsid w:val="00E62F88"/>
    <w:rsid w:val="00E630CC"/>
    <w:rsid w:val="00E633D3"/>
    <w:rsid w:val="00E63C96"/>
    <w:rsid w:val="00E63EA4"/>
    <w:rsid w:val="00E63EA5"/>
    <w:rsid w:val="00E640EC"/>
    <w:rsid w:val="00E643AE"/>
    <w:rsid w:val="00E64478"/>
    <w:rsid w:val="00E644F4"/>
    <w:rsid w:val="00E64649"/>
    <w:rsid w:val="00E646F9"/>
    <w:rsid w:val="00E64895"/>
    <w:rsid w:val="00E64B1D"/>
    <w:rsid w:val="00E65042"/>
    <w:rsid w:val="00E652DC"/>
    <w:rsid w:val="00E654C2"/>
    <w:rsid w:val="00E6553C"/>
    <w:rsid w:val="00E656C7"/>
    <w:rsid w:val="00E65A41"/>
    <w:rsid w:val="00E65BFE"/>
    <w:rsid w:val="00E65C86"/>
    <w:rsid w:val="00E65DEC"/>
    <w:rsid w:val="00E65F7F"/>
    <w:rsid w:val="00E65FCA"/>
    <w:rsid w:val="00E66548"/>
    <w:rsid w:val="00E6668C"/>
    <w:rsid w:val="00E666D5"/>
    <w:rsid w:val="00E667F8"/>
    <w:rsid w:val="00E668AE"/>
    <w:rsid w:val="00E66C2C"/>
    <w:rsid w:val="00E6702C"/>
    <w:rsid w:val="00E67141"/>
    <w:rsid w:val="00E671BE"/>
    <w:rsid w:val="00E6781E"/>
    <w:rsid w:val="00E67A3B"/>
    <w:rsid w:val="00E67B99"/>
    <w:rsid w:val="00E70079"/>
    <w:rsid w:val="00E700F9"/>
    <w:rsid w:val="00E70384"/>
    <w:rsid w:val="00E70866"/>
    <w:rsid w:val="00E70E07"/>
    <w:rsid w:val="00E70EB0"/>
    <w:rsid w:val="00E70EF0"/>
    <w:rsid w:val="00E711E5"/>
    <w:rsid w:val="00E71BEC"/>
    <w:rsid w:val="00E71C44"/>
    <w:rsid w:val="00E71F05"/>
    <w:rsid w:val="00E720E9"/>
    <w:rsid w:val="00E7217B"/>
    <w:rsid w:val="00E72AB5"/>
    <w:rsid w:val="00E72ADA"/>
    <w:rsid w:val="00E72E86"/>
    <w:rsid w:val="00E72EA1"/>
    <w:rsid w:val="00E73129"/>
    <w:rsid w:val="00E73519"/>
    <w:rsid w:val="00E73757"/>
    <w:rsid w:val="00E73761"/>
    <w:rsid w:val="00E7382B"/>
    <w:rsid w:val="00E738D3"/>
    <w:rsid w:val="00E740F5"/>
    <w:rsid w:val="00E74158"/>
    <w:rsid w:val="00E7425D"/>
    <w:rsid w:val="00E74435"/>
    <w:rsid w:val="00E74779"/>
    <w:rsid w:val="00E74CBC"/>
    <w:rsid w:val="00E74E21"/>
    <w:rsid w:val="00E753E9"/>
    <w:rsid w:val="00E755F3"/>
    <w:rsid w:val="00E75ACE"/>
    <w:rsid w:val="00E75AD8"/>
    <w:rsid w:val="00E75E13"/>
    <w:rsid w:val="00E760A5"/>
    <w:rsid w:val="00E76129"/>
    <w:rsid w:val="00E764AC"/>
    <w:rsid w:val="00E7681C"/>
    <w:rsid w:val="00E768A0"/>
    <w:rsid w:val="00E769A8"/>
    <w:rsid w:val="00E76ADD"/>
    <w:rsid w:val="00E76B9A"/>
    <w:rsid w:val="00E76D50"/>
    <w:rsid w:val="00E77344"/>
    <w:rsid w:val="00E777E4"/>
    <w:rsid w:val="00E779A3"/>
    <w:rsid w:val="00E77B0E"/>
    <w:rsid w:val="00E77B51"/>
    <w:rsid w:val="00E77BA7"/>
    <w:rsid w:val="00E77CA4"/>
    <w:rsid w:val="00E77D41"/>
    <w:rsid w:val="00E800D4"/>
    <w:rsid w:val="00E802DF"/>
    <w:rsid w:val="00E806AB"/>
    <w:rsid w:val="00E80D2A"/>
    <w:rsid w:val="00E80FEC"/>
    <w:rsid w:val="00E812F5"/>
    <w:rsid w:val="00E8130E"/>
    <w:rsid w:val="00E81434"/>
    <w:rsid w:val="00E8161D"/>
    <w:rsid w:val="00E817AD"/>
    <w:rsid w:val="00E817BB"/>
    <w:rsid w:val="00E818E7"/>
    <w:rsid w:val="00E819C3"/>
    <w:rsid w:val="00E81A4A"/>
    <w:rsid w:val="00E81C68"/>
    <w:rsid w:val="00E81D97"/>
    <w:rsid w:val="00E81E5F"/>
    <w:rsid w:val="00E82000"/>
    <w:rsid w:val="00E824F8"/>
    <w:rsid w:val="00E82594"/>
    <w:rsid w:val="00E825F0"/>
    <w:rsid w:val="00E82648"/>
    <w:rsid w:val="00E82BA4"/>
    <w:rsid w:val="00E82F0B"/>
    <w:rsid w:val="00E831BC"/>
    <w:rsid w:val="00E83699"/>
    <w:rsid w:val="00E83833"/>
    <w:rsid w:val="00E83C7F"/>
    <w:rsid w:val="00E83D8D"/>
    <w:rsid w:val="00E8404B"/>
    <w:rsid w:val="00E8420C"/>
    <w:rsid w:val="00E8430A"/>
    <w:rsid w:val="00E8432D"/>
    <w:rsid w:val="00E846DF"/>
    <w:rsid w:val="00E8474C"/>
    <w:rsid w:val="00E84824"/>
    <w:rsid w:val="00E84B02"/>
    <w:rsid w:val="00E84E6C"/>
    <w:rsid w:val="00E85015"/>
    <w:rsid w:val="00E851B6"/>
    <w:rsid w:val="00E85548"/>
    <w:rsid w:val="00E85679"/>
    <w:rsid w:val="00E856F9"/>
    <w:rsid w:val="00E85995"/>
    <w:rsid w:val="00E85AA8"/>
    <w:rsid w:val="00E85B82"/>
    <w:rsid w:val="00E860CB"/>
    <w:rsid w:val="00E8611D"/>
    <w:rsid w:val="00E86261"/>
    <w:rsid w:val="00E86356"/>
    <w:rsid w:val="00E8645E"/>
    <w:rsid w:val="00E864DB"/>
    <w:rsid w:val="00E864FE"/>
    <w:rsid w:val="00E8674E"/>
    <w:rsid w:val="00E867CA"/>
    <w:rsid w:val="00E86D2F"/>
    <w:rsid w:val="00E87112"/>
    <w:rsid w:val="00E873E1"/>
    <w:rsid w:val="00E87733"/>
    <w:rsid w:val="00E877FC"/>
    <w:rsid w:val="00E878AE"/>
    <w:rsid w:val="00E87A85"/>
    <w:rsid w:val="00E87B97"/>
    <w:rsid w:val="00E87D1C"/>
    <w:rsid w:val="00E901CB"/>
    <w:rsid w:val="00E9050F"/>
    <w:rsid w:val="00E905ED"/>
    <w:rsid w:val="00E90786"/>
    <w:rsid w:val="00E908F5"/>
    <w:rsid w:val="00E90925"/>
    <w:rsid w:val="00E909A9"/>
    <w:rsid w:val="00E90A2B"/>
    <w:rsid w:val="00E90C08"/>
    <w:rsid w:val="00E90FC1"/>
    <w:rsid w:val="00E913BA"/>
    <w:rsid w:val="00E9178C"/>
    <w:rsid w:val="00E9198E"/>
    <w:rsid w:val="00E91A1E"/>
    <w:rsid w:val="00E91EAA"/>
    <w:rsid w:val="00E91EDB"/>
    <w:rsid w:val="00E9221A"/>
    <w:rsid w:val="00E9257D"/>
    <w:rsid w:val="00E925DE"/>
    <w:rsid w:val="00E9267A"/>
    <w:rsid w:val="00E92780"/>
    <w:rsid w:val="00E92CE4"/>
    <w:rsid w:val="00E92DAD"/>
    <w:rsid w:val="00E931D9"/>
    <w:rsid w:val="00E932EF"/>
    <w:rsid w:val="00E93343"/>
    <w:rsid w:val="00E9367D"/>
    <w:rsid w:val="00E9375E"/>
    <w:rsid w:val="00E939BB"/>
    <w:rsid w:val="00E93AFA"/>
    <w:rsid w:val="00E93EFB"/>
    <w:rsid w:val="00E94241"/>
    <w:rsid w:val="00E944DA"/>
    <w:rsid w:val="00E944F4"/>
    <w:rsid w:val="00E94635"/>
    <w:rsid w:val="00E9485B"/>
    <w:rsid w:val="00E94A8A"/>
    <w:rsid w:val="00E94B80"/>
    <w:rsid w:val="00E94CF9"/>
    <w:rsid w:val="00E94EFE"/>
    <w:rsid w:val="00E94F20"/>
    <w:rsid w:val="00E94F8F"/>
    <w:rsid w:val="00E951B1"/>
    <w:rsid w:val="00E953D3"/>
    <w:rsid w:val="00E9560F"/>
    <w:rsid w:val="00E957A4"/>
    <w:rsid w:val="00E95ADE"/>
    <w:rsid w:val="00E95BE4"/>
    <w:rsid w:val="00E95EA7"/>
    <w:rsid w:val="00E96033"/>
    <w:rsid w:val="00E961A9"/>
    <w:rsid w:val="00E961CA"/>
    <w:rsid w:val="00E9658C"/>
    <w:rsid w:val="00E965E0"/>
    <w:rsid w:val="00E96789"/>
    <w:rsid w:val="00E96F43"/>
    <w:rsid w:val="00E974EF"/>
    <w:rsid w:val="00E97754"/>
    <w:rsid w:val="00E97817"/>
    <w:rsid w:val="00E978B3"/>
    <w:rsid w:val="00E97D6B"/>
    <w:rsid w:val="00EA0107"/>
    <w:rsid w:val="00EA0214"/>
    <w:rsid w:val="00EA0780"/>
    <w:rsid w:val="00EA0A04"/>
    <w:rsid w:val="00EA0A0F"/>
    <w:rsid w:val="00EA0B47"/>
    <w:rsid w:val="00EA0EB4"/>
    <w:rsid w:val="00EA0ECB"/>
    <w:rsid w:val="00EA10DA"/>
    <w:rsid w:val="00EA1104"/>
    <w:rsid w:val="00EA1362"/>
    <w:rsid w:val="00EA1A10"/>
    <w:rsid w:val="00EA1F18"/>
    <w:rsid w:val="00EA20A9"/>
    <w:rsid w:val="00EA258D"/>
    <w:rsid w:val="00EA2663"/>
    <w:rsid w:val="00EA27A9"/>
    <w:rsid w:val="00EA28B4"/>
    <w:rsid w:val="00EA28EF"/>
    <w:rsid w:val="00EA291C"/>
    <w:rsid w:val="00EA296B"/>
    <w:rsid w:val="00EA2CFD"/>
    <w:rsid w:val="00EA2EB0"/>
    <w:rsid w:val="00EA396B"/>
    <w:rsid w:val="00EA3C65"/>
    <w:rsid w:val="00EA3C91"/>
    <w:rsid w:val="00EA3F40"/>
    <w:rsid w:val="00EA3F70"/>
    <w:rsid w:val="00EA4009"/>
    <w:rsid w:val="00EA42AE"/>
    <w:rsid w:val="00EA48B5"/>
    <w:rsid w:val="00EA4A98"/>
    <w:rsid w:val="00EA4C40"/>
    <w:rsid w:val="00EA4CB9"/>
    <w:rsid w:val="00EA4CC0"/>
    <w:rsid w:val="00EA4D9B"/>
    <w:rsid w:val="00EA4E56"/>
    <w:rsid w:val="00EA50B9"/>
    <w:rsid w:val="00EA551C"/>
    <w:rsid w:val="00EA5912"/>
    <w:rsid w:val="00EA6000"/>
    <w:rsid w:val="00EA615C"/>
    <w:rsid w:val="00EA61DE"/>
    <w:rsid w:val="00EA6224"/>
    <w:rsid w:val="00EA64D4"/>
    <w:rsid w:val="00EA659F"/>
    <w:rsid w:val="00EA6643"/>
    <w:rsid w:val="00EA6661"/>
    <w:rsid w:val="00EA6D5B"/>
    <w:rsid w:val="00EA6D94"/>
    <w:rsid w:val="00EA742D"/>
    <w:rsid w:val="00EA771A"/>
    <w:rsid w:val="00EA79A2"/>
    <w:rsid w:val="00EA7B2A"/>
    <w:rsid w:val="00EA7C23"/>
    <w:rsid w:val="00EB0081"/>
    <w:rsid w:val="00EB00C3"/>
    <w:rsid w:val="00EB02AF"/>
    <w:rsid w:val="00EB0331"/>
    <w:rsid w:val="00EB0490"/>
    <w:rsid w:val="00EB04E6"/>
    <w:rsid w:val="00EB05BF"/>
    <w:rsid w:val="00EB0958"/>
    <w:rsid w:val="00EB0D19"/>
    <w:rsid w:val="00EB1073"/>
    <w:rsid w:val="00EB12AD"/>
    <w:rsid w:val="00EB14EF"/>
    <w:rsid w:val="00EB1586"/>
    <w:rsid w:val="00EB170A"/>
    <w:rsid w:val="00EB1880"/>
    <w:rsid w:val="00EB18B3"/>
    <w:rsid w:val="00EB1DAD"/>
    <w:rsid w:val="00EB205A"/>
    <w:rsid w:val="00EB23E8"/>
    <w:rsid w:val="00EB246A"/>
    <w:rsid w:val="00EB267F"/>
    <w:rsid w:val="00EB26A0"/>
    <w:rsid w:val="00EB299F"/>
    <w:rsid w:val="00EB2CC4"/>
    <w:rsid w:val="00EB2D47"/>
    <w:rsid w:val="00EB3447"/>
    <w:rsid w:val="00EB3922"/>
    <w:rsid w:val="00EB3EEB"/>
    <w:rsid w:val="00EB40CB"/>
    <w:rsid w:val="00EB4183"/>
    <w:rsid w:val="00EB43EF"/>
    <w:rsid w:val="00EB43FB"/>
    <w:rsid w:val="00EB4559"/>
    <w:rsid w:val="00EB46F9"/>
    <w:rsid w:val="00EB4905"/>
    <w:rsid w:val="00EB4A50"/>
    <w:rsid w:val="00EB4F71"/>
    <w:rsid w:val="00EB52B8"/>
    <w:rsid w:val="00EB55F7"/>
    <w:rsid w:val="00EB5735"/>
    <w:rsid w:val="00EB58C7"/>
    <w:rsid w:val="00EB5ACB"/>
    <w:rsid w:val="00EB5B6D"/>
    <w:rsid w:val="00EB5CAC"/>
    <w:rsid w:val="00EB5F2B"/>
    <w:rsid w:val="00EB5FB7"/>
    <w:rsid w:val="00EB63F4"/>
    <w:rsid w:val="00EB6774"/>
    <w:rsid w:val="00EB67E5"/>
    <w:rsid w:val="00EB68E2"/>
    <w:rsid w:val="00EB6C97"/>
    <w:rsid w:val="00EB7135"/>
    <w:rsid w:val="00EB74E6"/>
    <w:rsid w:val="00EB77F2"/>
    <w:rsid w:val="00EB78A2"/>
    <w:rsid w:val="00EB797D"/>
    <w:rsid w:val="00EB7996"/>
    <w:rsid w:val="00EB7E33"/>
    <w:rsid w:val="00EB7E4F"/>
    <w:rsid w:val="00EB7ED7"/>
    <w:rsid w:val="00EC0190"/>
    <w:rsid w:val="00EC038C"/>
    <w:rsid w:val="00EC059A"/>
    <w:rsid w:val="00EC0652"/>
    <w:rsid w:val="00EC06D6"/>
    <w:rsid w:val="00EC0C09"/>
    <w:rsid w:val="00EC1017"/>
    <w:rsid w:val="00EC12D3"/>
    <w:rsid w:val="00EC17EB"/>
    <w:rsid w:val="00EC1ECD"/>
    <w:rsid w:val="00EC1F1F"/>
    <w:rsid w:val="00EC21C8"/>
    <w:rsid w:val="00EC230C"/>
    <w:rsid w:val="00EC278E"/>
    <w:rsid w:val="00EC27AD"/>
    <w:rsid w:val="00EC29C1"/>
    <w:rsid w:val="00EC2A55"/>
    <w:rsid w:val="00EC2A93"/>
    <w:rsid w:val="00EC303C"/>
    <w:rsid w:val="00EC306E"/>
    <w:rsid w:val="00EC3082"/>
    <w:rsid w:val="00EC320F"/>
    <w:rsid w:val="00EC3369"/>
    <w:rsid w:val="00EC3391"/>
    <w:rsid w:val="00EC34D2"/>
    <w:rsid w:val="00EC36CD"/>
    <w:rsid w:val="00EC3710"/>
    <w:rsid w:val="00EC37C4"/>
    <w:rsid w:val="00EC3890"/>
    <w:rsid w:val="00EC3919"/>
    <w:rsid w:val="00EC3C63"/>
    <w:rsid w:val="00EC3DDB"/>
    <w:rsid w:val="00EC4682"/>
    <w:rsid w:val="00EC46F3"/>
    <w:rsid w:val="00EC47B0"/>
    <w:rsid w:val="00EC483C"/>
    <w:rsid w:val="00EC4A71"/>
    <w:rsid w:val="00EC579A"/>
    <w:rsid w:val="00EC58E5"/>
    <w:rsid w:val="00EC5E58"/>
    <w:rsid w:val="00EC607D"/>
    <w:rsid w:val="00EC6175"/>
    <w:rsid w:val="00EC643C"/>
    <w:rsid w:val="00EC6AB7"/>
    <w:rsid w:val="00EC6EED"/>
    <w:rsid w:val="00EC75A5"/>
    <w:rsid w:val="00EC7C5B"/>
    <w:rsid w:val="00EC7D5E"/>
    <w:rsid w:val="00EC7D90"/>
    <w:rsid w:val="00ED048E"/>
    <w:rsid w:val="00ED0869"/>
    <w:rsid w:val="00ED08A8"/>
    <w:rsid w:val="00ED0CFF"/>
    <w:rsid w:val="00ED0D0E"/>
    <w:rsid w:val="00ED13A3"/>
    <w:rsid w:val="00ED1595"/>
    <w:rsid w:val="00ED1691"/>
    <w:rsid w:val="00ED187E"/>
    <w:rsid w:val="00ED1C03"/>
    <w:rsid w:val="00ED1F7A"/>
    <w:rsid w:val="00ED2165"/>
    <w:rsid w:val="00ED25B4"/>
    <w:rsid w:val="00ED266E"/>
    <w:rsid w:val="00ED26EF"/>
    <w:rsid w:val="00ED274E"/>
    <w:rsid w:val="00ED2C3B"/>
    <w:rsid w:val="00ED2F9F"/>
    <w:rsid w:val="00ED35BD"/>
    <w:rsid w:val="00ED36C7"/>
    <w:rsid w:val="00ED37B7"/>
    <w:rsid w:val="00ED38C7"/>
    <w:rsid w:val="00ED3909"/>
    <w:rsid w:val="00ED3977"/>
    <w:rsid w:val="00ED3F3E"/>
    <w:rsid w:val="00ED400A"/>
    <w:rsid w:val="00ED457D"/>
    <w:rsid w:val="00ED459C"/>
    <w:rsid w:val="00ED461D"/>
    <w:rsid w:val="00ED4A12"/>
    <w:rsid w:val="00ED4B60"/>
    <w:rsid w:val="00ED4BE0"/>
    <w:rsid w:val="00ED5251"/>
    <w:rsid w:val="00ED5265"/>
    <w:rsid w:val="00ED54D8"/>
    <w:rsid w:val="00ED5605"/>
    <w:rsid w:val="00ED562C"/>
    <w:rsid w:val="00ED5776"/>
    <w:rsid w:val="00ED58AB"/>
    <w:rsid w:val="00ED5A35"/>
    <w:rsid w:val="00ED5A9B"/>
    <w:rsid w:val="00ED5CED"/>
    <w:rsid w:val="00ED5F82"/>
    <w:rsid w:val="00ED5FAC"/>
    <w:rsid w:val="00ED60AB"/>
    <w:rsid w:val="00ED6379"/>
    <w:rsid w:val="00ED69A0"/>
    <w:rsid w:val="00ED6EA4"/>
    <w:rsid w:val="00ED7070"/>
    <w:rsid w:val="00ED729E"/>
    <w:rsid w:val="00ED770F"/>
    <w:rsid w:val="00ED7DAF"/>
    <w:rsid w:val="00EE01B6"/>
    <w:rsid w:val="00EE02C0"/>
    <w:rsid w:val="00EE03E7"/>
    <w:rsid w:val="00EE05B6"/>
    <w:rsid w:val="00EE05C2"/>
    <w:rsid w:val="00EE05D0"/>
    <w:rsid w:val="00EE06CB"/>
    <w:rsid w:val="00EE08B8"/>
    <w:rsid w:val="00EE08E9"/>
    <w:rsid w:val="00EE09DE"/>
    <w:rsid w:val="00EE0AAC"/>
    <w:rsid w:val="00EE0BC6"/>
    <w:rsid w:val="00EE1205"/>
    <w:rsid w:val="00EE12EC"/>
    <w:rsid w:val="00EE1465"/>
    <w:rsid w:val="00EE150A"/>
    <w:rsid w:val="00EE1635"/>
    <w:rsid w:val="00EE1A70"/>
    <w:rsid w:val="00EE1E22"/>
    <w:rsid w:val="00EE20C3"/>
    <w:rsid w:val="00EE2237"/>
    <w:rsid w:val="00EE227D"/>
    <w:rsid w:val="00EE22FA"/>
    <w:rsid w:val="00EE2471"/>
    <w:rsid w:val="00EE26F2"/>
    <w:rsid w:val="00EE2720"/>
    <w:rsid w:val="00EE2777"/>
    <w:rsid w:val="00EE2F12"/>
    <w:rsid w:val="00EE334D"/>
    <w:rsid w:val="00EE34BF"/>
    <w:rsid w:val="00EE364A"/>
    <w:rsid w:val="00EE36A1"/>
    <w:rsid w:val="00EE36BE"/>
    <w:rsid w:val="00EE3937"/>
    <w:rsid w:val="00EE3E18"/>
    <w:rsid w:val="00EE4070"/>
    <w:rsid w:val="00EE4295"/>
    <w:rsid w:val="00EE4403"/>
    <w:rsid w:val="00EE45CE"/>
    <w:rsid w:val="00EE4607"/>
    <w:rsid w:val="00EE4B0F"/>
    <w:rsid w:val="00EE4DA5"/>
    <w:rsid w:val="00EE4E6B"/>
    <w:rsid w:val="00EE521B"/>
    <w:rsid w:val="00EE522C"/>
    <w:rsid w:val="00EE536C"/>
    <w:rsid w:val="00EE567E"/>
    <w:rsid w:val="00EE5757"/>
    <w:rsid w:val="00EE590F"/>
    <w:rsid w:val="00EE59D0"/>
    <w:rsid w:val="00EE5CA1"/>
    <w:rsid w:val="00EE5DD3"/>
    <w:rsid w:val="00EE5EE2"/>
    <w:rsid w:val="00EE5F08"/>
    <w:rsid w:val="00EE5F1C"/>
    <w:rsid w:val="00EE619A"/>
    <w:rsid w:val="00EE64CF"/>
    <w:rsid w:val="00EE64EB"/>
    <w:rsid w:val="00EE6855"/>
    <w:rsid w:val="00EE68D1"/>
    <w:rsid w:val="00EE6CBB"/>
    <w:rsid w:val="00EE6D9B"/>
    <w:rsid w:val="00EE6ED4"/>
    <w:rsid w:val="00EE7934"/>
    <w:rsid w:val="00EE7D35"/>
    <w:rsid w:val="00EE7D5C"/>
    <w:rsid w:val="00EF0239"/>
    <w:rsid w:val="00EF0311"/>
    <w:rsid w:val="00EF038D"/>
    <w:rsid w:val="00EF0394"/>
    <w:rsid w:val="00EF0565"/>
    <w:rsid w:val="00EF05F4"/>
    <w:rsid w:val="00EF060D"/>
    <w:rsid w:val="00EF0846"/>
    <w:rsid w:val="00EF0944"/>
    <w:rsid w:val="00EF0AD2"/>
    <w:rsid w:val="00EF0C2F"/>
    <w:rsid w:val="00EF1443"/>
    <w:rsid w:val="00EF1539"/>
    <w:rsid w:val="00EF1949"/>
    <w:rsid w:val="00EF19EA"/>
    <w:rsid w:val="00EF1A0E"/>
    <w:rsid w:val="00EF1B03"/>
    <w:rsid w:val="00EF1B69"/>
    <w:rsid w:val="00EF1CB4"/>
    <w:rsid w:val="00EF2042"/>
    <w:rsid w:val="00EF20A5"/>
    <w:rsid w:val="00EF20D5"/>
    <w:rsid w:val="00EF2190"/>
    <w:rsid w:val="00EF2C1D"/>
    <w:rsid w:val="00EF3136"/>
    <w:rsid w:val="00EF3157"/>
    <w:rsid w:val="00EF34BF"/>
    <w:rsid w:val="00EF37A3"/>
    <w:rsid w:val="00EF39B7"/>
    <w:rsid w:val="00EF3A4D"/>
    <w:rsid w:val="00EF3D05"/>
    <w:rsid w:val="00EF402B"/>
    <w:rsid w:val="00EF416C"/>
    <w:rsid w:val="00EF416F"/>
    <w:rsid w:val="00EF4384"/>
    <w:rsid w:val="00EF43FE"/>
    <w:rsid w:val="00EF4530"/>
    <w:rsid w:val="00EF4539"/>
    <w:rsid w:val="00EF46DB"/>
    <w:rsid w:val="00EF4800"/>
    <w:rsid w:val="00EF493F"/>
    <w:rsid w:val="00EF49CC"/>
    <w:rsid w:val="00EF4F45"/>
    <w:rsid w:val="00EF4FAC"/>
    <w:rsid w:val="00EF5035"/>
    <w:rsid w:val="00EF51D3"/>
    <w:rsid w:val="00EF5858"/>
    <w:rsid w:val="00EF58D3"/>
    <w:rsid w:val="00EF5927"/>
    <w:rsid w:val="00EF5988"/>
    <w:rsid w:val="00EF5996"/>
    <w:rsid w:val="00EF5B64"/>
    <w:rsid w:val="00EF5D03"/>
    <w:rsid w:val="00EF60D4"/>
    <w:rsid w:val="00EF621F"/>
    <w:rsid w:val="00EF677A"/>
    <w:rsid w:val="00EF6F44"/>
    <w:rsid w:val="00EF7098"/>
    <w:rsid w:val="00EF7336"/>
    <w:rsid w:val="00EF73DD"/>
    <w:rsid w:val="00EF76E2"/>
    <w:rsid w:val="00EF7772"/>
    <w:rsid w:val="00EF7B5B"/>
    <w:rsid w:val="00EF7EDB"/>
    <w:rsid w:val="00F005B5"/>
    <w:rsid w:val="00F006D1"/>
    <w:rsid w:val="00F0091B"/>
    <w:rsid w:val="00F00944"/>
    <w:rsid w:val="00F00AC0"/>
    <w:rsid w:val="00F00BA7"/>
    <w:rsid w:val="00F00C02"/>
    <w:rsid w:val="00F00F91"/>
    <w:rsid w:val="00F00FB7"/>
    <w:rsid w:val="00F01483"/>
    <w:rsid w:val="00F018AE"/>
    <w:rsid w:val="00F018F0"/>
    <w:rsid w:val="00F01B0C"/>
    <w:rsid w:val="00F01C00"/>
    <w:rsid w:val="00F01CC3"/>
    <w:rsid w:val="00F01F1F"/>
    <w:rsid w:val="00F021BC"/>
    <w:rsid w:val="00F0221C"/>
    <w:rsid w:val="00F025A8"/>
    <w:rsid w:val="00F02B6B"/>
    <w:rsid w:val="00F02D3E"/>
    <w:rsid w:val="00F02D48"/>
    <w:rsid w:val="00F03153"/>
    <w:rsid w:val="00F033D5"/>
    <w:rsid w:val="00F033E6"/>
    <w:rsid w:val="00F03429"/>
    <w:rsid w:val="00F03438"/>
    <w:rsid w:val="00F03720"/>
    <w:rsid w:val="00F0378E"/>
    <w:rsid w:val="00F0386F"/>
    <w:rsid w:val="00F039BC"/>
    <w:rsid w:val="00F03B08"/>
    <w:rsid w:val="00F03DB0"/>
    <w:rsid w:val="00F040A7"/>
    <w:rsid w:val="00F040D5"/>
    <w:rsid w:val="00F0413E"/>
    <w:rsid w:val="00F043FD"/>
    <w:rsid w:val="00F0454B"/>
    <w:rsid w:val="00F04664"/>
    <w:rsid w:val="00F046EF"/>
    <w:rsid w:val="00F04C1B"/>
    <w:rsid w:val="00F04D69"/>
    <w:rsid w:val="00F04FB7"/>
    <w:rsid w:val="00F053C5"/>
    <w:rsid w:val="00F05475"/>
    <w:rsid w:val="00F0574E"/>
    <w:rsid w:val="00F058C0"/>
    <w:rsid w:val="00F0597A"/>
    <w:rsid w:val="00F05AED"/>
    <w:rsid w:val="00F05E3C"/>
    <w:rsid w:val="00F05E5D"/>
    <w:rsid w:val="00F05F26"/>
    <w:rsid w:val="00F06255"/>
    <w:rsid w:val="00F06401"/>
    <w:rsid w:val="00F06573"/>
    <w:rsid w:val="00F06734"/>
    <w:rsid w:val="00F0683B"/>
    <w:rsid w:val="00F06925"/>
    <w:rsid w:val="00F069C3"/>
    <w:rsid w:val="00F069DA"/>
    <w:rsid w:val="00F06A34"/>
    <w:rsid w:val="00F06ACF"/>
    <w:rsid w:val="00F06E0F"/>
    <w:rsid w:val="00F06FC3"/>
    <w:rsid w:val="00F07153"/>
    <w:rsid w:val="00F07223"/>
    <w:rsid w:val="00F07269"/>
    <w:rsid w:val="00F073AF"/>
    <w:rsid w:val="00F0782C"/>
    <w:rsid w:val="00F0796A"/>
    <w:rsid w:val="00F07C2C"/>
    <w:rsid w:val="00F07C6D"/>
    <w:rsid w:val="00F07E49"/>
    <w:rsid w:val="00F07F65"/>
    <w:rsid w:val="00F07FB4"/>
    <w:rsid w:val="00F10323"/>
    <w:rsid w:val="00F1040E"/>
    <w:rsid w:val="00F104BB"/>
    <w:rsid w:val="00F104CD"/>
    <w:rsid w:val="00F10530"/>
    <w:rsid w:val="00F10680"/>
    <w:rsid w:val="00F107E4"/>
    <w:rsid w:val="00F108E2"/>
    <w:rsid w:val="00F10975"/>
    <w:rsid w:val="00F109A7"/>
    <w:rsid w:val="00F10A69"/>
    <w:rsid w:val="00F10A89"/>
    <w:rsid w:val="00F10AC6"/>
    <w:rsid w:val="00F10D31"/>
    <w:rsid w:val="00F11073"/>
    <w:rsid w:val="00F11117"/>
    <w:rsid w:val="00F111C3"/>
    <w:rsid w:val="00F1123C"/>
    <w:rsid w:val="00F11463"/>
    <w:rsid w:val="00F11726"/>
    <w:rsid w:val="00F119DB"/>
    <w:rsid w:val="00F11D4D"/>
    <w:rsid w:val="00F12009"/>
    <w:rsid w:val="00F120A3"/>
    <w:rsid w:val="00F121BA"/>
    <w:rsid w:val="00F12352"/>
    <w:rsid w:val="00F12584"/>
    <w:rsid w:val="00F128DF"/>
    <w:rsid w:val="00F12B36"/>
    <w:rsid w:val="00F12B40"/>
    <w:rsid w:val="00F12B4F"/>
    <w:rsid w:val="00F134AD"/>
    <w:rsid w:val="00F134C5"/>
    <w:rsid w:val="00F134D0"/>
    <w:rsid w:val="00F13921"/>
    <w:rsid w:val="00F13B3E"/>
    <w:rsid w:val="00F13B95"/>
    <w:rsid w:val="00F13DD0"/>
    <w:rsid w:val="00F14116"/>
    <w:rsid w:val="00F142AB"/>
    <w:rsid w:val="00F1456D"/>
    <w:rsid w:val="00F14B7E"/>
    <w:rsid w:val="00F14E8A"/>
    <w:rsid w:val="00F14FBA"/>
    <w:rsid w:val="00F15336"/>
    <w:rsid w:val="00F15403"/>
    <w:rsid w:val="00F154BE"/>
    <w:rsid w:val="00F15581"/>
    <w:rsid w:val="00F15843"/>
    <w:rsid w:val="00F15A53"/>
    <w:rsid w:val="00F15CFA"/>
    <w:rsid w:val="00F15E0B"/>
    <w:rsid w:val="00F16164"/>
    <w:rsid w:val="00F164E1"/>
    <w:rsid w:val="00F165C2"/>
    <w:rsid w:val="00F16C6C"/>
    <w:rsid w:val="00F16EAC"/>
    <w:rsid w:val="00F16FD7"/>
    <w:rsid w:val="00F1703F"/>
    <w:rsid w:val="00F17072"/>
    <w:rsid w:val="00F17098"/>
    <w:rsid w:val="00F17148"/>
    <w:rsid w:val="00F17191"/>
    <w:rsid w:val="00F173B7"/>
    <w:rsid w:val="00F1749C"/>
    <w:rsid w:val="00F1757E"/>
    <w:rsid w:val="00F17A98"/>
    <w:rsid w:val="00F20567"/>
    <w:rsid w:val="00F2061E"/>
    <w:rsid w:val="00F20754"/>
    <w:rsid w:val="00F20B88"/>
    <w:rsid w:val="00F20DD9"/>
    <w:rsid w:val="00F2123C"/>
    <w:rsid w:val="00F213DB"/>
    <w:rsid w:val="00F21430"/>
    <w:rsid w:val="00F214E6"/>
    <w:rsid w:val="00F21637"/>
    <w:rsid w:val="00F218E0"/>
    <w:rsid w:val="00F21B36"/>
    <w:rsid w:val="00F21BBF"/>
    <w:rsid w:val="00F21C24"/>
    <w:rsid w:val="00F21E2A"/>
    <w:rsid w:val="00F22812"/>
    <w:rsid w:val="00F2287F"/>
    <w:rsid w:val="00F22A6D"/>
    <w:rsid w:val="00F231C2"/>
    <w:rsid w:val="00F23346"/>
    <w:rsid w:val="00F2339B"/>
    <w:rsid w:val="00F23A82"/>
    <w:rsid w:val="00F23DF6"/>
    <w:rsid w:val="00F23E46"/>
    <w:rsid w:val="00F23E7B"/>
    <w:rsid w:val="00F23E92"/>
    <w:rsid w:val="00F24044"/>
    <w:rsid w:val="00F24089"/>
    <w:rsid w:val="00F2428C"/>
    <w:rsid w:val="00F24380"/>
    <w:rsid w:val="00F24772"/>
    <w:rsid w:val="00F248C6"/>
    <w:rsid w:val="00F24948"/>
    <w:rsid w:val="00F249C7"/>
    <w:rsid w:val="00F24FA1"/>
    <w:rsid w:val="00F25228"/>
    <w:rsid w:val="00F2522C"/>
    <w:rsid w:val="00F254AC"/>
    <w:rsid w:val="00F2550A"/>
    <w:rsid w:val="00F25858"/>
    <w:rsid w:val="00F25A2E"/>
    <w:rsid w:val="00F25B2F"/>
    <w:rsid w:val="00F25E39"/>
    <w:rsid w:val="00F260B4"/>
    <w:rsid w:val="00F261B7"/>
    <w:rsid w:val="00F262FF"/>
    <w:rsid w:val="00F26417"/>
    <w:rsid w:val="00F2656A"/>
    <w:rsid w:val="00F266B3"/>
    <w:rsid w:val="00F26741"/>
    <w:rsid w:val="00F26997"/>
    <w:rsid w:val="00F26B95"/>
    <w:rsid w:val="00F26D33"/>
    <w:rsid w:val="00F26D63"/>
    <w:rsid w:val="00F26F9E"/>
    <w:rsid w:val="00F270B7"/>
    <w:rsid w:val="00F27725"/>
    <w:rsid w:val="00F277EF"/>
    <w:rsid w:val="00F2796F"/>
    <w:rsid w:val="00F279CC"/>
    <w:rsid w:val="00F27A07"/>
    <w:rsid w:val="00F27BED"/>
    <w:rsid w:val="00F27D00"/>
    <w:rsid w:val="00F27D08"/>
    <w:rsid w:val="00F27EEB"/>
    <w:rsid w:val="00F307BA"/>
    <w:rsid w:val="00F30923"/>
    <w:rsid w:val="00F30961"/>
    <w:rsid w:val="00F309B1"/>
    <w:rsid w:val="00F309DF"/>
    <w:rsid w:val="00F30AD1"/>
    <w:rsid w:val="00F30BB4"/>
    <w:rsid w:val="00F30DB4"/>
    <w:rsid w:val="00F31498"/>
    <w:rsid w:val="00F316DD"/>
    <w:rsid w:val="00F31715"/>
    <w:rsid w:val="00F31806"/>
    <w:rsid w:val="00F31C7F"/>
    <w:rsid w:val="00F321CB"/>
    <w:rsid w:val="00F32330"/>
    <w:rsid w:val="00F32878"/>
    <w:rsid w:val="00F329F0"/>
    <w:rsid w:val="00F32A7C"/>
    <w:rsid w:val="00F32CFA"/>
    <w:rsid w:val="00F33111"/>
    <w:rsid w:val="00F33641"/>
    <w:rsid w:val="00F33699"/>
    <w:rsid w:val="00F338ED"/>
    <w:rsid w:val="00F34047"/>
    <w:rsid w:val="00F340E9"/>
    <w:rsid w:val="00F34141"/>
    <w:rsid w:val="00F3414F"/>
    <w:rsid w:val="00F34669"/>
    <w:rsid w:val="00F349AE"/>
    <w:rsid w:val="00F34C1B"/>
    <w:rsid w:val="00F34FC4"/>
    <w:rsid w:val="00F35617"/>
    <w:rsid w:val="00F3563E"/>
    <w:rsid w:val="00F3566B"/>
    <w:rsid w:val="00F35E6A"/>
    <w:rsid w:val="00F35F7B"/>
    <w:rsid w:val="00F36288"/>
    <w:rsid w:val="00F36397"/>
    <w:rsid w:val="00F36620"/>
    <w:rsid w:val="00F36864"/>
    <w:rsid w:val="00F369EF"/>
    <w:rsid w:val="00F373AA"/>
    <w:rsid w:val="00F37438"/>
    <w:rsid w:val="00F37785"/>
    <w:rsid w:val="00F378F7"/>
    <w:rsid w:val="00F3793F"/>
    <w:rsid w:val="00F37970"/>
    <w:rsid w:val="00F37B87"/>
    <w:rsid w:val="00F37C24"/>
    <w:rsid w:val="00F37CF2"/>
    <w:rsid w:val="00F37D95"/>
    <w:rsid w:val="00F4007B"/>
    <w:rsid w:val="00F4029B"/>
    <w:rsid w:val="00F403B8"/>
    <w:rsid w:val="00F4040F"/>
    <w:rsid w:val="00F4049E"/>
    <w:rsid w:val="00F4094D"/>
    <w:rsid w:val="00F40AB0"/>
    <w:rsid w:val="00F40B47"/>
    <w:rsid w:val="00F40E26"/>
    <w:rsid w:val="00F41345"/>
    <w:rsid w:val="00F41370"/>
    <w:rsid w:val="00F416F3"/>
    <w:rsid w:val="00F4181F"/>
    <w:rsid w:val="00F41A80"/>
    <w:rsid w:val="00F41B0D"/>
    <w:rsid w:val="00F41C0C"/>
    <w:rsid w:val="00F41C92"/>
    <w:rsid w:val="00F41EAB"/>
    <w:rsid w:val="00F41EB9"/>
    <w:rsid w:val="00F423F2"/>
    <w:rsid w:val="00F424AC"/>
    <w:rsid w:val="00F424D7"/>
    <w:rsid w:val="00F428D5"/>
    <w:rsid w:val="00F42CE4"/>
    <w:rsid w:val="00F42D14"/>
    <w:rsid w:val="00F42FD4"/>
    <w:rsid w:val="00F42FE0"/>
    <w:rsid w:val="00F430D3"/>
    <w:rsid w:val="00F434A1"/>
    <w:rsid w:val="00F435CF"/>
    <w:rsid w:val="00F43741"/>
    <w:rsid w:val="00F438FF"/>
    <w:rsid w:val="00F4393A"/>
    <w:rsid w:val="00F439B5"/>
    <w:rsid w:val="00F43C02"/>
    <w:rsid w:val="00F43D61"/>
    <w:rsid w:val="00F43DD8"/>
    <w:rsid w:val="00F43F4D"/>
    <w:rsid w:val="00F440CE"/>
    <w:rsid w:val="00F4410A"/>
    <w:rsid w:val="00F441D8"/>
    <w:rsid w:val="00F4428B"/>
    <w:rsid w:val="00F443AD"/>
    <w:rsid w:val="00F4451A"/>
    <w:rsid w:val="00F44552"/>
    <w:rsid w:val="00F44560"/>
    <w:rsid w:val="00F44767"/>
    <w:rsid w:val="00F44AF4"/>
    <w:rsid w:val="00F44DF4"/>
    <w:rsid w:val="00F44EA8"/>
    <w:rsid w:val="00F44EF0"/>
    <w:rsid w:val="00F45007"/>
    <w:rsid w:val="00F45227"/>
    <w:rsid w:val="00F452E0"/>
    <w:rsid w:val="00F45391"/>
    <w:rsid w:val="00F4552A"/>
    <w:rsid w:val="00F458F3"/>
    <w:rsid w:val="00F45B40"/>
    <w:rsid w:val="00F46139"/>
    <w:rsid w:val="00F46487"/>
    <w:rsid w:val="00F465E7"/>
    <w:rsid w:val="00F465F8"/>
    <w:rsid w:val="00F46742"/>
    <w:rsid w:val="00F46845"/>
    <w:rsid w:val="00F46A82"/>
    <w:rsid w:val="00F46CF9"/>
    <w:rsid w:val="00F46EA9"/>
    <w:rsid w:val="00F46FEC"/>
    <w:rsid w:val="00F47440"/>
    <w:rsid w:val="00F477C1"/>
    <w:rsid w:val="00F47818"/>
    <w:rsid w:val="00F47833"/>
    <w:rsid w:val="00F47A45"/>
    <w:rsid w:val="00F47AEC"/>
    <w:rsid w:val="00F47CFD"/>
    <w:rsid w:val="00F5029B"/>
    <w:rsid w:val="00F503DE"/>
    <w:rsid w:val="00F504C3"/>
    <w:rsid w:val="00F504EB"/>
    <w:rsid w:val="00F5070D"/>
    <w:rsid w:val="00F50954"/>
    <w:rsid w:val="00F50A45"/>
    <w:rsid w:val="00F51067"/>
    <w:rsid w:val="00F512E7"/>
    <w:rsid w:val="00F514A7"/>
    <w:rsid w:val="00F51AA7"/>
    <w:rsid w:val="00F51C45"/>
    <w:rsid w:val="00F51CDD"/>
    <w:rsid w:val="00F51D36"/>
    <w:rsid w:val="00F51FD4"/>
    <w:rsid w:val="00F52462"/>
    <w:rsid w:val="00F526EE"/>
    <w:rsid w:val="00F52795"/>
    <w:rsid w:val="00F52D47"/>
    <w:rsid w:val="00F52ECB"/>
    <w:rsid w:val="00F530FD"/>
    <w:rsid w:val="00F53152"/>
    <w:rsid w:val="00F5326E"/>
    <w:rsid w:val="00F536CD"/>
    <w:rsid w:val="00F537DA"/>
    <w:rsid w:val="00F53DBF"/>
    <w:rsid w:val="00F5413F"/>
    <w:rsid w:val="00F5415B"/>
    <w:rsid w:val="00F54394"/>
    <w:rsid w:val="00F543AF"/>
    <w:rsid w:val="00F5457F"/>
    <w:rsid w:val="00F5466D"/>
    <w:rsid w:val="00F546FB"/>
    <w:rsid w:val="00F54743"/>
    <w:rsid w:val="00F5474E"/>
    <w:rsid w:val="00F54771"/>
    <w:rsid w:val="00F54852"/>
    <w:rsid w:val="00F54984"/>
    <w:rsid w:val="00F549D5"/>
    <w:rsid w:val="00F54A55"/>
    <w:rsid w:val="00F54BD4"/>
    <w:rsid w:val="00F54FA1"/>
    <w:rsid w:val="00F54FBF"/>
    <w:rsid w:val="00F5504B"/>
    <w:rsid w:val="00F55586"/>
    <w:rsid w:val="00F55625"/>
    <w:rsid w:val="00F55726"/>
    <w:rsid w:val="00F557EC"/>
    <w:rsid w:val="00F55853"/>
    <w:rsid w:val="00F55A2C"/>
    <w:rsid w:val="00F55B1A"/>
    <w:rsid w:val="00F55DE3"/>
    <w:rsid w:val="00F55E58"/>
    <w:rsid w:val="00F56073"/>
    <w:rsid w:val="00F560B4"/>
    <w:rsid w:val="00F560CF"/>
    <w:rsid w:val="00F56107"/>
    <w:rsid w:val="00F561FC"/>
    <w:rsid w:val="00F56300"/>
    <w:rsid w:val="00F564A0"/>
    <w:rsid w:val="00F566D7"/>
    <w:rsid w:val="00F566ED"/>
    <w:rsid w:val="00F56746"/>
    <w:rsid w:val="00F567D6"/>
    <w:rsid w:val="00F567E3"/>
    <w:rsid w:val="00F56A46"/>
    <w:rsid w:val="00F56CB5"/>
    <w:rsid w:val="00F57494"/>
    <w:rsid w:val="00F574C8"/>
    <w:rsid w:val="00F57664"/>
    <w:rsid w:val="00F5768F"/>
    <w:rsid w:val="00F577DD"/>
    <w:rsid w:val="00F57CD9"/>
    <w:rsid w:val="00F57D7D"/>
    <w:rsid w:val="00F57D87"/>
    <w:rsid w:val="00F57E45"/>
    <w:rsid w:val="00F57ED4"/>
    <w:rsid w:val="00F57FB7"/>
    <w:rsid w:val="00F57FC7"/>
    <w:rsid w:val="00F601E5"/>
    <w:rsid w:val="00F60371"/>
    <w:rsid w:val="00F605A4"/>
    <w:rsid w:val="00F606EB"/>
    <w:rsid w:val="00F60823"/>
    <w:rsid w:val="00F60BBF"/>
    <w:rsid w:val="00F60BF7"/>
    <w:rsid w:val="00F60EC4"/>
    <w:rsid w:val="00F61006"/>
    <w:rsid w:val="00F61059"/>
    <w:rsid w:val="00F61134"/>
    <w:rsid w:val="00F611F1"/>
    <w:rsid w:val="00F613E0"/>
    <w:rsid w:val="00F614A1"/>
    <w:rsid w:val="00F614DD"/>
    <w:rsid w:val="00F614E5"/>
    <w:rsid w:val="00F617DE"/>
    <w:rsid w:val="00F61821"/>
    <w:rsid w:val="00F618DB"/>
    <w:rsid w:val="00F61B31"/>
    <w:rsid w:val="00F61F7A"/>
    <w:rsid w:val="00F61FF8"/>
    <w:rsid w:val="00F6203A"/>
    <w:rsid w:val="00F622DE"/>
    <w:rsid w:val="00F62647"/>
    <w:rsid w:val="00F626FB"/>
    <w:rsid w:val="00F62782"/>
    <w:rsid w:val="00F62939"/>
    <w:rsid w:val="00F62A39"/>
    <w:rsid w:val="00F62AB8"/>
    <w:rsid w:val="00F62DAD"/>
    <w:rsid w:val="00F638ED"/>
    <w:rsid w:val="00F6396B"/>
    <w:rsid w:val="00F63B37"/>
    <w:rsid w:val="00F63D35"/>
    <w:rsid w:val="00F63FE6"/>
    <w:rsid w:val="00F644CC"/>
    <w:rsid w:val="00F6463C"/>
    <w:rsid w:val="00F64760"/>
    <w:rsid w:val="00F64A30"/>
    <w:rsid w:val="00F64E06"/>
    <w:rsid w:val="00F64E35"/>
    <w:rsid w:val="00F64EAF"/>
    <w:rsid w:val="00F64FB9"/>
    <w:rsid w:val="00F64FC4"/>
    <w:rsid w:val="00F65294"/>
    <w:rsid w:val="00F656AF"/>
    <w:rsid w:val="00F656B8"/>
    <w:rsid w:val="00F659FD"/>
    <w:rsid w:val="00F65D16"/>
    <w:rsid w:val="00F6607A"/>
    <w:rsid w:val="00F663BB"/>
    <w:rsid w:val="00F6675E"/>
    <w:rsid w:val="00F66A39"/>
    <w:rsid w:val="00F66D39"/>
    <w:rsid w:val="00F66EAE"/>
    <w:rsid w:val="00F66F41"/>
    <w:rsid w:val="00F67078"/>
    <w:rsid w:val="00F671D4"/>
    <w:rsid w:val="00F67538"/>
    <w:rsid w:val="00F6780C"/>
    <w:rsid w:val="00F678BE"/>
    <w:rsid w:val="00F67B3A"/>
    <w:rsid w:val="00F67E55"/>
    <w:rsid w:val="00F7034F"/>
    <w:rsid w:val="00F704E3"/>
    <w:rsid w:val="00F71048"/>
    <w:rsid w:val="00F71655"/>
    <w:rsid w:val="00F717A7"/>
    <w:rsid w:val="00F71806"/>
    <w:rsid w:val="00F7192C"/>
    <w:rsid w:val="00F719F1"/>
    <w:rsid w:val="00F71F25"/>
    <w:rsid w:val="00F71F99"/>
    <w:rsid w:val="00F71FA3"/>
    <w:rsid w:val="00F723F9"/>
    <w:rsid w:val="00F724C2"/>
    <w:rsid w:val="00F7269A"/>
    <w:rsid w:val="00F72AB1"/>
    <w:rsid w:val="00F72BE8"/>
    <w:rsid w:val="00F73070"/>
    <w:rsid w:val="00F730CD"/>
    <w:rsid w:val="00F7320C"/>
    <w:rsid w:val="00F73510"/>
    <w:rsid w:val="00F73691"/>
    <w:rsid w:val="00F737CB"/>
    <w:rsid w:val="00F73A11"/>
    <w:rsid w:val="00F73E3A"/>
    <w:rsid w:val="00F73EAC"/>
    <w:rsid w:val="00F7411E"/>
    <w:rsid w:val="00F7413F"/>
    <w:rsid w:val="00F74350"/>
    <w:rsid w:val="00F744B8"/>
    <w:rsid w:val="00F74816"/>
    <w:rsid w:val="00F7481C"/>
    <w:rsid w:val="00F74882"/>
    <w:rsid w:val="00F748B0"/>
    <w:rsid w:val="00F7490F"/>
    <w:rsid w:val="00F74A6E"/>
    <w:rsid w:val="00F750A8"/>
    <w:rsid w:val="00F75119"/>
    <w:rsid w:val="00F7517B"/>
    <w:rsid w:val="00F75681"/>
    <w:rsid w:val="00F757DD"/>
    <w:rsid w:val="00F758EF"/>
    <w:rsid w:val="00F75A3E"/>
    <w:rsid w:val="00F75B78"/>
    <w:rsid w:val="00F75B82"/>
    <w:rsid w:val="00F75F29"/>
    <w:rsid w:val="00F75F9F"/>
    <w:rsid w:val="00F76205"/>
    <w:rsid w:val="00F764DC"/>
    <w:rsid w:val="00F76573"/>
    <w:rsid w:val="00F7673A"/>
    <w:rsid w:val="00F767E7"/>
    <w:rsid w:val="00F76E2E"/>
    <w:rsid w:val="00F77208"/>
    <w:rsid w:val="00F77315"/>
    <w:rsid w:val="00F773C2"/>
    <w:rsid w:val="00F7756C"/>
    <w:rsid w:val="00F778B2"/>
    <w:rsid w:val="00F77ABA"/>
    <w:rsid w:val="00F77C74"/>
    <w:rsid w:val="00F77E12"/>
    <w:rsid w:val="00F77F7C"/>
    <w:rsid w:val="00F8018A"/>
    <w:rsid w:val="00F80334"/>
    <w:rsid w:val="00F803F7"/>
    <w:rsid w:val="00F80629"/>
    <w:rsid w:val="00F80721"/>
    <w:rsid w:val="00F80A53"/>
    <w:rsid w:val="00F80E4A"/>
    <w:rsid w:val="00F81014"/>
    <w:rsid w:val="00F812AD"/>
    <w:rsid w:val="00F8138A"/>
    <w:rsid w:val="00F81AC1"/>
    <w:rsid w:val="00F81BB0"/>
    <w:rsid w:val="00F81C3A"/>
    <w:rsid w:val="00F81D0F"/>
    <w:rsid w:val="00F81DDB"/>
    <w:rsid w:val="00F820B4"/>
    <w:rsid w:val="00F828A5"/>
    <w:rsid w:val="00F82A92"/>
    <w:rsid w:val="00F82C98"/>
    <w:rsid w:val="00F82D86"/>
    <w:rsid w:val="00F82D8E"/>
    <w:rsid w:val="00F82E86"/>
    <w:rsid w:val="00F836A8"/>
    <w:rsid w:val="00F839EB"/>
    <w:rsid w:val="00F83B02"/>
    <w:rsid w:val="00F83B39"/>
    <w:rsid w:val="00F83C24"/>
    <w:rsid w:val="00F84405"/>
    <w:rsid w:val="00F844C1"/>
    <w:rsid w:val="00F84BD7"/>
    <w:rsid w:val="00F85013"/>
    <w:rsid w:val="00F850FA"/>
    <w:rsid w:val="00F851E7"/>
    <w:rsid w:val="00F85210"/>
    <w:rsid w:val="00F853B1"/>
    <w:rsid w:val="00F859EE"/>
    <w:rsid w:val="00F85CE5"/>
    <w:rsid w:val="00F86834"/>
    <w:rsid w:val="00F86DFF"/>
    <w:rsid w:val="00F86F53"/>
    <w:rsid w:val="00F871A1"/>
    <w:rsid w:val="00F872C1"/>
    <w:rsid w:val="00F87590"/>
    <w:rsid w:val="00F87599"/>
    <w:rsid w:val="00F8768F"/>
    <w:rsid w:val="00F8769B"/>
    <w:rsid w:val="00F87818"/>
    <w:rsid w:val="00F87917"/>
    <w:rsid w:val="00F879DC"/>
    <w:rsid w:val="00F87BE1"/>
    <w:rsid w:val="00F87D70"/>
    <w:rsid w:val="00F87DDC"/>
    <w:rsid w:val="00F87E58"/>
    <w:rsid w:val="00F900A3"/>
    <w:rsid w:val="00F9087C"/>
    <w:rsid w:val="00F908D3"/>
    <w:rsid w:val="00F9093B"/>
    <w:rsid w:val="00F9098E"/>
    <w:rsid w:val="00F90AA1"/>
    <w:rsid w:val="00F90DFC"/>
    <w:rsid w:val="00F911B8"/>
    <w:rsid w:val="00F91252"/>
    <w:rsid w:val="00F9151E"/>
    <w:rsid w:val="00F91B1B"/>
    <w:rsid w:val="00F91C0E"/>
    <w:rsid w:val="00F91CBA"/>
    <w:rsid w:val="00F91DB2"/>
    <w:rsid w:val="00F920E1"/>
    <w:rsid w:val="00F9219C"/>
    <w:rsid w:val="00F9223F"/>
    <w:rsid w:val="00F9229F"/>
    <w:rsid w:val="00F92434"/>
    <w:rsid w:val="00F9296A"/>
    <w:rsid w:val="00F92B8F"/>
    <w:rsid w:val="00F92F51"/>
    <w:rsid w:val="00F9366A"/>
    <w:rsid w:val="00F939DC"/>
    <w:rsid w:val="00F93B6F"/>
    <w:rsid w:val="00F94193"/>
    <w:rsid w:val="00F941D9"/>
    <w:rsid w:val="00F941F6"/>
    <w:rsid w:val="00F944DA"/>
    <w:rsid w:val="00F94506"/>
    <w:rsid w:val="00F94591"/>
    <w:rsid w:val="00F945D8"/>
    <w:rsid w:val="00F94B88"/>
    <w:rsid w:val="00F94D82"/>
    <w:rsid w:val="00F94E80"/>
    <w:rsid w:val="00F94F2A"/>
    <w:rsid w:val="00F95030"/>
    <w:rsid w:val="00F95624"/>
    <w:rsid w:val="00F956D2"/>
    <w:rsid w:val="00F95759"/>
    <w:rsid w:val="00F95771"/>
    <w:rsid w:val="00F95828"/>
    <w:rsid w:val="00F958A4"/>
    <w:rsid w:val="00F959E0"/>
    <w:rsid w:val="00F95A23"/>
    <w:rsid w:val="00F96046"/>
    <w:rsid w:val="00F96084"/>
    <w:rsid w:val="00F966E4"/>
    <w:rsid w:val="00F9688E"/>
    <w:rsid w:val="00F968EA"/>
    <w:rsid w:val="00F96FAF"/>
    <w:rsid w:val="00F97042"/>
    <w:rsid w:val="00F97213"/>
    <w:rsid w:val="00F9753C"/>
    <w:rsid w:val="00F975F3"/>
    <w:rsid w:val="00F9788E"/>
    <w:rsid w:val="00F978CD"/>
    <w:rsid w:val="00F97940"/>
    <w:rsid w:val="00F97B72"/>
    <w:rsid w:val="00F97C56"/>
    <w:rsid w:val="00FA0059"/>
    <w:rsid w:val="00FA022C"/>
    <w:rsid w:val="00FA0237"/>
    <w:rsid w:val="00FA029D"/>
    <w:rsid w:val="00FA0442"/>
    <w:rsid w:val="00FA057D"/>
    <w:rsid w:val="00FA06FD"/>
    <w:rsid w:val="00FA0A74"/>
    <w:rsid w:val="00FA0C5A"/>
    <w:rsid w:val="00FA0F3D"/>
    <w:rsid w:val="00FA1333"/>
    <w:rsid w:val="00FA1338"/>
    <w:rsid w:val="00FA146B"/>
    <w:rsid w:val="00FA15CA"/>
    <w:rsid w:val="00FA15DC"/>
    <w:rsid w:val="00FA15F5"/>
    <w:rsid w:val="00FA18BA"/>
    <w:rsid w:val="00FA18EE"/>
    <w:rsid w:val="00FA1B16"/>
    <w:rsid w:val="00FA1D0F"/>
    <w:rsid w:val="00FA21B1"/>
    <w:rsid w:val="00FA265C"/>
    <w:rsid w:val="00FA26BA"/>
    <w:rsid w:val="00FA26CD"/>
    <w:rsid w:val="00FA2B22"/>
    <w:rsid w:val="00FA2D0D"/>
    <w:rsid w:val="00FA2D20"/>
    <w:rsid w:val="00FA2E4E"/>
    <w:rsid w:val="00FA3244"/>
    <w:rsid w:val="00FA3285"/>
    <w:rsid w:val="00FA355E"/>
    <w:rsid w:val="00FA3816"/>
    <w:rsid w:val="00FA3BE1"/>
    <w:rsid w:val="00FA3C1A"/>
    <w:rsid w:val="00FA3E60"/>
    <w:rsid w:val="00FA40B4"/>
    <w:rsid w:val="00FA40D0"/>
    <w:rsid w:val="00FA4A08"/>
    <w:rsid w:val="00FA4BE4"/>
    <w:rsid w:val="00FA4BFB"/>
    <w:rsid w:val="00FA4CF5"/>
    <w:rsid w:val="00FA5072"/>
    <w:rsid w:val="00FA50EC"/>
    <w:rsid w:val="00FA514D"/>
    <w:rsid w:val="00FA528A"/>
    <w:rsid w:val="00FA55CC"/>
    <w:rsid w:val="00FA561E"/>
    <w:rsid w:val="00FA5B3E"/>
    <w:rsid w:val="00FA5E8F"/>
    <w:rsid w:val="00FA5F02"/>
    <w:rsid w:val="00FA601A"/>
    <w:rsid w:val="00FA613E"/>
    <w:rsid w:val="00FA63D1"/>
    <w:rsid w:val="00FA66D3"/>
    <w:rsid w:val="00FA67DD"/>
    <w:rsid w:val="00FA688D"/>
    <w:rsid w:val="00FA6ABA"/>
    <w:rsid w:val="00FA6B3F"/>
    <w:rsid w:val="00FA6CD7"/>
    <w:rsid w:val="00FA6EDB"/>
    <w:rsid w:val="00FA74BA"/>
    <w:rsid w:val="00FA74D3"/>
    <w:rsid w:val="00FA7857"/>
    <w:rsid w:val="00FA7AA2"/>
    <w:rsid w:val="00FA7C76"/>
    <w:rsid w:val="00FA7D2A"/>
    <w:rsid w:val="00FA7E5F"/>
    <w:rsid w:val="00FB0110"/>
    <w:rsid w:val="00FB01CA"/>
    <w:rsid w:val="00FB024D"/>
    <w:rsid w:val="00FB0404"/>
    <w:rsid w:val="00FB05B9"/>
    <w:rsid w:val="00FB0916"/>
    <w:rsid w:val="00FB0CAA"/>
    <w:rsid w:val="00FB10EA"/>
    <w:rsid w:val="00FB11A6"/>
    <w:rsid w:val="00FB16B5"/>
    <w:rsid w:val="00FB16E8"/>
    <w:rsid w:val="00FB1886"/>
    <w:rsid w:val="00FB1E59"/>
    <w:rsid w:val="00FB1F5D"/>
    <w:rsid w:val="00FB20F6"/>
    <w:rsid w:val="00FB2524"/>
    <w:rsid w:val="00FB27B8"/>
    <w:rsid w:val="00FB2960"/>
    <w:rsid w:val="00FB2A5B"/>
    <w:rsid w:val="00FB2ABA"/>
    <w:rsid w:val="00FB30B5"/>
    <w:rsid w:val="00FB30D4"/>
    <w:rsid w:val="00FB3358"/>
    <w:rsid w:val="00FB336D"/>
    <w:rsid w:val="00FB362C"/>
    <w:rsid w:val="00FB415C"/>
    <w:rsid w:val="00FB46AC"/>
    <w:rsid w:val="00FB47FD"/>
    <w:rsid w:val="00FB48EC"/>
    <w:rsid w:val="00FB4A65"/>
    <w:rsid w:val="00FB4B3C"/>
    <w:rsid w:val="00FB4B45"/>
    <w:rsid w:val="00FB4B74"/>
    <w:rsid w:val="00FB4D81"/>
    <w:rsid w:val="00FB5236"/>
    <w:rsid w:val="00FB52B7"/>
    <w:rsid w:val="00FB5613"/>
    <w:rsid w:val="00FB5B8E"/>
    <w:rsid w:val="00FB5EF7"/>
    <w:rsid w:val="00FB6072"/>
    <w:rsid w:val="00FB6080"/>
    <w:rsid w:val="00FB61AD"/>
    <w:rsid w:val="00FB6307"/>
    <w:rsid w:val="00FB6548"/>
    <w:rsid w:val="00FB6A9A"/>
    <w:rsid w:val="00FB6E64"/>
    <w:rsid w:val="00FB6E73"/>
    <w:rsid w:val="00FB7265"/>
    <w:rsid w:val="00FB745A"/>
    <w:rsid w:val="00FB7780"/>
    <w:rsid w:val="00FB7876"/>
    <w:rsid w:val="00FB7B8E"/>
    <w:rsid w:val="00FB7BAE"/>
    <w:rsid w:val="00FB7C9A"/>
    <w:rsid w:val="00FB7D0B"/>
    <w:rsid w:val="00FB7D36"/>
    <w:rsid w:val="00FC0364"/>
    <w:rsid w:val="00FC059E"/>
    <w:rsid w:val="00FC0968"/>
    <w:rsid w:val="00FC0AF1"/>
    <w:rsid w:val="00FC0C04"/>
    <w:rsid w:val="00FC0CA4"/>
    <w:rsid w:val="00FC0E03"/>
    <w:rsid w:val="00FC105A"/>
    <w:rsid w:val="00FC115B"/>
    <w:rsid w:val="00FC13B8"/>
    <w:rsid w:val="00FC14CF"/>
    <w:rsid w:val="00FC1AC1"/>
    <w:rsid w:val="00FC1CA3"/>
    <w:rsid w:val="00FC1F17"/>
    <w:rsid w:val="00FC22DA"/>
    <w:rsid w:val="00FC242C"/>
    <w:rsid w:val="00FC281B"/>
    <w:rsid w:val="00FC283F"/>
    <w:rsid w:val="00FC3404"/>
    <w:rsid w:val="00FC34F1"/>
    <w:rsid w:val="00FC35BD"/>
    <w:rsid w:val="00FC35C7"/>
    <w:rsid w:val="00FC383F"/>
    <w:rsid w:val="00FC3864"/>
    <w:rsid w:val="00FC387C"/>
    <w:rsid w:val="00FC3B6D"/>
    <w:rsid w:val="00FC3BE7"/>
    <w:rsid w:val="00FC40DC"/>
    <w:rsid w:val="00FC4148"/>
    <w:rsid w:val="00FC41A6"/>
    <w:rsid w:val="00FC4272"/>
    <w:rsid w:val="00FC4592"/>
    <w:rsid w:val="00FC4593"/>
    <w:rsid w:val="00FC5022"/>
    <w:rsid w:val="00FC5487"/>
    <w:rsid w:val="00FC574F"/>
    <w:rsid w:val="00FC5AFB"/>
    <w:rsid w:val="00FC5B7E"/>
    <w:rsid w:val="00FC5E92"/>
    <w:rsid w:val="00FC6152"/>
    <w:rsid w:val="00FC61C0"/>
    <w:rsid w:val="00FC62BD"/>
    <w:rsid w:val="00FC62E0"/>
    <w:rsid w:val="00FC6457"/>
    <w:rsid w:val="00FC6492"/>
    <w:rsid w:val="00FC64E5"/>
    <w:rsid w:val="00FC6617"/>
    <w:rsid w:val="00FC68FE"/>
    <w:rsid w:val="00FC6AB9"/>
    <w:rsid w:val="00FC6CAA"/>
    <w:rsid w:val="00FC6FAD"/>
    <w:rsid w:val="00FC71F5"/>
    <w:rsid w:val="00FC73E3"/>
    <w:rsid w:val="00FC73F7"/>
    <w:rsid w:val="00FC74ED"/>
    <w:rsid w:val="00FC750C"/>
    <w:rsid w:val="00FC7A63"/>
    <w:rsid w:val="00FC7C01"/>
    <w:rsid w:val="00FD01EE"/>
    <w:rsid w:val="00FD024D"/>
    <w:rsid w:val="00FD02A2"/>
    <w:rsid w:val="00FD07E2"/>
    <w:rsid w:val="00FD09E6"/>
    <w:rsid w:val="00FD09FD"/>
    <w:rsid w:val="00FD0C0E"/>
    <w:rsid w:val="00FD0DF1"/>
    <w:rsid w:val="00FD1022"/>
    <w:rsid w:val="00FD112C"/>
    <w:rsid w:val="00FD1435"/>
    <w:rsid w:val="00FD184F"/>
    <w:rsid w:val="00FD1C0C"/>
    <w:rsid w:val="00FD1C1E"/>
    <w:rsid w:val="00FD1F15"/>
    <w:rsid w:val="00FD2115"/>
    <w:rsid w:val="00FD25A1"/>
    <w:rsid w:val="00FD2723"/>
    <w:rsid w:val="00FD28C7"/>
    <w:rsid w:val="00FD2D14"/>
    <w:rsid w:val="00FD2F52"/>
    <w:rsid w:val="00FD2F88"/>
    <w:rsid w:val="00FD3479"/>
    <w:rsid w:val="00FD3561"/>
    <w:rsid w:val="00FD356C"/>
    <w:rsid w:val="00FD376E"/>
    <w:rsid w:val="00FD37D1"/>
    <w:rsid w:val="00FD3A9E"/>
    <w:rsid w:val="00FD3D77"/>
    <w:rsid w:val="00FD3E3F"/>
    <w:rsid w:val="00FD3EAE"/>
    <w:rsid w:val="00FD40AD"/>
    <w:rsid w:val="00FD48D0"/>
    <w:rsid w:val="00FD4991"/>
    <w:rsid w:val="00FD52CC"/>
    <w:rsid w:val="00FD579E"/>
    <w:rsid w:val="00FD57E6"/>
    <w:rsid w:val="00FD58DA"/>
    <w:rsid w:val="00FD5A46"/>
    <w:rsid w:val="00FD5FBA"/>
    <w:rsid w:val="00FD61D4"/>
    <w:rsid w:val="00FD6298"/>
    <w:rsid w:val="00FD63CD"/>
    <w:rsid w:val="00FD651B"/>
    <w:rsid w:val="00FD6697"/>
    <w:rsid w:val="00FD66AB"/>
    <w:rsid w:val="00FD6CE8"/>
    <w:rsid w:val="00FD6FB5"/>
    <w:rsid w:val="00FD74DA"/>
    <w:rsid w:val="00FD7969"/>
    <w:rsid w:val="00FE04FD"/>
    <w:rsid w:val="00FE0511"/>
    <w:rsid w:val="00FE05E1"/>
    <w:rsid w:val="00FE068D"/>
    <w:rsid w:val="00FE0A9A"/>
    <w:rsid w:val="00FE0B02"/>
    <w:rsid w:val="00FE0D4A"/>
    <w:rsid w:val="00FE11F3"/>
    <w:rsid w:val="00FE1225"/>
    <w:rsid w:val="00FE1709"/>
    <w:rsid w:val="00FE18D2"/>
    <w:rsid w:val="00FE1E3D"/>
    <w:rsid w:val="00FE1E7B"/>
    <w:rsid w:val="00FE2144"/>
    <w:rsid w:val="00FE23EF"/>
    <w:rsid w:val="00FE29B5"/>
    <w:rsid w:val="00FE29E9"/>
    <w:rsid w:val="00FE2EEC"/>
    <w:rsid w:val="00FE2F39"/>
    <w:rsid w:val="00FE37F5"/>
    <w:rsid w:val="00FE3996"/>
    <w:rsid w:val="00FE3B1A"/>
    <w:rsid w:val="00FE3B8F"/>
    <w:rsid w:val="00FE3BCB"/>
    <w:rsid w:val="00FE459C"/>
    <w:rsid w:val="00FE45E9"/>
    <w:rsid w:val="00FE4626"/>
    <w:rsid w:val="00FE4A32"/>
    <w:rsid w:val="00FE4A75"/>
    <w:rsid w:val="00FE4AC6"/>
    <w:rsid w:val="00FE50C5"/>
    <w:rsid w:val="00FE5636"/>
    <w:rsid w:val="00FE56BC"/>
    <w:rsid w:val="00FE575A"/>
    <w:rsid w:val="00FE5AB7"/>
    <w:rsid w:val="00FE5D04"/>
    <w:rsid w:val="00FE60F4"/>
    <w:rsid w:val="00FE62CF"/>
    <w:rsid w:val="00FE6353"/>
    <w:rsid w:val="00FE658B"/>
    <w:rsid w:val="00FE67DB"/>
    <w:rsid w:val="00FE684C"/>
    <w:rsid w:val="00FE694C"/>
    <w:rsid w:val="00FE6DE5"/>
    <w:rsid w:val="00FE6FE3"/>
    <w:rsid w:val="00FE6FED"/>
    <w:rsid w:val="00FE713A"/>
    <w:rsid w:val="00FE7410"/>
    <w:rsid w:val="00FE758F"/>
    <w:rsid w:val="00FE78F5"/>
    <w:rsid w:val="00FE7EE5"/>
    <w:rsid w:val="00FE7F48"/>
    <w:rsid w:val="00FF0303"/>
    <w:rsid w:val="00FF053A"/>
    <w:rsid w:val="00FF0565"/>
    <w:rsid w:val="00FF0625"/>
    <w:rsid w:val="00FF06C9"/>
    <w:rsid w:val="00FF06DC"/>
    <w:rsid w:val="00FF07F5"/>
    <w:rsid w:val="00FF0A91"/>
    <w:rsid w:val="00FF0BCD"/>
    <w:rsid w:val="00FF0BD0"/>
    <w:rsid w:val="00FF0DD6"/>
    <w:rsid w:val="00FF0FA9"/>
    <w:rsid w:val="00FF1642"/>
    <w:rsid w:val="00FF1786"/>
    <w:rsid w:val="00FF1A3A"/>
    <w:rsid w:val="00FF2117"/>
    <w:rsid w:val="00FF2327"/>
    <w:rsid w:val="00FF2666"/>
    <w:rsid w:val="00FF27E5"/>
    <w:rsid w:val="00FF283D"/>
    <w:rsid w:val="00FF2956"/>
    <w:rsid w:val="00FF2B41"/>
    <w:rsid w:val="00FF2D11"/>
    <w:rsid w:val="00FF2E46"/>
    <w:rsid w:val="00FF3430"/>
    <w:rsid w:val="00FF35EA"/>
    <w:rsid w:val="00FF3A12"/>
    <w:rsid w:val="00FF3B12"/>
    <w:rsid w:val="00FF3B30"/>
    <w:rsid w:val="00FF3CF8"/>
    <w:rsid w:val="00FF3FE1"/>
    <w:rsid w:val="00FF41A8"/>
    <w:rsid w:val="00FF4272"/>
    <w:rsid w:val="00FF44A5"/>
    <w:rsid w:val="00FF4574"/>
    <w:rsid w:val="00FF45A8"/>
    <w:rsid w:val="00FF49BD"/>
    <w:rsid w:val="00FF4EF5"/>
    <w:rsid w:val="00FF5013"/>
    <w:rsid w:val="00FF50E4"/>
    <w:rsid w:val="00FF51DF"/>
    <w:rsid w:val="00FF52E7"/>
    <w:rsid w:val="00FF53B3"/>
    <w:rsid w:val="00FF57BB"/>
    <w:rsid w:val="00FF590F"/>
    <w:rsid w:val="00FF5A4D"/>
    <w:rsid w:val="00FF5BDE"/>
    <w:rsid w:val="00FF5E96"/>
    <w:rsid w:val="00FF61C8"/>
    <w:rsid w:val="00FF6960"/>
    <w:rsid w:val="00FF6C43"/>
    <w:rsid w:val="00FF6E34"/>
    <w:rsid w:val="00FF6E3D"/>
    <w:rsid w:val="00FF77E8"/>
    <w:rsid w:val="00FF7914"/>
    <w:rsid w:val="00FF7C2F"/>
    <w:rsid w:val="00FF7C9A"/>
    <w:rsid w:val="03F17344"/>
    <w:rsid w:val="062A09A7"/>
    <w:rsid w:val="065997DA"/>
    <w:rsid w:val="3B098511"/>
    <w:rsid w:val="422480B4"/>
    <w:rsid w:val="4289046E"/>
    <w:rsid w:val="4B8013F9"/>
    <w:rsid w:val="4DFEBFFF"/>
    <w:rsid w:val="5D1FF86C"/>
    <w:rsid w:val="66EDBBC7"/>
    <w:rsid w:val="7388B30C"/>
    <w:rsid w:val="7EF49073"/>
  </w:rsids>
  <m:mathPr>
    <m:mathFont m:val="Cambria Math"/>
    <m:brkBin m:val="before"/>
    <m:brkBinSub m:val="--"/>
    <m:smallFrac m:val="0"/>
    <m:dispDef/>
    <m:lMargin m:val="0"/>
    <m:rMargin m:val="0"/>
    <m:defJc m:val="centerGroup"/>
    <m:wrapIndent m:val="1440"/>
    <m:intLim m:val="subSup"/>
    <m:naryLim m:val="undOvr"/>
  </m:mathPr>
  <w:themeFontLang w:val="en-US" w:eastAsia="zh-CN" w:bidi="si-L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A49B0"/>
  <w15:chartTrackingRefBased/>
  <w15:docId w15:val="{5CDA29AE-720F-4BDC-8C37-C2B96EB19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20"/>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DD6"/>
  </w:style>
  <w:style w:type="paragraph" w:styleId="Heading1">
    <w:name w:val="heading 1"/>
    <w:basedOn w:val="Normal"/>
    <w:next w:val="Normal"/>
    <w:link w:val="Heading1Char"/>
    <w:uiPriority w:val="9"/>
    <w:qFormat/>
    <w:rsid w:val="00525612"/>
    <w:pPr>
      <w:keepNext/>
      <w:keepLines/>
      <w:ind w:left="357" w:hanging="357"/>
      <w:outlineLvl w:val="0"/>
    </w:pPr>
    <w:rPr>
      <w:rFonts w:ascii="Calibri" w:eastAsiaTheme="majorEastAsia" w:hAnsi="Calibr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A40C5"/>
    <w:pPr>
      <w:keepNext/>
      <w:keepLines/>
      <w:spacing w:before="200" w:after="100" w:line="276" w:lineRule="auto"/>
      <w:ind w:left="0" w:firstLine="0"/>
      <w:outlineLvl w:val="1"/>
    </w:pPr>
    <w:rPr>
      <w:rFonts w:ascii="Roboto" w:eastAsia="Roboto" w:hAnsi="Roboto" w:cs="Roboto"/>
      <w:b/>
      <w:color w:val="92CDDC"/>
      <w:sz w:val="36"/>
      <w:szCs w:val="36"/>
      <w:lang w:val="en" w:bidi="si-LK"/>
    </w:rPr>
  </w:style>
  <w:style w:type="paragraph" w:styleId="Heading3">
    <w:name w:val="heading 3"/>
    <w:basedOn w:val="Normal"/>
    <w:next w:val="Normal"/>
    <w:link w:val="Heading3Char"/>
    <w:uiPriority w:val="9"/>
    <w:unhideWhenUsed/>
    <w:qFormat/>
    <w:rsid w:val="00690EA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DP DOCUMENT SUBTITLE,Paragraphe de liste PBLH,Table of contents numbered,Lapis Bulleted List,List Paragraph (numbered (a)),Bullet Points,Liste Paragraf,Liststycke SKL,Normal bullet 2,Bullet list,En tête 1,List Paragraph1,içindekiler vb,6"/>
    <w:basedOn w:val="Normal"/>
    <w:link w:val="ListParagraphChar"/>
    <w:uiPriority w:val="34"/>
    <w:qFormat/>
    <w:rsid w:val="00B80F8E"/>
    <w:pPr>
      <w:ind w:left="720"/>
      <w:contextualSpacing/>
    </w:pPr>
  </w:style>
  <w:style w:type="paragraph" w:styleId="FootnoteText">
    <w:name w:val="footnote text"/>
    <w:aliases w:val="fn,single space,footnote text,FOOTNOTES,Footnote Text Char Char Char Char Char Char,stile 1,Testo_note,Testo_note1,Testo_note2,Footnote Text Char3 Char,Footnote Text Char2 Char Char,Footnote,Fußnote,FSR footnote,ADB,Footnote Text Char Char"/>
    <w:basedOn w:val="Normal"/>
    <w:link w:val="FootnoteTextChar"/>
    <w:uiPriority w:val="99"/>
    <w:unhideWhenUsed/>
    <w:qFormat/>
    <w:rsid w:val="00B80F8E"/>
    <w:pPr>
      <w:spacing w:after="0"/>
      <w:ind w:left="0" w:firstLine="0"/>
    </w:pPr>
    <w:rPr>
      <w:sz w:val="20"/>
      <w:szCs w:val="20"/>
    </w:rPr>
  </w:style>
  <w:style w:type="character" w:customStyle="1" w:styleId="FootnoteTextChar">
    <w:name w:val="Footnote Text Char"/>
    <w:aliases w:val="fn Char,single space Char,footnote text Char,FOOTNOTES Char,Footnote Text Char Char Char Char Char Char Char,stile 1 Char,Testo_note Char,Testo_note1 Char,Testo_note2 Char,Footnote Text Char3 Char Char,Footnote Char,Fußnote Char"/>
    <w:basedOn w:val="DefaultParagraphFont"/>
    <w:link w:val="FootnoteText"/>
    <w:uiPriority w:val="99"/>
    <w:rsid w:val="00B80F8E"/>
    <w:rPr>
      <w:sz w:val="20"/>
      <w:szCs w:val="20"/>
    </w:rPr>
  </w:style>
  <w:style w:type="character" w:styleId="FootnoteReference">
    <w:name w:val="footnote reference"/>
    <w:basedOn w:val="DefaultParagraphFont"/>
    <w:uiPriority w:val="99"/>
    <w:unhideWhenUsed/>
    <w:rsid w:val="00B80F8E"/>
    <w:rPr>
      <w:vertAlign w:val="superscript"/>
    </w:rPr>
  </w:style>
  <w:style w:type="character" w:customStyle="1" w:styleId="ListParagraphChar">
    <w:name w:val="List Paragraph Char"/>
    <w:aliases w:val="PDP DOCUMENT SUBTITLE Char,Paragraphe de liste PBLH Char,Table of contents numbered Char,Lapis Bulleted List Char,List Paragraph (numbered (a)) Char,Bullet Points Char,Liste Paragraf Char,Liststycke SKL Char,Normal bullet 2 Char"/>
    <w:link w:val="ListParagraph"/>
    <w:uiPriority w:val="34"/>
    <w:qFormat/>
    <w:locked/>
    <w:rsid w:val="00B80F8E"/>
  </w:style>
  <w:style w:type="character" w:styleId="Hyperlink">
    <w:name w:val="Hyperlink"/>
    <w:basedOn w:val="DefaultParagraphFont"/>
    <w:uiPriority w:val="99"/>
    <w:unhideWhenUsed/>
    <w:rsid w:val="006B0A46"/>
    <w:rPr>
      <w:color w:val="0563C1" w:themeColor="hyperlink"/>
      <w:u w:val="single"/>
    </w:rPr>
  </w:style>
  <w:style w:type="character" w:styleId="UnresolvedMention">
    <w:name w:val="Unresolved Mention"/>
    <w:basedOn w:val="DefaultParagraphFont"/>
    <w:uiPriority w:val="99"/>
    <w:semiHidden/>
    <w:unhideWhenUsed/>
    <w:rsid w:val="006B0A46"/>
    <w:rPr>
      <w:color w:val="605E5C"/>
      <w:shd w:val="clear" w:color="auto" w:fill="E1DFDD"/>
    </w:rPr>
  </w:style>
  <w:style w:type="table" w:styleId="TableGrid">
    <w:name w:val="Table Grid"/>
    <w:basedOn w:val="TableNormal"/>
    <w:uiPriority w:val="39"/>
    <w:rsid w:val="0047239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A40C5"/>
    <w:rPr>
      <w:rFonts w:ascii="Roboto" w:eastAsia="Roboto" w:hAnsi="Roboto" w:cs="Roboto"/>
      <w:b/>
      <w:color w:val="92CDDC"/>
      <w:sz w:val="36"/>
      <w:szCs w:val="36"/>
      <w:lang w:val="en" w:bidi="si-LK"/>
    </w:rPr>
  </w:style>
  <w:style w:type="character" w:customStyle="1" w:styleId="Heading1Char">
    <w:name w:val="Heading 1 Char"/>
    <w:basedOn w:val="DefaultParagraphFont"/>
    <w:link w:val="Heading1"/>
    <w:uiPriority w:val="9"/>
    <w:rsid w:val="00525612"/>
    <w:rPr>
      <w:rFonts w:ascii="Calibri" w:eastAsiaTheme="majorEastAsia" w:hAnsi="Calibri" w:cstheme="majorBidi"/>
      <w:b/>
      <w:color w:val="2F5496" w:themeColor="accent1" w:themeShade="BF"/>
      <w:sz w:val="32"/>
      <w:szCs w:val="32"/>
    </w:rPr>
  </w:style>
  <w:style w:type="character" w:styleId="FollowedHyperlink">
    <w:name w:val="FollowedHyperlink"/>
    <w:basedOn w:val="DefaultParagraphFont"/>
    <w:uiPriority w:val="99"/>
    <w:semiHidden/>
    <w:unhideWhenUsed/>
    <w:rsid w:val="00CF3B4B"/>
    <w:rPr>
      <w:color w:val="954F72" w:themeColor="followedHyperlink"/>
      <w:u w:val="single"/>
    </w:rPr>
  </w:style>
  <w:style w:type="paragraph" w:styleId="TOCHeading">
    <w:name w:val="TOC Heading"/>
    <w:basedOn w:val="Heading1"/>
    <w:next w:val="Normal"/>
    <w:uiPriority w:val="39"/>
    <w:unhideWhenUsed/>
    <w:qFormat/>
    <w:rsid w:val="00B7405C"/>
    <w:pPr>
      <w:spacing w:line="259" w:lineRule="auto"/>
      <w:ind w:left="0" w:firstLine="0"/>
      <w:outlineLvl w:val="9"/>
    </w:pPr>
  </w:style>
  <w:style w:type="paragraph" w:styleId="TOC1">
    <w:name w:val="toc 1"/>
    <w:basedOn w:val="Normal"/>
    <w:next w:val="Normal"/>
    <w:autoRedefine/>
    <w:uiPriority w:val="39"/>
    <w:unhideWhenUsed/>
    <w:rsid w:val="00450D4E"/>
    <w:pPr>
      <w:tabs>
        <w:tab w:val="right" w:leader="dot" w:pos="9350"/>
      </w:tabs>
      <w:spacing w:after="0" w:line="259" w:lineRule="auto"/>
      <w:ind w:left="0" w:firstLine="0"/>
    </w:pPr>
  </w:style>
  <w:style w:type="paragraph" w:styleId="TOC2">
    <w:name w:val="toc 2"/>
    <w:basedOn w:val="Normal"/>
    <w:next w:val="Normal"/>
    <w:autoRedefine/>
    <w:uiPriority w:val="39"/>
    <w:unhideWhenUsed/>
    <w:rsid w:val="005D0C78"/>
    <w:pPr>
      <w:tabs>
        <w:tab w:val="left" w:pos="1260"/>
        <w:tab w:val="right" w:leader="dot" w:pos="9350"/>
      </w:tabs>
      <w:spacing w:after="40" w:line="259" w:lineRule="auto"/>
      <w:ind w:left="220" w:firstLine="0"/>
    </w:pPr>
  </w:style>
  <w:style w:type="paragraph" w:styleId="Header">
    <w:name w:val="header"/>
    <w:basedOn w:val="Normal"/>
    <w:link w:val="HeaderChar"/>
    <w:uiPriority w:val="99"/>
    <w:unhideWhenUsed/>
    <w:rsid w:val="005E7726"/>
    <w:pPr>
      <w:tabs>
        <w:tab w:val="center" w:pos="4680"/>
        <w:tab w:val="right" w:pos="9360"/>
      </w:tabs>
      <w:spacing w:after="0"/>
    </w:pPr>
  </w:style>
  <w:style w:type="character" w:customStyle="1" w:styleId="HeaderChar">
    <w:name w:val="Header Char"/>
    <w:basedOn w:val="DefaultParagraphFont"/>
    <w:link w:val="Header"/>
    <w:uiPriority w:val="99"/>
    <w:rsid w:val="005E7726"/>
  </w:style>
  <w:style w:type="paragraph" w:styleId="Footer">
    <w:name w:val="footer"/>
    <w:basedOn w:val="Normal"/>
    <w:link w:val="FooterChar"/>
    <w:uiPriority w:val="99"/>
    <w:unhideWhenUsed/>
    <w:rsid w:val="005E7726"/>
    <w:pPr>
      <w:tabs>
        <w:tab w:val="center" w:pos="4680"/>
        <w:tab w:val="right" w:pos="9360"/>
      </w:tabs>
      <w:spacing w:after="0"/>
    </w:pPr>
  </w:style>
  <w:style w:type="character" w:customStyle="1" w:styleId="FooterChar">
    <w:name w:val="Footer Char"/>
    <w:basedOn w:val="DefaultParagraphFont"/>
    <w:link w:val="Footer"/>
    <w:uiPriority w:val="99"/>
    <w:rsid w:val="005E7726"/>
  </w:style>
  <w:style w:type="table" w:customStyle="1" w:styleId="TableGrid1">
    <w:name w:val="Table Grid1"/>
    <w:basedOn w:val="TableNormal"/>
    <w:next w:val="TableGrid"/>
    <w:rsid w:val="00B10EEC"/>
    <w:pPr>
      <w:spacing w:after="0"/>
      <w:ind w:left="0" w:firstLine="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90EAC"/>
    <w:rPr>
      <w:rFonts w:asciiTheme="majorHAnsi" w:eastAsiaTheme="majorEastAsia" w:hAnsiTheme="majorHAnsi" w:cstheme="majorBidi"/>
      <w:color w:val="1F3763" w:themeColor="accent1" w:themeShade="7F"/>
      <w:sz w:val="24"/>
      <w:szCs w:val="24"/>
    </w:rPr>
  </w:style>
  <w:style w:type="table" w:customStyle="1" w:styleId="TableGrid2">
    <w:name w:val="Table Grid2"/>
    <w:basedOn w:val="TableNormal"/>
    <w:next w:val="TableGrid"/>
    <w:rsid w:val="00076F85"/>
    <w:pPr>
      <w:spacing w:after="0"/>
      <w:ind w:left="0" w:firstLine="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A4F3D"/>
    <w:pPr>
      <w:spacing w:after="0"/>
      <w:ind w:left="0" w:firstLine="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74F9D"/>
    <w:pPr>
      <w:spacing w:after="0"/>
      <w:ind w:left="0" w:firstLine="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074F9D"/>
    <w:pPr>
      <w:spacing w:after="0"/>
      <w:ind w:left="0" w:firstLine="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5">
    <w:name w:val="Table Grid5"/>
    <w:basedOn w:val="TableNormal"/>
    <w:next w:val="TableGrid"/>
    <w:rsid w:val="00604783"/>
    <w:pPr>
      <w:spacing w:after="0"/>
      <w:ind w:left="0" w:firstLine="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95C66"/>
    <w:pPr>
      <w:spacing w:after="0"/>
      <w:ind w:left="0" w:firstLine="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IEQ Table-Figure-Box Caption,quarterly chart caption,quarterly chart caption Char Char,chart title,Caption SEETO,Beskrivning Char,Beskrivning Char1 Char,Beskrivning Char Char Char,Beskrivning Char1 Char Char Char,Caption Char2,Caption Char1 Char"/>
    <w:basedOn w:val="Normal"/>
    <w:next w:val="Normal"/>
    <w:link w:val="CaptionChar"/>
    <w:uiPriority w:val="35"/>
    <w:qFormat/>
    <w:rsid w:val="008455DB"/>
    <w:pPr>
      <w:keepNext/>
      <w:keepLines/>
      <w:ind w:left="0" w:firstLine="0"/>
      <w:jc w:val="center"/>
    </w:pPr>
    <w:rPr>
      <w:rFonts w:ascii="Calibri" w:eastAsia="Times New Roman" w:hAnsi="Calibri" w:cs="Arial"/>
      <w:b/>
      <w:color w:val="0C4DA2"/>
      <w:szCs w:val="20"/>
    </w:rPr>
  </w:style>
  <w:style w:type="character" w:customStyle="1" w:styleId="CaptionChar">
    <w:name w:val="Caption Char"/>
    <w:aliases w:val="IEQ Table-Figure-Box Caption Char,quarterly chart caption Char,quarterly chart caption Char Char Char,chart title Char,Caption SEETO Char,Beskrivning Char Char,Beskrivning Char1 Char Char,Beskrivning Char Char Char Char,Caption Char2 Char"/>
    <w:basedOn w:val="DefaultParagraphFont"/>
    <w:link w:val="Caption"/>
    <w:uiPriority w:val="35"/>
    <w:locked/>
    <w:rsid w:val="008455DB"/>
    <w:rPr>
      <w:rFonts w:ascii="Calibri" w:eastAsia="Times New Roman" w:hAnsi="Calibri" w:cs="Arial"/>
      <w:b/>
      <w:color w:val="0C4DA2"/>
      <w:szCs w:val="20"/>
    </w:rPr>
  </w:style>
  <w:style w:type="table" w:customStyle="1" w:styleId="TableGrid7">
    <w:name w:val="Table Grid7"/>
    <w:basedOn w:val="TableNormal"/>
    <w:next w:val="TableGrid"/>
    <w:rsid w:val="00C35E84"/>
    <w:pPr>
      <w:spacing w:after="0"/>
      <w:ind w:left="0" w:firstLine="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3B6B12"/>
    <w:rPr>
      <w:sz w:val="20"/>
      <w:szCs w:val="20"/>
    </w:rPr>
  </w:style>
  <w:style w:type="character" w:customStyle="1" w:styleId="CommentTextChar">
    <w:name w:val="Comment Text Char"/>
    <w:basedOn w:val="DefaultParagraphFont"/>
    <w:link w:val="CommentText"/>
    <w:uiPriority w:val="99"/>
    <w:rsid w:val="003B6B12"/>
    <w:rPr>
      <w:sz w:val="20"/>
      <w:szCs w:val="20"/>
    </w:rPr>
  </w:style>
  <w:style w:type="character" w:styleId="CommentReference">
    <w:name w:val="annotation reference"/>
    <w:basedOn w:val="DefaultParagraphFont"/>
    <w:uiPriority w:val="99"/>
    <w:semiHidden/>
    <w:unhideWhenUsed/>
    <w:rsid w:val="003B6B12"/>
    <w:rPr>
      <w:sz w:val="16"/>
      <w:szCs w:val="16"/>
    </w:rPr>
  </w:style>
  <w:style w:type="character" w:styleId="Mention">
    <w:name w:val="Mention"/>
    <w:basedOn w:val="DefaultParagraphFont"/>
    <w:uiPriority w:val="99"/>
    <w:unhideWhenUsed/>
    <w:rsid w:val="003B6B12"/>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E4367D"/>
    <w:rPr>
      <w:b/>
      <w:bCs/>
    </w:rPr>
  </w:style>
  <w:style w:type="character" w:customStyle="1" w:styleId="CommentSubjectChar">
    <w:name w:val="Comment Subject Char"/>
    <w:basedOn w:val="CommentTextChar"/>
    <w:link w:val="CommentSubject"/>
    <w:uiPriority w:val="99"/>
    <w:semiHidden/>
    <w:rsid w:val="00E4367D"/>
    <w:rPr>
      <w:b/>
      <w:bCs/>
      <w:sz w:val="20"/>
      <w:szCs w:val="20"/>
    </w:rPr>
  </w:style>
  <w:style w:type="paragraph" w:customStyle="1" w:styleId="xmsonormal">
    <w:name w:val="x_msonormal"/>
    <w:basedOn w:val="Normal"/>
    <w:rsid w:val="00E62B28"/>
    <w:pPr>
      <w:spacing w:after="0"/>
      <w:ind w:left="0" w:firstLine="0"/>
    </w:pPr>
    <w:rPr>
      <w:rFonts w:ascii="Calibri" w:hAnsi="Calibri" w:cs="Calibri"/>
    </w:rPr>
  </w:style>
  <w:style w:type="paragraph" w:styleId="Revision">
    <w:name w:val="Revision"/>
    <w:hidden/>
    <w:uiPriority w:val="99"/>
    <w:semiHidden/>
    <w:rsid w:val="00DF4006"/>
    <w:pPr>
      <w:spacing w:after="0"/>
      <w:ind w:left="0" w:firstLine="0"/>
    </w:pPr>
  </w:style>
  <w:style w:type="paragraph" w:customStyle="1" w:styleId="TableParagraph">
    <w:name w:val="Table Paragraph"/>
    <w:basedOn w:val="Normal"/>
    <w:uiPriority w:val="1"/>
    <w:qFormat/>
    <w:rsid w:val="00D7506C"/>
    <w:pPr>
      <w:widowControl w:val="0"/>
      <w:autoSpaceDE w:val="0"/>
      <w:autoSpaceDN w:val="0"/>
      <w:spacing w:before="50" w:after="0"/>
      <w:ind w:left="0" w:firstLine="0"/>
    </w:pPr>
    <w:rPr>
      <w:rFonts w:ascii="Arial" w:eastAsia="Arial" w:hAnsi="Arial" w:cs="Arial"/>
    </w:rPr>
  </w:style>
  <w:style w:type="paragraph" w:customStyle="1" w:styleId="pf0">
    <w:name w:val="pf0"/>
    <w:basedOn w:val="Normal"/>
    <w:rsid w:val="00723987"/>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cf01">
    <w:name w:val="cf01"/>
    <w:basedOn w:val="DefaultParagraphFont"/>
    <w:rsid w:val="00723987"/>
    <w:rPr>
      <w:rFonts w:ascii="Segoe UI" w:hAnsi="Segoe UI" w:cs="Segoe UI" w:hint="default"/>
      <w:sz w:val="18"/>
      <w:szCs w:val="18"/>
    </w:rPr>
  </w:style>
  <w:style w:type="paragraph" w:customStyle="1" w:styleId="Default">
    <w:name w:val="Default"/>
    <w:rsid w:val="00735C11"/>
    <w:pPr>
      <w:autoSpaceDE w:val="0"/>
      <w:autoSpaceDN w:val="0"/>
      <w:adjustRightInd w:val="0"/>
      <w:spacing w:after="0"/>
      <w:ind w:left="0" w:firstLine="0"/>
    </w:pPr>
    <w:rPr>
      <w:rFonts w:ascii="Tahoma" w:eastAsia="Calibri" w:hAnsi="Tahoma" w:cs="Tahoma"/>
      <w:color w:val="000000"/>
      <w:sz w:val="24"/>
      <w:szCs w:val="24"/>
      <w:lang w:val="nb-NO"/>
    </w:rPr>
  </w:style>
  <w:style w:type="paragraph" w:styleId="TableofFigures">
    <w:name w:val="table of figures"/>
    <w:basedOn w:val="Normal"/>
    <w:next w:val="Normal"/>
    <w:uiPriority w:val="99"/>
    <w:unhideWhenUsed/>
    <w:rsid w:val="00C82CFE"/>
    <w:pPr>
      <w:spacing w:after="0"/>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4408">
      <w:bodyDiv w:val="1"/>
      <w:marLeft w:val="0"/>
      <w:marRight w:val="0"/>
      <w:marTop w:val="0"/>
      <w:marBottom w:val="0"/>
      <w:divBdr>
        <w:top w:val="none" w:sz="0" w:space="0" w:color="auto"/>
        <w:left w:val="none" w:sz="0" w:space="0" w:color="auto"/>
        <w:bottom w:val="none" w:sz="0" w:space="0" w:color="auto"/>
        <w:right w:val="none" w:sz="0" w:space="0" w:color="auto"/>
      </w:divBdr>
    </w:div>
    <w:div w:id="260913220">
      <w:bodyDiv w:val="1"/>
      <w:marLeft w:val="0"/>
      <w:marRight w:val="0"/>
      <w:marTop w:val="0"/>
      <w:marBottom w:val="0"/>
      <w:divBdr>
        <w:top w:val="none" w:sz="0" w:space="0" w:color="auto"/>
        <w:left w:val="none" w:sz="0" w:space="0" w:color="auto"/>
        <w:bottom w:val="none" w:sz="0" w:space="0" w:color="auto"/>
        <w:right w:val="none" w:sz="0" w:space="0" w:color="auto"/>
      </w:divBdr>
    </w:div>
    <w:div w:id="494951381">
      <w:bodyDiv w:val="1"/>
      <w:marLeft w:val="0"/>
      <w:marRight w:val="0"/>
      <w:marTop w:val="0"/>
      <w:marBottom w:val="0"/>
      <w:divBdr>
        <w:top w:val="none" w:sz="0" w:space="0" w:color="auto"/>
        <w:left w:val="none" w:sz="0" w:space="0" w:color="auto"/>
        <w:bottom w:val="none" w:sz="0" w:space="0" w:color="auto"/>
        <w:right w:val="none" w:sz="0" w:space="0" w:color="auto"/>
      </w:divBdr>
    </w:div>
    <w:div w:id="562762585">
      <w:bodyDiv w:val="1"/>
      <w:marLeft w:val="0"/>
      <w:marRight w:val="0"/>
      <w:marTop w:val="0"/>
      <w:marBottom w:val="0"/>
      <w:divBdr>
        <w:top w:val="none" w:sz="0" w:space="0" w:color="auto"/>
        <w:left w:val="none" w:sz="0" w:space="0" w:color="auto"/>
        <w:bottom w:val="none" w:sz="0" w:space="0" w:color="auto"/>
        <w:right w:val="none" w:sz="0" w:space="0" w:color="auto"/>
      </w:divBdr>
    </w:div>
    <w:div w:id="566112758">
      <w:bodyDiv w:val="1"/>
      <w:marLeft w:val="0"/>
      <w:marRight w:val="0"/>
      <w:marTop w:val="0"/>
      <w:marBottom w:val="0"/>
      <w:divBdr>
        <w:top w:val="none" w:sz="0" w:space="0" w:color="auto"/>
        <w:left w:val="none" w:sz="0" w:space="0" w:color="auto"/>
        <w:bottom w:val="none" w:sz="0" w:space="0" w:color="auto"/>
        <w:right w:val="none" w:sz="0" w:space="0" w:color="auto"/>
      </w:divBdr>
    </w:div>
    <w:div w:id="1112481291">
      <w:bodyDiv w:val="1"/>
      <w:marLeft w:val="0"/>
      <w:marRight w:val="0"/>
      <w:marTop w:val="0"/>
      <w:marBottom w:val="0"/>
      <w:divBdr>
        <w:top w:val="none" w:sz="0" w:space="0" w:color="auto"/>
        <w:left w:val="none" w:sz="0" w:space="0" w:color="auto"/>
        <w:bottom w:val="none" w:sz="0" w:space="0" w:color="auto"/>
        <w:right w:val="none" w:sz="0" w:space="0" w:color="auto"/>
      </w:divBdr>
    </w:div>
    <w:div w:id="1518999695">
      <w:bodyDiv w:val="1"/>
      <w:marLeft w:val="0"/>
      <w:marRight w:val="0"/>
      <w:marTop w:val="0"/>
      <w:marBottom w:val="0"/>
      <w:divBdr>
        <w:top w:val="none" w:sz="0" w:space="0" w:color="auto"/>
        <w:left w:val="none" w:sz="0" w:space="0" w:color="auto"/>
        <w:bottom w:val="none" w:sz="0" w:space="0" w:color="auto"/>
        <w:right w:val="none" w:sz="0" w:space="0" w:color="auto"/>
      </w:divBdr>
    </w:div>
    <w:div w:id="177158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chart" Target="charts/chart7.xml"/><Relationship Id="rId42" Type="http://schemas.openxmlformats.org/officeDocument/2006/relationships/footer" Target="footer9.xml"/><Relationship Id="rId47" Type="http://schemas.openxmlformats.org/officeDocument/2006/relationships/chart" Target="charts/chart19.xml"/><Relationship Id="rId63" Type="http://schemas.openxmlformats.org/officeDocument/2006/relationships/hyperlink" Target="https://doi.org/10.1787/983f251a-en" TargetMode="External"/><Relationship Id="rId68" Type="http://schemas.openxmlformats.org/officeDocument/2006/relationships/hyperlink" Target="https://taxfoundation.org/publications/corporate-tax-rates-around-the-world/" TargetMode="External"/><Relationship Id="rId2" Type="http://schemas.openxmlformats.org/officeDocument/2006/relationships/customXml" Target="../customXml/item2.xml"/><Relationship Id="rId16" Type="http://schemas.openxmlformats.org/officeDocument/2006/relationships/chart" Target="charts/chart2.xml"/><Relationship Id="rId29" Type="http://schemas.openxmlformats.org/officeDocument/2006/relationships/chart" Target="charts/chart12.xml"/><Relationship Id="rId11" Type="http://schemas.openxmlformats.org/officeDocument/2006/relationships/image" Target="media/image1.png"/><Relationship Id="rId24" Type="http://schemas.openxmlformats.org/officeDocument/2006/relationships/chart" Target="charts/chart9.xml"/><Relationship Id="rId32" Type="http://schemas.openxmlformats.org/officeDocument/2006/relationships/chart" Target="charts/chart13.xml"/><Relationship Id="rId37" Type="http://schemas.openxmlformats.org/officeDocument/2006/relationships/footer" Target="footer4.xml"/><Relationship Id="rId40" Type="http://schemas.openxmlformats.org/officeDocument/2006/relationships/footer" Target="footer7.xml"/><Relationship Id="rId45" Type="http://schemas.openxmlformats.org/officeDocument/2006/relationships/chart" Target="charts/chart17.xml"/><Relationship Id="rId53" Type="http://schemas.openxmlformats.org/officeDocument/2006/relationships/hyperlink" Target="https://www.elibrary.imf.org/view/journals/001/2005/218/001.2005.issue-218-en.xml" TargetMode="External"/><Relationship Id="rId58" Type="http://schemas.openxmlformats.org/officeDocument/2006/relationships/hyperlink" Target="https://doi.org/10.1016/j.socec.2023.102130" TargetMode="External"/><Relationship Id="rId66" Type="http://schemas.openxmlformats.org/officeDocument/2006/relationships/hyperlink" Target="https://taxsummaries.pwc.com/quick-charts/corporate-income-tax-cit-rates" TargetMode="External"/><Relationship Id="rId5" Type="http://schemas.openxmlformats.org/officeDocument/2006/relationships/numbering" Target="numbering.xml"/><Relationship Id="rId61" Type="http://schemas.openxmlformats.org/officeDocument/2006/relationships/hyperlink" Target="https://doi.org/10.1787/ff4d4ce8-en" TargetMode="External"/><Relationship Id="rId19" Type="http://schemas.openxmlformats.org/officeDocument/2006/relationships/chart" Target="charts/chart5.xml"/><Relationship Id="rId14" Type="http://schemas.openxmlformats.org/officeDocument/2006/relationships/footer" Target="footer3.xml"/><Relationship Id="rId22" Type="http://schemas.openxmlformats.org/officeDocument/2006/relationships/image" Target="media/image2.emf"/><Relationship Id="rId27" Type="http://schemas.openxmlformats.org/officeDocument/2006/relationships/chart" Target="charts/chart10.xml"/><Relationship Id="rId30" Type="http://schemas.openxmlformats.org/officeDocument/2006/relationships/image" Target="media/image5.png"/><Relationship Id="rId35" Type="http://schemas.openxmlformats.org/officeDocument/2006/relationships/image" Target="media/image8.svg"/><Relationship Id="rId43" Type="http://schemas.openxmlformats.org/officeDocument/2006/relationships/chart" Target="charts/chart15.xml"/><Relationship Id="rId48" Type="http://schemas.openxmlformats.org/officeDocument/2006/relationships/hyperlink" Target="https://doi.org/10.5089/9798400221507.061.A001" TargetMode="External"/><Relationship Id="rId56" Type="http://schemas.openxmlformats.org/officeDocument/2006/relationships/hyperlink" Target="https://data.imf.org/?sk=77413f1d-1525-450a-a23a-47aeed40fe78" TargetMode="External"/><Relationship Id="rId64" Type="http://schemas.openxmlformats.org/officeDocument/2006/relationships/hyperlink" Target="https://doi.org/10.1787/data-00900-en" TargetMode="External"/><Relationship Id="rId69" Type="http://schemas.openxmlformats.org/officeDocument/2006/relationships/footer" Target="footer10.xml"/><Relationship Id="rId8" Type="http://schemas.openxmlformats.org/officeDocument/2006/relationships/webSettings" Target="webSettings.xml"/><Relationship Id="rId51" Type="http://schemas.openxmlformats.org/officeDocument/2006/relationships/hyperlink" Target="https://jhfinance.web.unc.edu/wp-content/uploads/sites/12369/2021/11/2022_JH_does_size_matter.pdf"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chart" Target="charts/chart3.xml"/><Relationship Id="rId25" Type="http://schemas.microsoft.com/office/2014/relationships/chartEx" Target="charts/chartEx1.xml"/><Relationship Id="rId33" Type="http://schemas.openxmlformats.org/officeDocument/2006/relationships/chart" Target="charts/chart14.xml"/><Relationship Id="rId38" Type="http://schemas.openxmlformats.org/officeDocument/2006/relationships/footer" Target="footer5.xml"/><Relationship Id="rId46" Type="http://schemas.openxmlformats.org/officeDocument/2006/relationships/chart" Target="charts/chart18.xml"/><Relationship Id="rId59" Type="http://schemas.openxmlformats.org/officeDocument/2006/relationships/hyperlink" Target="https://www.elibrary.imf.org/display/book/9781589067363/ch003.xml" TargetMode="External"/><Relationship Id="rId67" Type="http://schemas.openxmlformats.org/officeDocument/2006/relationships/hyperlink" Target="https://www.statista.com/statistics/1263780/ebit-margins-of-container-carriers-by-quarter/" TargetMode="External"/><Relationship Id="rId20" Type="http://schemas.openxmlformats.org/officeDocument/2006/relationships/chart" Target="charts/chart6.xml"/><Relationship Id="rId41" Type="http://schemas.openxmlformats.org/officeDocument/2006/relationships/footer" Target="footer8.xml"/><Relationship Id="rId54" Type="http://schemas.openxmlformats.org/officeDocument/2006/relationships/hyperlink" Target="https://documents.worldbank.org/en/publication/documents-reports/documentdetail/099358407222411531/idu18ac8f51d1c91e14f751936b1e28e9f364a0b" TargetMode="External"/><Relationship Id="rId62" Type="http://schemas.openxmlformats.org/officeDocument/2006/relationships/hyperlink" Target="https://doi.org/10.1787/6525a942-en" TargetMode="External"/><Relationship Id="rId7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1.xml"/><Relationship Id="rId23" Type="http://schemas.openxmlformats.org/officeDocument/2006/relationships/chart" Target="charts/chart8.xml"/><Relationship Id="rId28" Type="http://schemas.openxmlformats.org/officeDocument/2006/relationships/chart" Target="charts/chart11.xml"/><Relationship Id="rId36" Type="http://schemas.openxmlformats.org/officeDocument/2006/relationships/image" Target="media/image9.png"/><Relationship Id="rId49" Type="http://schemas.openxmlformats.org/officeDocument/2006/relationships/hyperlink" Target="https://pages.stern.nyu.edu/~adamodar/pc/archives/marginemerg22.xls" TargetMode="External"/><Relationship Id="rId57" Type="http://schemas.openxmlformats.org/officeDocument/2006/relationships/hyperlink" Target="https://www.imf.org/external/pubs/ft/issues/issues27/" TargetMode="External"/><Relationship Id="rId10" Type="http://schemas.openxmlformats.org/officeDocument/2006/relationships/endnotes" Target="endnotes.xml"/><Relationship Id="rId31" Type="http://schemas.openxmlformats.org/officeDocument/2006/relationships/image" Target="media/image6.jpeg"/><Relationship Id="rId44" Type="http://schemas.openxmlformats.org/officeDocument/2006/relationships/chart" Target="charts/chart16.xml"/><Relationship Id="rId52" Type="http://schemas.openxmlformats.org/officeDocument/2006/relationships/hyperlink" Target="https://doi.org/10.5281/zenodo.7825791" TargetMode="External"/><Relationship Id="rId60" Type="http://schemas.openxmlformats.org/officeDocument/2006/relationships/hyperlink" Target="https://doi.org/10.1080/23311975.2022.2111844" TargetMode="External"/><Relationship Id="rId65" Type="http://schemas.openxmlformats.org/officeDocument/2006/relationships/hyperlink" Target="https://www.pwc.es/es/publicaciones/transporte/pwc-choosing-your-course.pdf"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hart" Target="charts/chart4.xml"/><Relationship Id="rId39" Type="http://schemas.openxmlformats.org/officeDocument/2006/relationships/footer" Target="footer6.xml"/><Relationship Id="rId34" Type="http://schemas.openxmlformats.org/officeDocument/2006/relationships/image" Target="media/image7.png"/><Relationship Id="rId50" Type="http://schemas.openxmlformats.org/officeDocument/2006/relationships/hyperlink" Target="https://www2.deloitte.com/id/en/pages/tax/articles/indonesian-tax-guide.html" TargetMode="External"/><Relationship Id="rId55" Type="http://schemas.openxmlformats.org/officeDocument/2006/relationships/hyperlink" Target="https://www.ilo.org/wcmsp5/groups/public/---asia/---ro-bangkok/---ilo-jakarta/documents/publication/wcms_695134.pdf" TargetMode="External"/><Relationship Id="rId7" Type="http://schemas.openxmlformats.org/officeDocument/2006/relationships/settings" Target="settings.xml"/><Relationship Id="rId71" Type="http://schemas.openxmlformats.org/officeDocument/2006/relationships/footer" Target="footer12.xml"/></Relationships>
</file>

<file path=word/_rels/footnotes.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worldbankgroup.sharepoint.com/teams/MTIIndonesia-WBGroup/Shared%20Documents/5.%20Projects/Fiscal%20PASA/1.%20Business%20taxes/1.%20Policy%20Framework/data/IMF%20WoRLD%201990-2021.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https://worldbankgroup.sharepoint.com/teams/MTIIndonesia-WBGroup/Shared%20Documents/5.%20Projects/Fiscal%20PASA/1.%20Business%20taxes/1.%20Policy%20Framework/IMF%20WoRLD%201990-2021.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https://worldbankgroup.sharepoint.com/teams/MTIIndonesia-WBGroup/Shared%20Documents/5.%20Projects/Fiscal%20PASA/1.%20Business%20taxes/1.%20Policy%20Framework/Reproducibility%20Package/Ratih's%20sections/VAT%20charts.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https://worldbankgroup.sharepoint.com/teams/MTIIndonesia-WBGroup/Shared%20Documents/5.%20Projects/Fiscal%20PASA/1.%20Business%20taxes/1.%20Policy%20Framework/Reproducibility%20Package/Ratih's%20sections/VAT%20charts.xlsx" TargetMode="External"/></Relationships>
</file>

<file path=word/charts/_rels/chart13.xml.rels><?xml version="1.0" encoding="UTF-8" standalone="yes"?>
<Relationships xmlns="http://schemas.openxmlformats.org/package/2006/relationships"><Relationship Id="rId3" Type="http://schemas.openxmlformats.org/officeDocument/2006/relationships/oleObject" Target="https://worldbankgroup.sharepoint.com/teams/MTIIndonesia-WBGroup/Shared%20Documents/5.%20Projects/Fiscal%20PASA/1.%20Business%20taxes/1.%20Policy%20Framework/Data/CEQ/VAT%202019%20results%20for%20MTI.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https://worldbankgroup.sharepoint.com/teams/MTIIndonesia-WBGroup/Shared%20Documents/5.%20Projects/Fiscal%20PASA/1.%20Business%20taxes/1.%20Policy%20Framework/Reproducibility%20Package/Ratih's%20sections/VAT%20charts.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C:\Users\gponi\Economists%20Dropbox\grzegorz.poniatowski@case-research.eu\Indonesia_tax_gaps\VAT%20benchmarking\Database_1904.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https://worldbankgroup.sharepoint.com/teams/MTIIndonesia-WBGroup/Shared%20Documents/5.%20Projects/Fiscal%20PASA/1.%20Business%20taxes/1.%20Policy%20Framework/Reproducibility%20Package/Ratih's%20sections/VAT%20charts.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C:\Users\gponi\Economists%20Dropbox\grzegorz.poniatowski@case-research.eu\Indonesia_tax_gaps\VAT%20benchmarking\Database_1904.xlsx" TargetMode="External"/></Relationships>
</file>

<file path=word/charts/_rels/chart18.xml.rels><?xml version="1.0" encoding="UTF-8" standalone="yes"?>
<Relationships xmlns="http://schemas.openxmlformats.org/package/2006/relationships"><Relationship Id="rId3" Type="http://schemas.openxmlformats.org/officeDocument/2006/relationships/oleObject" Target="https://worldbankgroup.sharepoint.com/teams/MTIIndonesia-WBGroup/Shared%20Documents/5.%20Projects/Fiscal%20PASA/1.%20Business%20taxes/1.%20Policy%20framework/Greg's/VAT%20benchmarking%20graphs%200805.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gponi\Economists%20Dropbox\grzegorz.poniatowski@case-research.eu\Indonesia_tax_gaps\VAT%20benchmarking\Database_1904.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https://worldbankgroup-my.sharepoint.com/personal/aobeyesekere_worldbank_org/Documents/Indonesia/Work%20-%20Revenue/Tax%20Framework%20Paper%20-%20CIT%20and%20VAT/CIT%20charts%20for%20the%20paper.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3.xml.rels><?xml version="1.0" encoding="UTF-8" standalone="yes"?>
<Relationships xmlns="http://schemas.openxmlformats.org/package/2006/relationships"><Relationship Id="rId3" Type="http://schemas.openxmlformats.org/officeDocument/2006/relationships/oleObject" Target="https://worldbankgroup-my.sharepoint.com/personal/aobeyesekere_worldbank_org/Documents/Indonesia/Work%20-%20Revenue/Tax%20Framework%20Paper%20-%20CIT%20and%20VAT/CIT%20charts%20for%20the%20paper.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worldbankgroup-my.sharepoint.com/personal/aobeyesekere_worldbank_org/Documents/Indonesia/Work%20-%20Revenue/Tax%20Framework%20Paper%20-%20CIT%20and%20VAT/CIT%20charts%20for%20the%20paper.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worldbankgroup-my.sharepoint.com/personal/aobeyesekere_worldbank_org/Documents/Indonesia/Work%20-%20Revenue/Tax%20Framework%20Paper%20-%20CIT%20and%20VAT/CIT%20charts%20for%20the%20paper.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worldbankgroup.sharepoint.com/teams/MTIIndonesia-WBGroup/Shared%20Documents/5.%20Projects/Fiscal%20PASA/1.%20Business%20taxes/1.%20Policy%20Framework/Reproducibility%20Package/Ratih's%20sections/Charts_Tax%20policy%20review.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worldbankgroup-my.sharepoint.com/personal/aobeyesekere_worldbank_org/Documents/Indonesia/Work%20-%20Revenue/Tax%20Framework%20Paper%20-%20CIT%20and%20VAT/Consultants'%20docs/Tax%20holidays%20structur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1" Type="http://schemas.openxmlformats.org/officeDocument/2006/relationships/oleObject" Target="https://worldbankgroup.sharepoint.com/teams/MTIIndonesia-WBGroup/Shared%20Documents/5.%20Projects/Fiscal%20PASA/1.%20Business%20taxes/1.%20Policy%20Framework/Reproducibility%20Package/Reproducibility%20resubmission/Charts%20-%20Tax%20policy%20review.xlsx" TargetMode="External"/></Relationships>
</file>

<file path=word/charts/_rels/chart9.xml.rels><?xml version="1.0" encoding="UTF-8" standalone="yes"?>
<Relationships xmlns="http://schemas.openxmlformats.org/package/2006/relationships"><Relationship Id="rId3" Type="http://schemas.openxmlformats.org/officeDocument/2006/relationships/oleObject" Target="https://worldbankgroup-my.sharepoint.com/personal/aobeyesekere_worldbank_org/Documents/Indonesia/Work%20-%20Revenue/Tax%20Framework%20Paper%20-%20CIT%20and%20VAT/marginemerg.xlsx" TargetMode="Externa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Ex1.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https://worldbankgroup.sharepoint.com/teams/MTIIndonesia-WBGroup/Shared%20Documents/5.%20Projects/Fiscal%20PASA/1.%20Business%20taxes/1.%20Policy%20Framework/Reproducibility%20Package/Reproducibility%20resubmission/Charts%20-%20Tax%20policy%20review.xlsx" TargetMode="External"/><Relationship Id="rId4"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2"/>
          <c:order val="0"/>
          <c:tx>
            <c:strRef>
              <c:f>'IDN stack column'!$A$6</c:f>
              <c:strCache>
                <c:ptCount val="1"/>
                <c:pt idx="0">
                  <c:v>VAT</c:v>
                </c:pt>
              </c:strCache>
            </c:strRef>
          </c:tx>
          <c:spPr>
            <a:solidFill>
              <a:srgbClr val="0C4DA2"/>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showLegendKey val="0"/>
            <c:showVal val="1"/>
            <c:showCatName val="0"/>
            <c:showSerName val="1"/>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'IDN stack column'!$B$2:$I$3</c:f>
              <c:multiLvlStrCache>
                <c:ptCount val="5"/>
                <c:lvl>
                  <c:pt idx="0">
                    <c:v>1991-2000</c:v>
                  </c:pt>
                  <c:pt idx="1">
                    <c:v>2001-2010</c:v>
                  </c:pt>
                  <c:pt idx="2">
                    <c:v>2011-2019</c:v>
                  </c:pt>
                  <c:pt idx="3">
                    <c:v>2011-2019</c:v>
                  </c:pt>
                  <c:pt idx="4">
                    <c:v>2011-2019</c:v>
                  </c:pt>
                </c:lvl>
                <c:lvl>
                  <c:pt idx="0">
                    <c:v>Indonesia</c:v>
                  </c:pt>
                  <c:pt idx="3">
                    <c:v>ASEAN</c:v>
                  </c:pt>
                  <c:pt idx="4">
                    <c:v>UMIC</c:v>
                  </c:pt>
                </c:lvl>
              </c:multiLvlStrCache>
            </c:multiLvlStrRef>
          </c:cat>
          <c:val>
            <c:numRef>
              <c:f>'IDN stack column'!$B$6:$I$6</c:f>
              <c:numCache>
                <c:formatCode>#,##0.0_);\(#,##0.0\)</c:formatCode>
                <c:ptCount val="5"/>
                <c:pt idx="0">
                  <c:v>17.861372675779737</c:v>
                </c:pt>
                <c:pt idx="1">
                  <c:v>29.378484014352146</c:v>
                </c:pt>
                <c:pt idx="2">
                  <c:v>30.429612887009714</c:v>
                </c:pt>
                <c:pt idx="3">
                  <c:v>21.697199949839167</c:v>
                </c:pt>
                <c:pt idx="4">
                  <c:v>34.967718754492218</c:v>
                </c:pt>
              </c:numCache>
            </c:numRef>
          </c:val>
          <c:extLst>
            <c:ext xmlns:c16="http://schemas.microsoft.com/office/drawing/2014/chart" uri="{C3380CC4-5D6E-409C-BE32-E72D297353CC}">
              <c16:uniqueId val="{00000000-B68F-4874-8A7D-2F8AE90FED2F}"/>
            </c:ext>
          </c:extLst>
        </c:ser>
        <c:ser>
          <c:idx val="1"/>
          <c:order val="1"/>
          <c:tx>
            <c:v>Business income taxes (CIT)</c:v>
          </c:tx>
          <c:spPr>
            <a:solidFill>
              <a:srgbClr val="00B0F0"/>
            </a:solidFill>
            <a:ln>
              <a:noFill/>
            </a:ln>
            <a:effectLst/>
          </c:spPr>
          <c:invertIfNegative val="0"/>
          <c:dLbls>
            <c:dLbl>
              <c:idx val="0"/>
              <c:tx>
                <c:rich>
                  <a:bodyPr/>
                  <a:lstStyle/>
                  <a:p>
                    <a:r>
                      <a:rPr lang="en-US" baseline="0"/>
                      <a:t>Business</a:t>
                    </a:r>
                    <a:br>
                      <a:rPr lang="en-US" baseline="0"/>
                    </a:br>
                    <a:r>
                      <a:rPr lang="en-US" baseline="0"/>
                      <a:t>income</a:t>
                    </a:r>
                  </a:p>
                  <a:p>
                    <a:r>
                      <a:rPr lang="en-US" baseline="0"/>
                      <a:t>taxes, </a:t>
                    </a:r>
                    <a:fld id="{B4920C50-5A7E-4B1E-A634-6CBF8D32CAF1}" type="VALUE">
                      <a:rPr lang="en-US" baseline="0"/>
                      <a:pPr/>
                      <a:t>[VALUE]</a:t>
                    </a:fld>
                    <a:endParaRPr lang="en-US" baseline="0"/>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68F-4874-8A7D-2F8AE90FED2F}"/>
                </c:ext>
              </c:extLst>
            </c:dLbl>
            <c:dLbl>
              <c:idx val="1"/>
              <c:tx>
                <c:rich>
                  <a:bodyPr/>
                  <a:lstStyle/>
                  <a:p>
                    <a:r>
                      <a:rPr lang="en-US"/>
                      <a:t>Business</a:t>
                    </a:r>
                  </a:p>
                  <a:p>
                    <a:r>
                      <a:rPr lang="en-US" baseline="0"/>
                      <a:t>income</a:t>
                    </a:r>
                  </a:p>
                  <a:p>
                    <a:r>
                      <a:rPr lang="en-US" baseline="0"/>
                      <a:t>taxes, </a:t>
                    </a:r>
                    <a:fld id="{E3E23643-03CE-4FF2-BB91-B5B7B0D8E9F1}" type="VALUE">
                      <a:rPr lang="en-US" baseline="0"/>
                      <a:pPr/>
                      <a:t>[VALUE]</a:t>
                    </a:fld>
                    <a:endParaRPr lang="en-US" baseline="0"/>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B68F-4874-8A7D-2F8AE90FED2F}"/>
                </c:ext>
              </c:extLst>
            </c:dLbl>
            <c:dLbl>
              <c:idx val="2"/>
              <c:tx>
                <c:rich>
                  <a:bodyPr/>
                  <a:lstStyle/>
                  <a:p>
                    <a:r>
                      <a:rPr lang="en-US"/>
                      <a:t>Business</a:t>
                    </a:r>
                  </a:p>
                  <a:p>
                    <a:r>
                      <a:rPr lang="en-US" baseline="0"/>
                      <a:t>income</a:t>
                    </a:r>
                  </a:p>
                  <a:p>
                    <a:r>
                      <a:rPr lang="en-US" baseline="0"/>
                      <a:t>taxes, </a:t>
                    </a:r>
                    <a:fld id="{0622EBC4-BB3F-4E0B-9672-F04F52A9B7C9}" type="VALUE">
                      <a:rPr lang="en-US" baseline="0"/>
                      <a:pPr/>
                      <a:t>[VALUE]</a:t>
                    </a:fld>
                    <a:endParaRPr lang="en-US" baseline="0"/>
                  </a:p>
                </c:rich>
              </c:tx>
              <c:showLegendKey val="0"/>
              <c:showVal val="1"/>
              <c:showCatName val="0"/>
              <c:showSerName val="1"/>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68F-4874-8A7D-2F8AE90FED2F}"/>
                </c:ext>
              </c:extLst>
            </c:dLbl>
            <c:dLbl>
              <c:idx val="3"/>
              <c:tx>
                <c:rich>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r>
                      <a:rPr lang="en-US" sz="900"/>
                      <a:t>CIT</a:t>
                    </a:r>
                    <a:r>
                      <a:rPr lang="en-US" sz="900" baseline="0"/>
                      <a:t>, </a:t>
                    </a:r>
                    <a:fld id="{7BCCCFE8-B88D-4702-B10A-92F433B0BDB8}" type="VALUE">
                      <a:rPr lang="en-US" sz="900" baseline="0"/>
                      <a:pPr>
                        <a:defRPr b="1">
                          <a:solidFill>
                            <a:schemeClr val="bg1"/>
                          </a:solidFill>
                        </a:defRPr>
                      </a:pPr>
                      <a:t>[VALUE]</a:t>
                    </a:fld>
                    <a:endParaRPr lang="en-US" sz="900" baseline="0"/>
                  </a:p>
                </c:rich>
              </c:tx>
              <c:numFmt formatCode="#,##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n-US"/>
                </a:p>
              </c:txPr>
              <c:showLegendKey val="0"/>
              <c:showVal val="1"/>
              <c:showCatName val="0"/>
              <c:showSerName val="1"/>
              <c:showPercent val="0"/>
              <c:showBubbleSize val="0"/>
              <c:extLst xmlns:c15="http://schemas.microsoft.com/office/drawing/2012/chart">
                <c:ext xmlns:c15="http://schemas.microsoft.com/office/drawing/2012/chart" uri="{CE6537A1-D6FC-4f65-9D91-7224C49458BB}">
                  <c15:dlblFieldTable/>
                  <c15:showDataLabelsRange val="0"/>
                </c:ext>
                <c:ext xmlns:c16="http://schemas.microsoft.com/office/drawing/2014/chart" uri="{C3380CC4-5D6E-409C-BE32-E72D297353CC}">
                  <c16:uniqueId val="{00000004-B68F-4874-8A7D-2F8AE90FED2F}"/>
                </c:ext>
              </c:extLst>
            </c:dLbl>
            <c:dLbl>
              <c:idx val="4"/>
              <c:tx>
                <c:rich>
                  <a:bodyPr rot="0" spcFirstLastPara="1" vertOverflow="ellipsis" vert="horz" wrap="square" lIns="38100" tIns="19050" rIns="38100" bIns="19050" anchor="ctr" anchorCtr="1">
                    <a:noAutofit/>
                  </a:bodyPr>
                  <a:lstStyle/>
                  <a:p>
                    <a:pPr>
                      <a:defRPr sz="1000" b="1" i="0" u="none" strike="noStrike" kern="1200" baseline="0">
                        <a:solidFill>
                          <a:schemeClr val="bg1"/>
                        </a:solidFill>
                        <a:latin typeface="+mn-lt"/>
                        <a:ea typeface="+mn-ea"/>
                        <a:cs typeface="+mn-cs"/>
                      </a:defRPr>
                    </a:pPr>
                    <a:r>
                      <a:rPr lang="en-US" sz="1000" baseline="0"/>
                      <a:t>CIT, </a:t>
                    </a:r>
                    <a:fld id="{0E902C25-E3E1-488D-91EF-2CF50E035800}" type="VALUE">
                      <a:rPr lang="en-US" sz="1000" baseline="0"/>
                      <a:pPr>
                        <a:defRPr sz="1000" b="1">
                          <a:solidFill>
                            <a:schemeClr val="bg1"/>
                          </a:solidFill>
                        </a:defRPr>
                      </a:pPr>
                      <a:t>[VALUE]</a:t>
                    </a:fld>
                    <a:endParaRPr lang="en-US" sz="1000" baseline="0"/>
                  </a:p>
                </c:rich>
              </c:tx>
              <c:numFmt formatCode="#,##0" sourceLinked="0"/>
              <c:spPr>
                <a:noFill/>
                <a:ln>
                  <a:noFill/>
                </a:ln>
                <a:effectLst/>
              </c:spPr>
              <c:txPr>
                <a:bodyPr rot="0" spcFirstLastPara="1" vertOverflow="ellipsis" vert="horz" wrap="square" lIns="38100" tIns="19050" rIns="38100" bIns="19050" anchor="ctr" anchorCtr="1">
                  <a:noAutofit/>
                </a:bodyPr>
                <a:lstStyle/>
                <a:p>
                  <a:pPr>
                    <a:defRPr sz="1000" b="1" i="0" u="none" strike="noStrike" kern="1200" baseline="0">
                      <a:solidFill>
                        <a:schemeClr val="bg1"/>
                      </a:solidFill>
                      <a:latin typeface="+mn-lt"/>
                      <a:ea typeface="+mn-ea"/>
                      <a:cs typeface="+mn-cs"/>
                    </a:defRPr>
                  </a:pPr>
                  <a:endParaRPr lang="en-US"/>
                </a:p>
              </c:txPr>
              <c:showLegendKey val="0"/>
              <c:showVal val="1"/>
              <c:showCatName val="0"/>
              <c:showSerName val="1"/>
              <c:showPercent val="0"/>
              <c:showBubbleSize val="0"/>
              <c:extLst xmlns:c15="http://schemas.microsoft.com/office/drawing/2012/chart">
                <c:ext xmlns:c15="http://schemas.microsoft.com/office/drawing/2012/chart" uri="{CE6537A1-D6FC-4f65-9D91-7224C49458BB}">
                  <c15:layout>
                    <c:manualLayout>
                      <c:w val="0.16551816101539102"/>
                      <c:h val="3.2474376989514435E-2"/>
                    </c:manualLayout>
                  </c15:layout>
                  <c15:dlblFieldTable/>
                  <c15:showDataLabelsRange val="0"/>
                </c:ext>
                <c:ext xmlns:c16="http://schemas.microsoft.com/office/drawing/2014/chart" uri="{C3380CC4-5D6E-409C-BE32-E72D297353CC}">
                  <c16:uniqueId val="{00000005-B68F-4874-8A7D-2F8AE90FED2F}"/>
                </c:ext>
              </c:extLst>
            </c:dLbl>
            <c:dLbl>
              <c:idx val="6"/>
              <c:numFmt formatCode="#,##0" sourceLinked="0"/>
              <c:spPr>
                <a:noFill/>
                <a:ln>
                  <a:noFill/>
                </a:ln>
                <a:effectLst/>
              </c:spPr>
              <c:txPr>
                <a:bodyPr rot="0" spcFirstLastPara="1" vertOverflow="ellipsis" vert="horz" wrap="square" lIns="38100" tIns="19050" rIns="38100" bIns="19050" anchor="ctr" anchorCtr="1">
                  <a:noAutofit/>
                </a:bodyPr>
                <a:lstStyle/>
                <a:p>
                  <a:pPr>
                    <a:defRPr sz="800" b="1" i="0" u="none" strike="noStrike" kern="1200" baseline="0">
                      <a:solidFill>
                        <a:schemeClr val="bg1"/>
                      </a:solidFill>
                      <a:latin typeface="+mn-lt"/>
                      <a:ea typeface="+mn-ea"/>
                      <a:cs typeface="+mn-cs"/>
                    </a:defRPr>
                  </a:pPr>
                  <a:endParaRPr lang="en-US"/>
                </a:p>
              </c:txPr>
              <c:showLegendKey val="0"/>
              <c:showVal val="1"/>
              <c:showCatName val="0"/>
              <c:showSerName val="1"/>
              <c:showPercent val="0"/>
              <c:showBubbleSize val="0"/>
              <c:extLst>
                <c:ext xmlns:c15="http://schemas.microsoft.com/office/drawing/2012/chart" uri="{CE6537A1-D6FC-4f65-9D91-7224C49458BB}">
                  <c15:layout>
                    <c:manualLayout>
                      <c:w val="0.13698068913652464"/>
                      <c:h val="0.13912861038762478"/>
                    </c:manualLayout>
                  </c15:layout>
                </c:ext>
                <c:ext xmlns:c16="http://schemas.microsoft.com/office/drawing/2014/chart" uri="{C3380CC4-5D6E-409C-BE32-E72D297353CC}">
                  <c16:uniqueId val="{00000006-B68F-4874-8A7D-2F8AE90FED2F}"/>
                </c:ext>
              </c:extLst>
            </c:dLbl>
            <c:dLbl>
              <c:idx val="7"/>
              <c:numFmt formatCode="#,##0" sourceLinked="0"/>
              <c:spPr>
                <a:noFill/>
                <a:ln>
                  <a:noFill/>
                </a:ln>
                <a:effectLst/>
              </c:spPr>
              <c:txPr>
                <a:bodyPr rot="0" spcFirstLastPara="1" vertOverflow="ellipsis" vert="horz" wrap="square" lIns="38100" tIns="19050" rIns="38100" bIns="19050" anchor="ctr" anchorCtr="1">
                  <a:noAutofit/>
                </a:bodyPr>
                <a:lstStyle/>
                <a:p>
                  <a:pPr>
                    <a:defRPr sz="800" b="1" i="0" u="none" strike="noStrike" kern="1200" baseline="0">
                      <a:solidFill>
                        <a:schemeClr val="bg1"/>
                      </a:solidFill>
                      <a:latin typeface="+mn-lt"/>
                      <a:ea typeface="+mn-ea"/>
                      <a:cs typeface="+mn-cs"/>
                    </a:defRPr>
                  </a:pPr>
                  <a:endParaRPr lang="en-US"/>
                </a:p>
              </c:txPr>
              <c:showLegendKey val="0"/>
              <c:showVal val="1"/>
              <c:showCatName val="0"/>
              <c:showSerName val="1"/>
              <c:showPercent val="0"/>
              <c:showBubbleSize val="0"/>
              <c:extLst>
                <c:ext xmlns:c15="http://schemas.microsoft.com/office/drawing/2012/chart" uri="{CE6537A1-D6FC-4f65-9D91-7224C49458BB}">
                  <c15:layout>
                    <c:manualLayout>
                      <c:w val="0.13434086086255037"/>
                      <c:h val="0.19472873135409027"/>
                    </c:manualLayout>
                  </c15:layout>
                </c:ext>
                <c:ext xmlns:c16="http://schemas.microsoft.com/office/drawing/2014/chart" uri="{C3380CC4-5D6E-409C-BE32-E72D297353CC}">
                  <c16:uniqueId val="{00000007-B68F-4874-8A7D-2F8AE90FED2F}"/>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bg1"/>
                    </a:solidFill>
                    <a:latin typeface="+mn-lt"/>
                    <a:ea typeface="+mn-ea"/>
                    <a:cs typeface="+mn-cs"/>
                  </a:defRPr>
                </a:pPr>
                <a:endParaRPr lang="en-US"/>
              </a:p>
            </c:txPr>
            <c:showLegendKey val="0"/>
            <c:showVal val="1"/>
            <c:showCatName val="0"/>
            <c:showSerName val="1"/>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'IDN stack column'!$B$2:$I$3</c:f>
              <c:multiLvlStrCache>
                <c:ptCount val="5"/>
                <c:lvl>
                  <c:pt idx="0">
                    <c:v>1991-2000</c:v>
                  </c:pt>
                  <c:pt idx="1">
                    <c:v>2001-2010</c:v>
                  </c:pt>
                  <c:pt idx="2">
                    <c:v>2011-2019</c:v>
                  </c:pt>
                  <c:pt idx="3">
                    <c:v>2011-2019</c:v>
                  </c:pt>
                  <c:pt idx="4">
                    <c:v>2011-2019</c:v>
                  </c:pt>
                </c:lvl>
                <c:lvl>
                  <c:pt idx="0">
                    <c:v>Indonesia</c:v>
                  </c:pt>
                  <c:pt idx="3">
                    <c:v>ASEAN</c:v>
                  </c:pt>
                  <c:pt idx="4">
                    <c:v>UMIC</c:v>
                  </c:pt>
                </c:lvl>
              </c:multiLvlStrCache>
            </c:multiLvlStrRef>
          </c:cat>
          <c:val>
            <c:numRef>
              <c:f>'IDN stack column'!$B$5:$I$5</c:f>
              <c:numCache>
                <c:formatCode>#,##0.0_);\(#,##0.0\)</c:formatCode>
                <c:ptCount val="5"/>
                <c:pt idx="0">
                  <c:v>38.269446040282368</c:v>
                </c:pt>
                <c:pt idx="1">
                  <c:v>28.557161969316116</c:v>
                </c:pt>
                <c:pt idx="2">
                  <c:v>35.818747537382251</c:v>
                </c:pt>
                <c:pt idx="3">
                  <c:v>29.403989128548329</c:v>
                </c:pt>
                <c:pt idx="4">
                  <c:v>17.750435791722428</c:v>
                </c:pt>
              </c:numCache>
            </c:numRef>
          </c:val>
          <c:extLst>
            <c:ext xmlns:c16="http://schemas.microsoft.com/office/drawing/2014/chart" uri="{C3380CC4-5D6E-409C-BE32-E72D297353CC}">
              <c16:uniqueId val="{00000008-B68F-4874-8A7D-2F8AE90FED2F}"/>
            </c:ext>
          </c:extLst>
        </c:ser>
        <c:ser>
          <c:idx val="0"/>
          <c:order val="2"/>
          <c:tx>
            <c:strRef>
              <c:f>'IDN stack column'!$A$4</c:f>
              <c:strCache>
                <c:ptCount val="1"/>
                <c:pt idx="0">
                  <c:v>PIT</c:v>
                </c:pt>
              </c:strCache>
            </c:strRef>
          </c:tx>
          <c:spPr>
            <a:solidFill>
              <a:srgbClr val="95B3D7"/>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'IDN stack column'!$B$2:$I$3</c:f>
              <c:multiLvlStrCache>
                <c:ptCount val="5"/>
                <c:lvl>
                  <c:pt idx="0">
                    <c:v>1991-2000</c:v>
                  </c:pt>
                  <c:pt idx="1">
                    <c:v>2001-2010</c:v>
                  </c:pt>
                  <c:pt idx="2">
                    <c:v>2011-2019</c:v>
                  </c:pt>
                  <c:pt idx="3">
                    <c:v>2011-2019</c:v>
                  </c:pt>
                  <c:pt idx="4">
                    <c:v>2011-2019</c:v>
                  </c:pt>
                </c:lvl>
                <c:lvl>
                  <c:pt idx="0">
                    <c:v>Indonesia</c:v>
                  </c:pt>
                  <c:pt idx="3">
                    <c:v>ASEAN</c:v>
                  </c:pt>
                  <c:pt idx="4">
                    <c:v>UMIC</c:v>
                  </c:pt>
                </c:lvl>
              </c:multiLvlStrCache>
            </c:multiLvlStrRef>
          </c:cat>
          <c:val>
            <c:numRef>
              <c:f>'IDN stack column'!$B$4:$I$4</c:f>
              <c:numCache>
                <c:formatCode>#,##0.0_);\(#,##0.0\)</c:formatCode>
                <c:ptCount val="5"/>
                <c:pt idx="0">
                  <c:v>26.607761931037505</c:v>
                </c:pt>
                <c:pt idx="1">
                  <c:v>16.779174534813677</c:v>
                </c:pt>
                <c:pt idx="2">
                  <c:v>8.1014215734113861</c:v>
                </c:pt>
                <c:pt idx="3">
                  <c:v>12.81530902558192</c:v>
                </c:pt>
                <c:pt idx="4">
                  <c:v>14.145690450325379</c:v>
                </c:pt>
              </c:numCache>
            </c:numRef>
          </c:val>
          <c:extLst>
            <c:ext xmlns:c16="http://schemas.microsoft.com/office/drawing/2014/chart" uri="{C3380CC4-5D6E-409C-BE32-E72D297353CC}">
              <c16:uniqueId val="{00000009-B68F-4874-8A7D-2F8AE90FED2F}"/>
            </c:ext>
          </c:extLst>
        </c:ser>
        <c:ser>
          <c:idx val="4"/>
          <c:order val="3"/>
          <c:tx>
            <c:strRef>
              <c:f>'IDN stack column'!$A$7</c:f>
              <c:strCache>
                <c:ptCount val="1"/>
                <c:pt idx="0">
                  <c:v>Excises</c:v>
                </c:pt>
              </c:strCache>
            </c:strRef>
          </c:tx>
          <c:spPr>
            <a:solidFill>
              <a:srgbClr val="C89AD4"/>
            </a:solidFill>
            <a:ln>
              <a:noFill/>
            </a:ln>
            <a:effectLst/>
          </c:spPr>
          <c:invertIfNegative val="0"/>
          <c:cat>
            <c:multiLvlStrRef>
              <c:f>'IDN stack column'!$B$2:$I$3</c:f>
              <c:multiLvlStrCache>
                <c:ptCount val="5"/>
                <c:lvl>
                  <c:pt idx="0">
                    <c:v>1991-2000</c:v>
                  </c:pt>
                  <c:pt idx="1">
                    <c:v>2001-2010</c:v>
                  </c:pt>
                  <c:pt idx="2">
                    <c:v>2011-2019</c:v>
                  </c:pt>
                  <c:pt idx="3">
                    <c:v>2011-2019</c:v>
                  </c:pt>
                  <c:pt idx="4">
                    <c:v>2011-2019</c:v>
                  </c:pt>
                </c:lvl>
                <c:lvl>
                  <c:pt idx="0">
                    <c:v>Indonesia</c:v>
                  </c:pt>
                  <c:pt idx="3">
                    <c:v>ASEAN</c:v>
                  </c:pt>
                  <c:pt idx="4">
                    <c:v>UMIC</c:v>
                  </c:pt>
                </c:lvl>
              </c:multiLvlStrCache>
            </c:multiLvlStrRef>
          </c:cat>
          <c:val>
            <c:numRef>
              <c:f>'IDN stack column'!$B$7:$I$7</c:f>
              <c:numCache>
                <c:formatCode>#,##0.0_);\(#,##0.0\)</c:formatCode>
                <c:ptCount val="5"/>
                <c:pt idx="0">
                  <c:v>5.4180403596365077</c:v>
                </c:pt>
                <c:pt idx="1">
                  <c:v>9.4216963931363811</c:v>
                </c:pt>
                <c:pt idx="2">
                  <c:v>10.036180318249061</c:v>
                </c:pt>
                <c:pt idx="3">
                  <c:v>14.047949199674449</c:v>
                </c:pt>
                <c:pt idx="4">
                  <c:v>9.9880614097546232</c:v>
                </c:pt>
              </c:numCache>
            </c:numRef>
          </c:val>
          <c:extLst>
            <c:ext xmlns:c16="http://schemas.microsoft.com/office/drawing/2014/chart" uri="{C3380CC4-5D6E-409C-BE32-E72D297353CC}">
              <c16:uniqueId val="{0000000A-B68F-4874-8A7D-2F8AE90FED2F}"/>
            </c:ext>
          </c:extLst>
        </c:ser>
        <c:ser>
          <c:idx val="5"/>
          <c:order val="4"/>
          <c:tx>
            <c:strRef>
              <c:f>'IDN stack column'!$A$8</c:f>
              <c:strCache>
                <c:ptCount val="1"/>
                <c:pt idx="0">
                  <c:v>Trade</c:v>
                </c:pt>
              </c:strCache>
            </c:strRef>
          </c:tx>
          <c:spPr>
            <a:solidFill>
              <a:srgbClr val="7030A0"/>
            </a:solidFill>
            <a:ln>
              <a:noFill/>
            </a:ln>
            <a:effectLst/>
          </c:spPr>
          <c:invertIfNegative val="0"/>
          <c:cat>
            <c:multiLvlStrRef>
              <c:f>'IDN stack column'!$B$2:$I$3</c:f>
              <c:multiLvlStrCache>
                <c:ptCount val="5"/>
                <c:lvl>
                  <c:pt idx="0">
                    <c:v>1991-2000</c:v>
                  </c:pt>
                  <c:pt idx="1">
                    <c:v>2001-2010</c:v>
                  </c:pt>
                  <c:pt idx="2">
                    <c:v>2011-2019</c:v>
                  </c:pt>
                  <c:pt idx="3">
                    <c:v>2011-2019</c:v>
                  </c:pt>
                  <c:pt idx="4">
                    <c:v>2011-2019</c:v>
                  </c:pt>
                </c:lvl>
                <c:lvl>
                  <c:pt idx="0">
                    <c:v>Indonesia</c:v>
                  </c:pt>
                  <c:pt idx="3">
                    <c:v>ASEAN</c:v>
                  </c:pt>
                  <c:pt idx="4">
                    <c:v>UMIC</c:v>
                  </c:pt>
                </c:lvl>
              </c:multiLvlStrCache>
            </c:multiLvlStrRef>
          </c:cat>
          <c:val>
            <c:numRef>
              <c:f>'IDN stack column'!$B$8:$I$8</c:f>
              <c:numCache>
                <c:formatCode>#,##0.0_);\(#,##0.0\)</c:formatCode>
                <c:ptCount val="5"/>
                <c:pt idx="0">
                  <c:v>3.5840593014586317</c:v>
                </c:pt>
                <c:pt idx="1">
                  <c:v>3.8269190723468247</c:v>
                </c:pt>
                <c:pt idx="2">
                  <c:v>3.3490756573718765</c:v>
                </c:pt>
                <c:pt idx="3">
                  <c:v>8.9163647793958649</c:v>
                </c:pt>
                <c:pt idx="4">
                  <c:v>10.45361210286813</c:v>
                </c:pt>
              </c:numCache>
            </c:numRef>
          </c:val>
          <c:extLst>
            <c:ext xmlns:c16="http://schemas.microsoft.com/office/drawing/2014/chart" uri="{C3380CC4-5D6E-409C-BE32-E72D297353CC}">
              <c16:uniqueId val="{0000000B-B68F-4874-8A7D-2F8AE90FED2F}"/>
            </c:ext>
          </c:extLst>
        </c:ser>
        <c:ser>
          <c:idx val="6"/>
          <c:order val="5"/>
          <c:tx>
            <c:strRef>
              <c:f>'IDN stack column'!$A$9</c:f>
              <c:strCache>
                <c:ptCount val="1"/>
                <c:pt idx="0">
                  <c:v>Other</c:v>
                </c:pt>
              </c:strCache>
            </c:strRef>
          </c:tx>
          <c:spPr>
            <a:solidFill>
              <a:schemeClr val="bg1">
                <a:lumMod val="75000"/>
              </a:schemeClr>
            </a:solidFill>
            <a:ln>
              <a:noFill/>
            </a:ln>
            <a:effectLst/>
          </c:spPr>
          <c:invertIfNegative val="0"/>
          <c:cat>
            <c:multiLvlStrRef>
              <c:f>'IDN stack column'!$B$2:$I$3</c:f>
              <c:multiLvlStrCache>
                <c:ptCount val="5"/>
                <c:lvl>
                  <c:pt idx="0">
                    <c:v>1991-2000</c:v>
                  </c:pt>
                  <c:pt idx="1">
                    <c:v>2001-2010</c:v>
                  </c:pt>
                  <c:pt idx="2">
                    <c:v>2011-2019</c:v>
                  </c:pt>
                  <c:pt idx="3">
                    <c:v>2011-2019</c:v>
                  </c:pt>
                  <c:pt idx="4">
                    <c:v>2011-2019</c:v>
                  </c:pt>
                </c:lvl>
                <c:lvl>
                  <c:pt idx="0">
                    <c:v>Indonesia</c:v>
                  </c:pt>
                  <c:pt idx="3">
                    <c:v>ASEAN</c:v>
                  </c:pt>
                  <c:pt idx="4">
                    <c:v>UMIC</c:v>
                  </c:pt>
                </c:lvl>
              </c:multiLvlStrCache>
            </c:multiLvlStrRef>
          </c:cat>
          <c:val>
            <c:numRef>
              <c:f>'IDN stack column'!$B$9:$I$9</c:f>
              <c:numCache>
                <c:formatCode>#,##0.0_);\(#,##0.0\)</c:formatCode>
                <c:ptCount val="5"/>
                <c:pt idx="0">
                  <c:v>8.2593196918052563</c:v>
                </c:pt>
                <c:pt idx="1">
                  <c:v>12.036564016034859</c:v>
                </c:pt>
                <c:pt idx="2">
                  <c:v>12.264962026575708</c:v>
                </c:pt>
                <c:pt idx="3">
                  <c:v>13.119187916960271</c:v>
                </c:pt>
                <c:pt idx="4">
                  <c:v>12.694481490837219</c:v>
                </c:pt>
              </c:numCache>
            </c:numRef>
          </c:val>
          <c:extLst>
            <c:ext xmlns:c16="http://schemas.microsoft.com/office/drawing/2014/chart" uri="{C3380CC4-5D6E-409C-BE32-E72D297353CC}">
              <c16:uniqueId val="{0000000C-B68F-4874-8A7D-2F8AE90FED2F}"/>
            </c:ext>
          </c:extLst>
        </c:ser>
        <c:dLbls>
          <c:showLegendKey val="0"/>
          <c:showVal val="0"/>
          <c:showCatName val="0"/>
          <c:showSerName val="0"/>
          <c:showPercent val="0"/>
          <c:showBubbleSize val="0"/>
        </c:dLbls>
        <c:gapWidth val="40"/>
        <c:overlap val="100"/>
        <c:axId val="846982592"/>
        <c:axId val="846990496"/>
      </c:barChart>
      <c:catAx>
        <c:axId val="846982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46990496"/>
        <c:crosses val="autoZero"/>
        <c:auto val="1"/>
        <c:lblAlgn val="ctr"/>
        <c:lblOffset val="100"/>
        <c:noMultiLvlLbl val="0"/>
      </c:catAx>
      <c:valAx>
        <c:axId val="846990496"/>
        <c:scaling>
          <c:orientation val="minMax"/>
        </c:scaling>
        <c:delete val="0"/>
        <c:axPos val="l"/>
        <c:majorGridlines>
          <c:spPr>
            <a:ln w="9525" cap="flat" cmpd="sng" algn="ctr">
              <a:noFill/>
              <a:round/>
            </a:ln>
            <a:effectLst/>
          </c:spPr>
        </c:majorGridlines>
        <c:numFmt formatCode="0%" sourceLinked="1"/>
        <c:majorTickMark val="in"/>
        <c:minorTickMark val="none"/>
        <c:tickLblPos val="nextTo"/>
        <c:spPr>
          <a:noFill/>
          <a:ln>
            <a:solidFill>
              <a:schemeClr val="bg1">
                <a:lumMod val="7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46982592"/>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2100605887444432E-2"/>
          <c:y val="9.22722029988466E-2"/>
          <c:w val="0.93509256380305716"/>
          <c:h val="0.7032140878583949"/>
        </c:manualLayout>
      </c:layout>
      <c:areaChart>
        <c:grouping val="stacked"/>
        <c:varyColors val="0"/>
        <c:ser>
          <c:idx val="0"/>
          <c:order val="0"/>
          <c:tx>
            <c:v>25th percentile</c:v>
          </c:tx>
          <c:spPr>
            <a:noFill/>
            <a:ln>
              <a:noFill/>
              <a:prstDash val="sysDash"/>
            </a:ln>
            <a:effectLst/>
          </c:spPr>
          <c:cat>
            <c:numRef>
              <c:f>charts!$P$282:$AH$282</c:f>
              <c:numCache>
                <c:formatCode>General</c:formatCode>
                <c:ptCount val="19"/>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pt idx="18">
                  <c:v>2019</c:v>
                </c:pt>
              </c:numCache>
            </c:numRef>
          </c:cat>
          <c:val>
            <c:numRef>
              <c:f>charts!$P$333:$AH$333</c:f>
              <c:numCache>
                <c:formatCode>0.0</c:formatCode>
                <c:ptCount val="19"/>
                <c:pt idx="0">
                  <c:v>3.4064384698867798</c:v>
                </c:pt>
                <c:pt idx="1">
                  <c:v>3.3983537554740906</c:v>
                </c:pt>
                <c:pt idx="2">
                  <c:v>3.8021303415298462</c:v>
                </c:pt>
                <c:pt idx="3">
                  <c:v>4.1388416290283203</c:v>
                </c:pt>
                <c:pt idx="4">
                  <c:v>3.7730925679206848</c:v>
                </c:pt>
                <c:pt idx="5">
                  <c:v>4.2693147659301758</c:v>
                </c:pt>
                <c:pt idx="6">
                  <c:v>4.5007033348083496</c:v>
                </c:pt>
                <c:pt idx="7">
                  <c:v>4.5726171731948853</c:v>
                </c:pt>
                <c:pt idx="8">
                  <c:v>4.1967935562133789</c:v>
                </c:pt>
                <c:pt idx="9">
                  <c:v>4.594346284866333</c:v>
                </c:pt>
                <c:pt idx="10">
                  <c:v>4.3554391860961914</c:v>
                </c:pt>
                <c:pt idx="11">
                  <c:v>4.4947865009307861</c:v>
                </c:pt>
                <c:pt idx="12">
                  <c:v>4.6201654672622681</c:v>
                </c:pt>
                <c:pt idx="13">
                  <c:v>4.9691516160964966</c:v>
                </c:pt>
                <c:pt idx="14">
                  <c:v>4.4091380834579468</c:v>
                </c:pt>
                <c:pt idx="15">
                  <c:v>4.5271463394165039</c:v>
                </c:pt>
                <c:pt idx="16">
                  <c:v>4.4339847564697266</c:v>
                </c:pt>
                <c:pt idx="17">
                  <c:v>4.7136621475219727</c:v>
                </c:pt>
                <c:pt idx="18">
                  <c:v>4.8977593183517456</c:v>
                </c:pt>
              </c:numCache>
            </c:numRef>
          </c:val>
          <c:extLst>
            <c:ext xmlns:c16="http://schemas.microsoft.com/office/drawing/2014/chart" uri="{C3380CC4-5D6E-409C-BE32-E72D297353CC}">
              <c16:uniqueId val="{00000000-4095-4C54-8791-D5EEBC9C3BEC}"/>
            </c:ext>
          </c:extLst>
        </c:ser>
        <c:ser>
          <c:idx val="1"/>
          <c:order val="1"/>
          <c:tx>
            <c:v>Interquartile Range</c:v>
          </c:tx>
          <c:spPr>
            <a:solidFill>
              <a:schemeClr val="accent1">
                <a:lumMod val="20000"/>
                <a:lumOff val="80000"/>
              </a:schemeClr>
            </a:solidFill>
            <a:ln>
              <a:noFill/>
              <a:prstDash val="sysDash"/>
            </a:ln>
            <a:effectLst/>
          </c:spPr>
          <c:cat>
            <c:numRef>
              <c:f>charts!$P$282:$AH$282</c:f>
              <c:numCache>
                <c:formatCode>General</c:formatCode>
                <c:ptCount val="19"/>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pt idx="18">
                  <c:v>2019</c:v>
                </c:pt>
              </c:numCache>
            </c:numRef>
          </c:cat>
          <c:val>
            <c:numRef>
              <c:f>charts!$P$334:$AH$334</c:f>
              <c:numCache>
                <c:formatCode>0.0</c:formatCode>
                <c:ptCount val="19"/>
                <c:pt idx="0">
                  <c:v>5.2108297348022461</c:v>
                </c:pt>
                <c:pt idx="1">
                  <c:v>5.3316162824630737</c:v>
                </c:pt>
                <c:pt idx="2">
                  <c:v>5.7460322380065918</c:v>
                </c:pt>
                <c:pt idx="3">
                  <c:v>6.2197170257568359</c:v>
                </c:pt>
                <c:pt idx="4">
                  <c:v>6.7819067239761353</c:v>
                </c:pt>
                <c:pt idx="5">
                  <c:v>6.5796937942504883</c:v>
                </c:pt>
                <c:pt idx="6">
                  <c:v>7.2588489055633545</c:v>
                </c:pt>
                <c:pt idx="7">
                  <c:v>8.1398417949676514</c:v>
                </c:pt>
                <c:pt idx="8">
                  <c:v>7.7686381340026855</c:v>
                </c:pt>
                <c:pt idx="9">
                  <c:v>7.7520920038223267</c:v>
                </c:pt>
                <c:pt idx="10">
                  <c:v>8.6245498657226563</c:v>
                </c:pt>
                <c:pt idx="11">
                  <c:v>8.1008840799331665</c:v>
                </c:pt>
                <c:pt idx="12">
                  <c:v>7.9312416315078735</c:v>
                </c:pt>
                <c:pt idx="13">
                  <c:v>8.1672201156616211</c:v>
                </c:pt>
                <c:pt idx="14">
                  <c:v>8.1489977836608887</c:v>
                </c:pt>
                <c:pt idx="15">
                  <c:v>7.8470686674118042</c:v>
                </c:pt>
                <c:pt idx="16">
                  <c:v>7.7699254751205444</c:v>
                </c:pt>
                <c:pt idx="17">
                  <c:v>8.041912317276001</c:v>
                </c:pt>
                <c:pt idx="18">
                  <c:v>7.5721981525421143</c:v>
                </c:pt>
              </c:numCache>
            </c:numRef>
          </c:val>
          <c:extLst>
            <c:ext xmlns:c16="http://schemas.microsoft.com/office/drawing/2014/chart" uri="{C3380CC4-5D6E-409C-BE32-E72D297353CC}">
              <c16:uniqueId val="{00000001-4095-4C54-8791-D5EEBC9C3BEC}"/>
            </c:ext>
          </c:extLst>
        </c:ser>
        <c:dLbls>
          <c:showLegendKey val="0"/>
          <c:showVal val="0"/>
          <c:showCatName val="0"/>
          <c:showSerName val="0"/>
          <c:showPercent val="0"/>
          <c:showBubbleSize val="0"/>
        </c:dLbls>
        <c:axId val="816427168"/>
        <c:axId val="816435488"/>
      </c:areaChart>
      <c:lineChart>
        <c:grouping val="standard"/>
        <c:varyColors val="0"/>
        <c:ser>
          <c:idx val="2"/>
          <c:order val="2"/>
          <c:tx>
            <c:v>Indonesia</c:v>
          </c:tx>
          <c:spPr>
            <a:ln w="28575" cap="rnd">
              <a:solidFill>
                <a:srgbClr val="C00000"/>
              </a:solidFill>
              <a:round/>
            </a:ln>
            <a:effectLst/>
          </c:spPr>
          <c:marker>
            <c:symbol val="none"/>
          </c:marker>
          <c:cat>
            <c:numRef>
              <c:f>charts!$J$2:$AB$2</c:f>
              <c:numCache>
                <c:formatCode>General</c:formatCode>
                <c:ptCount val="19"/>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pt idx="16">
                  <c:v>2017</c:v>
                </c:pt>
                <c:pt idx="17">
                  <c:v>2018</c:v>
                </c:pt>
                <c:pt idx="18">
                  <c:v>2019</c:v>
                </c:pt>
              </c:numCache>
            </c:numRef>
          </c:cat>
          <c:val>
            <c:numRef>
              <c:f>charts!$P$335:$AH$335</c:f>
              <c:numCache>
                <c:formatCode>0.0</c:formatCode>
                <c:ptCount val="19"/>
                <c:pt idx="0">
                  <c:v>3.1063041687011719</c:v>
                </c:pt>
                <c:pt idx="1">
                  <c:v>3.2683629989624023</c:v>
                </c:pt>
                <c:pt idx="2">
                  <c:v>3.4983656406402588</c:v>
                </c:pt>
                <c:pt idx="3">
                  <c:v>4.0831685066223145</c:v>
                </c:pt>
                <c:pt idx="4">
                  <c:v>3.429314061012831</c:v>
                </c:pt>
                <c:pt idx="5">
                  <c:v>3.7606985569000244</c:v>
                </c:pt>
                <c:pt idx="6">
                  <c:v>3.5968291759490967</c:v>
                </c:pt>
                <c:pt idx="7">
                  <c:v>3.6597743034362793</c:v>
                </c:pt>
                <c:pt idx="8">
                  <c:v>3.0635087490081787</c:v>
                </c:pt>
                <c:pt idx="9">
                  <c:v>3.1788718700408936</c:v>
                </c:pt>
                <c:pt idx="10">
                  <c:v>3.3757309913635254</c:v>
                </c:pt>
                <c:pt idx="11">
                  <c:v>3.6991636753082275</c:v>
                </c:pt>
                <c:pt idx="12">
                  <c:v>3.8327767848968506</c:v>
                </c:pt>
                <c:pt idx="13">
                  <c:v>3.8712682723999023</c:v>
                </c:pt>
                <c:pt idx="14">
                  <c:v>3.6760244369506836</c:v>
                </c:pt>
                <c:pt idx="15">
                  <c:v>3.3238389492034912</c:v>
                </c:pt>
                <c:pt idx="16">
                  <c:v>3.5373859405517578</c:v>
                </c:pt>
                <c:pt idx="17">
                  <c:v>3.6207075119018555</c:v>
                </c:pt>
                <c:pt idx="18">
                  <c:v>3.3574995994567871</c:v>
                </c:pt>
              </c:numCache>
            </c:numRef>
          </c:val>
          <c:smooth val="0"/>
          <c:extLst>
            <c:ext xmlns:c16="http://schemas.microsoft.com/office/drawing/2014/chart" uri="{C3380CC4-5D6E-409C-BE32-E72D297353CC}">
              <c16:uniqueId val="{00000002-4095-4C54-8791-D5EEBC9C3BEC}"/>
            </c:ext>
          </c:extLst>
        </c:ser>
        <c:dLbls>
          <c:showLegendKey val="0"/>
          <c:showVal val="0"/>
          <c:showCatName val="0"/>
          <c:showSerName val="0"/>
          <c:showPercent val="0"/>
          <c:showBubbleSize val="0"/>
        </c:dLbls>
        <c:marker val="1"/>
        <c:smooth val="0"/>
        <c:axId val="816427168"/>
        <c:axId val="816435488"/>
      </c:lineChart>
      <c:catAx>
        <c:axId val="816427168"/>
        <c:scaling>
          <c:orientation val="minMax"/>
        </c:scaling>
        <c:delete val="0"/>
        <c:axPos val="b"/>
        <c:numFmt formatCode="General" sourceLinked="1"/>
        <c:majorTickMark val="in"/>
        <c:minorTickMark val="none"/>
        <c:tickLblPos val="nextTo"/>
        <c:spPr>
          <a:noFill/>
          <a:ln w="9525" cap="flat" cmpd="sng" algn="ctr">
            <a:solidFill>
              <a:schemeClr val="tx1">
                <a:lumMod val="50000"/>
                <a:lumOff val="50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435488"/>
        <c:crosses val="autoZero"/>
        <c:auto val="1"/>
        <c:lblAlgn val="ctr"/>
        <c:lblOffset val="100"/>
        <c:noMultiLvlLbl val="0"/>
      </c:catAx>
      <c:valAx>
        <c:axId val="816435488"/>
        <c:scaling>
          <c:orientation val="minMax"/>
        </c:scaling>
        <c:delete val="0"/>
        <c:axPos val="l"/>
        <c:numFmt formatCode="0" sourceLinked="0"/>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427168"/>
        <c:crosses val="autoZero"/>
        <c:crossBetween val="between"/>
      </c:valAx>
      <c:spPr>
        <a:noFill/>
        <a:ln>
          <a:noFill/>
        </a:ln>
        <a:effectLst/>
      </c:spPr>
    </c:plotArea>
    <c:legend>
      <c:legendPos val="b"/>
      <c:legendEntry>
        <c:idx val="0"/>
        <c:delete val="1"/>
      </c:legendEntry>
      <c:layout>
        <c:manualLayout>
          <c:xMode val="edge"/>
          <c:yMode val="edge"/>
          <c:x val="9.3066322136089577E-2"/>
          <c:y val="0.66312344747931296"/>
          <c:w val="0.79806371102836948"/>
          <c:h val="0.113028252580282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119356092559998"/>
          <c:y val="8.2234234234234233E-2"/>
          <c:w val="0.69055101136716612"/>
          <c:h val="0.58169100221695602"/>
        </c:manualLayout>
      </c:layout>
      <c:barChart>
        <c:barDir val="col"/>
        <c:grouping val="clustered"/>
        <c:varyColors val="0"/>
        <c:ser>
          <c:idx val="1"/>
          <c:order val="1"/>
          <c:tx>
            <c:strRef>
              <c:f>'[VAT charts.xlsx]4.3'!$D$1</c:f>
              <c:strCache>
                <c:ptCount val="1"/>
                <c:pt idx="0">
                  <c:v>C-efficiency, LHS</c:v>
                </c:pt>
              </c:strCache>
            </c:strRef>
          </c:tx>
          <c:spPr>
            <a:solidFill>
              <a:schemeClr val="accent3"/>
            </a:solidFill>
            <a:ln>
              <a:noFill/>
            </a:ln>
            <a:effectLst/>
          </c:spPr>
          <c:invertIfNegative val="0"/>
          <c:dPt>
            <c:idx val="2"/>
            <c:invertIfNegative val="0"/>
            <c:bubble3D val="0"/>
            <c:spPr>
              <a:solidFill>
                <a:srgbClr val="FF0000"/>
              </a:solidFill>
              <a:ln>
                <a:solidFill>
                  <a:srgbClr val="FF0000"/>
                </a:solidFill>
              </a:ln>
              <a:effectLst/>
            </c:spPr>
            <c:extLst>
              <c:ext xmlns:c16="http://schemas.microsoft.com/office/drawing/2014/chart" uri="{C3380CC4-5D6E-409C-BE32-E72D297353CC}">
                <c16:uniqueId val="{00000001-3D06-411F-A69A-A042DBF87DE9}"/>
              </c:ext>
            </c:extLst>
          </c:dPt>
          <c:cat>
            <c:strRef>
              <c:f>'[VAT charts.xlsx]4.3'!$B$2:$B$7</c:f>
              <c:strCache>
                <c:ptCount val="6"/>
                <c:pt idx="0">
                  <c:v>Lao PDR</c:v>
                </c:pt>
                <c:pt idx="1">
                  <c:v>Philippines</c:v>
                </c:pt>
                <c:pt idx="2">
                  <c:v>Indonesia</c:v>
                </c:pt>
                <c:pt idx="3">
                  <c:v>Thailand</c:v>
                </c:pt>
                <c:pt idx="4">
                  <c:v>Vietnam</c:v>
                </c:pt>
                <c:pt idx="5">
                  <c:v>Cambodia</c:v>
                </c:pt>
              </c:strCache>
            </c:strRef>
          </c:cat>
          <c:val>
            <c:numRef>
              <c:f>'[VAT charts.xlsx]4.3'!$D$2:$D$7</c:f>
              <c:numCache>
                <c:formatCode>0.0%</c:formatCode>
                <c:ptCount val="6"/>
                <c:pt idx="0">
                  <c:v>0.43372711983807882</c:v>
                </c:pt>
                <c:pt idx="1">
                  <c:v>0.51576441717774268</c:v>
                </c:pt>
                <c:pt idx="2">
                  <c:v>0.5297248647475894</c:v>
                </c:pt>
                <c:pt idx="3">
                  <c:v>0.76656426887892548</c:v>
                </c:pt>
                <c:pt idx="4">
                  <c:v>0.78607185390859313</c:v>
                </c:pt>
                <c:pt idx="5">
                  <c:v>0.9768963193651683</c:v>
                </c:pt>
              </c:numCache>
            </c:numRef>
          </c:val>
          <c:extLst>
            <c:ext xmlns:c16="http://schemas.microsoft.com/office/drawing/2014/chart" uri="{C3380CC4-5D6E-409C-BE32-E72D297353CC}">
              <c16:uniqueId val="{00000002-3D06-411F-A69A-A042DBF87DE9}"/>
            </c:ext>
          </c:extLst>
        </c:ser>
        <c:dLbls>
          <c:showLegendKey val="0"/>
          <c:showVal val="0"/>
          <c:showCatName val="0"/>
          <c:showSerName val="0"/>
          <c:showPercent val="0"/>
          <c:showBubbleSize val="0"/>
        </c:dLbls>
        <c:gapWidth val="219"/>
        <c:axId val="1950251616"/>
        <c:axId val="1950254016"/>
      </c:barChart>
      <c:scatterChart>
        <c:scatterStyle val="lineMarker"/>
        <c:varyColors val="0"/>
        <c:ser>
          <c:idx val="0"/>
          <c:order val="0"/>
          <c:tx>
            <c:strRef>
              <c:f>'[VAT charts.xlsx]4.3'!$C$1</c:f>
              <c:strCache>
                <c:ptCount val="1"/>
                <c:pt idx="0">
                  <c:v>VAT revenue to GDP, RHS</c:v>
                </c:pt>
              </c:strCache>
            </c:strRef>
          </c:tx>
          <c:spPr>
            <a:ln w="25400" cap="rnd">
              <a:noFill/>
              <a:round/>
            </a:ln>
            <a:effectLst/>
          </c:spPr>
          <c:marker>
            <c:symbol val="circle"/>
            <c:size val="5"/>
            <c:spPr>
              <a:solidFill>
                <a:schemeClr val="accent1"/>
              </a:solidFill>
              <a:ln w="9525">
                <a:solidFill>
                  <a:schemeClr val="accent1"/>
                </a:solidFill>
              </a:ln>
              <a:effectLst/>
            </c:spPr>
          </c:marker>
          <c:dPt>
            <c:idx val="2"/>
            <c:marker>
              <c:symbol val="circle"/>
              <c:size val="5"/>
              <c:spPr>
                <a:solidFill>
                  <a:srgbClr val="00B050"/>
                </a:solidFill>
                <a:ln w="9525">
                  <a:solidFill>
                    <a:schemeClr val="accent1"/>
                  </a:solidFill>
                </a:ln>
                <a:effectLst/>
              </c:spPr>
            </c:marker>
            <c:bubble3D val="0"/>
            <c:extLst>
              <c:ext xmlns:c16="http://schemas.microsoft.com/office/drawing/2014/chart" uri="{C3380CC4-5D6E-409C-BE32-E72D297353CC}">
                <c16:uniqueId val="{00000003-3D06-411F-A69A-A042DBF87DE9}"/>
              </c:ext>
            </c:extLst>
          </c:dPt>
          <c:xVal>
            <c:strRef>
              <c:f>'[VAT charts.xlsx]4.3'!$B$2:$B$7</c:f>
              <c:strCache>
                <c:ptCount val="6"/>
                <c:pt idx="0">
                  <c:v>Lao PDR</c:v>
                </c:pt>
                <c:pt idx="1">
                  <c:v>Philippines</c:v>
                </c:pt>
                <c:pt idx="2">
                  <c:v>Indonesia</c:v>
                </c:pt>
                <c:pt idx="3">
                  <c:v>Thailand</c:v>
                </c:pt>
                <c:pt idx="4">
                  <c:v>Vietnam</c:v>
                </c:pt>
                <c:pt idx="5">
                  <c:v>Cambodia</c:v>
                </c:pt>
              </c:strCache>
            </c:strRef>
          </c:xVal>
          <c:yVal>
            <c:numRef>
              <c:f>'[VAT charts.xlsx]4.3'!$C$2:$C$7</c:f>
              <c:numCache>
                <c:formatCode>0.0%</c:formatCode>
                <c:ptCount val="6"/>
                <c:pt idx="0">
                  <c:v>3.3131067215059914E-2</c:v>
                </c:pt>
                <c:pt idx="1">
                  <c:v>4.2667937434137257E-2</c:v>
                </c:pt>
                <c:pt idx="2">
                  <c:v>3.3580372321859189E-2</c:v>
                </c:pt>
                <c:pt idx="3">
                  <c:v>4.6941611827938594E-2</c:v>
                </c:pt>
                <c:pt idx="4">
                  <c:v>4.8975840336134453E-2</c:v>
                </c:pt>
                <c:pt idx="5">
                  <c:v>6.6110000000000002E-2</c:v>
                </c:pt>
              </c:numCache>
            </c:numRef>
          </c:yVal>
          <c:smooth val="0"/>
          <c:extLst>
            <c:ext xmlns:c16="http://schemas.microsoft.com/office/drawing/2014/chart" uri="{C3380CC4-5D6E-409C-BE32-E72D297353CC}">
              <c16:uniqueId val="{00000004-3D06-411F-A69A-A042DBF87DE9}"/>
            </c:ext>
          </c:extLst>
        </c:ser>
        <c:dLbls>
          <c:showLegendKey val="0"/>
          <c:showVal val="0"/>
          <c:showCatName val="0"/>
          <c:showSerName val="0"/>
          <c:showPercent val="0"/>
          <c:showBubbleSize val="0"/>
        </c:dLbls>
        <c:axId val="1950283776"/>
        <c:axId val="1950282336"/>
      </c:scatterChart>
      <c:catAx>
        <c:axId val="1950251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0254016"/>
        <c:crosses val="autoZero"/>
        <c:auto val="1"/>
        <c:lblAlgn val="ctr"/>
        <c:lblOffset val="100"/>
        <c:noMultiLvlLbl val="0"/>
      </c:catAx>
      <c:valAx>
        <c:axId val="1950254016"/>
        <c:scaling>
          <c:orientation val="minMax"/>
        </c:scaling>
        <c:delete val="0"/>
        <c:axPos val="l"/>
        <c:numFmt formatCode="0%" sourceLinked="0"/>
        <c:majorTickMark val="in"/>
        <c:minorTickMark val="none"/>
        <c:tickLblPos val="nextTo"/>
        <c:spPr>
          <a:noFill/>
          <a:ln>
            <a:solidFill>
              <a:schemeClr val="bg1">
                <a:lumMod val="7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0251616"/>
        <c:crosses val="autoZero"/>
        <c:crossBetween val="between"/>
      </c:valAx>
      <c:valAx>
        <c:axId val="1950282336"/>
        <c:scaling>
          <c:orientation val="minMax"/>
        </c:scaling>
        <c:delete val="0"/>
        <c:axPos val="r"/>
        <c:numFmt formatCode="0%" sourceLinked="0"/>
        <c:majorTickMark val="in"/>
        <c:minorTickMark val="none"/>
        <c:tickLblPos val="nextTo"/>
        <c:spPr>
          <a:noFill/>
          <a:ln>
            <a:solidFill>
              <a:schemeClr val="bg1">
                <a:lumMod val="75000"/>
                <a:alpha val="97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0283776"/>
        <c:crosses val="max"/>
        <c:crossBetween val="midCat"/>
      </c:valAx>
      <c:valAx>
        <c:axId val="1950283776"/>
        <c:scaling>
          <c:orientation val="minMax"/>
        </c:scaling>
        <c:delete val="1"/>
        <c:axPos val="t"/>
        <c:majorTickMark val="out"/>
        <c:minorTickMark val="none"/>
        <c:tickLblPos val="nextTo"/>
        <c:crossAx val="1950282336"/>
        <c:crosses val="max"/>
        <c:crossBetween val="midCat"/>
      </c:valAx>
      <c:spPr>
        <a:noFill/>
        <a:ln>
          <a:noFill/>
        </a:ln>
        <a:effectLst/>
      </c:spPr>
    </c:plotArea>
    <c:legend>
      <c:legendPos val="b"/>
      <c:layout>
        <c:manualLayout>
          <c:xMode val="edge"/>
          <c:yMode val="edge"/>
          <c:x val="9.0133867045883484E-2"/>
          <c:y val="4.5132635119639171E-2"/>
          <c:w val="0.67703438407991656"/>
          <c:h val="0.225329867747114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900"/>
      </a:pPr>
      <a:endParaRPr lang="en-U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337899254753379"/>
          <c:y val="9.2636959983153702E-2"/>
          <c:w val="0.78615382929977906"/>
          <c:h val="0.6295848818897638"/>
        </c:manualLayout>
      </c:layout>
      <c:barChart>
        <c:barDir val="col"/>
        <c:grouping val="clustered"/>
        <c:varyColors val="0"/>
        <c:ser>
          <c:idx val="0"/>
          <c:order val="0"/>
          <c:tx>
            <c:strRef>
              <c:f>'4.4'!$C$2</c:f>
              <c:strCache>
                <c:ptCount val="1"/>
                <c:pt idx="0">
                  <c:v>VAT threshold (US$ 000), LHS</c:v>
                </c:pt>
              </c:strCache>
            </c:strRef>
          </c:tx>
          <c:spPr>
            <a:solidFill>
              <a:schemeClr val="accent1"/>
            </a:solidFill>
            <a:ln>
              <a:noFill/>
            </a:ln>
            <a:effectLst/>
          </c:spPr>
          <c:invertIfNegative val="0"/>
          <c:cat>
            <c:strRef>
              <c:f>'4.4'!$A$3:$A$7</c:f>
              <c:strCache>
                <c:ptCount val="5"/>
                <c:pt idx="0">
                  <c:v>Indonesia</c:v>
                </c:pt>
                <c:pt idx="1">
                  <c:v>Cambodia</c:v>
                </c:pt>
                <c:pt idx="2">
                  <c:v>Philippines</c:v>
                </c:pt>
                <c:pt idx="3">
                  <c:v>Lao PDR</c:v>
                </c:pt>
                <c:pt idx="4">
                  <c:v>Thailand</c:v>
                </c:pt>
              </c:strCache>
            </c:strRef>
          </c:cat>
          <c:val>
            <c:numRef>
              <c:f>'4.4'!$C$3:$C$7</c:f>
              <c:numCache>
                <c:formatCode>0</c:formatCode>
                <c:ptCount val="5"/>
                <c:pt idx="0">
                  <c:v>320</c:v>
                </c:pt>
                <c:pt idx="1">
                  <c:v>61.558918040456518</c:v>
                </c:pt>
                <c:pt idx="2">
                  <c:v>57.915057915057922</c:v>
                </c:pt>
                <c:pt idx="3">
                  <c:v>23.2</c:v>
                </c:pt>
                <c:pt idx="4">
                  <c:v>57.971014492753625</c:v>
                </c:pt>
              </c:numCache>
            </c:numRef>
          </c:val>
          <c:extLst>
            <c:ext xmlns:c16="http://schemas.microsoft.com/office/drawing/2014/chart" uri="{C3380CC4-5D6E-409C-BE32-E72D297353CC}">
              <c16:uniqueId val="{00000000-80E5-4CAE-971D-FA7B8631F20F}"/>
            </c:ext>
          </c:extLst>
        </c:ser>
        <c:dLbls>
          <c:showLegendKey val="0"/>
          <c:showVal val="0"/>
          <c:showCatName val="0"/>
          <c:showSerName val="0"/>
          <c:showPercent val="0"/>
          <c:showBubbleSize val="0"/>
        </c:dLbls>
        <c:gapWidth val="80"/>
        <c:axId val="1854299552"/>
        <c:axId val="1854325472"/>
      </c:barChart>
      <c:lineChart>
        <c:grouping val="standard"/>
        <c:varyColors val="0"/>
        <c:ser>
          <c:idx val="1"/>
          <c:order val="1"/>
          <c:tx>
            <c:strRef>
              <c:f>'4.4'!$D$2</c:f>
              <c:strCache>
                <c:ptCount val="1"/>
                <c:pt idx="0">
                  <c:v>Threshold as multiple of GDP per capita, RHS</c:v>
                </c:pt>
              </c:strCache>
            </c:strRef>
          </c:tx>
          <c:spPr>
            <a:ln w="28575" cap="rnd">
              <a:noFill/>
              <a:round/>
            </a:ln>
            <a:effectLst/>
          </c:spPr>
          <c:marker>
            <c:symbol val="circle"/>
            <c:size val="5"/>
            <c:spPr>
              <a:solidFill>
                <a:srgbClr val="FF0000"/>
              </a:solidFill>
              <a:ln w="9525">
                <a:solidFill>
                  <a:srgbClr val="FF0000"/>
                </a:solidFill>
              </a:ln>
              <a:effectLst/>
            </c:spPr>
          </c:marker>
          <c:dLbls>
            <c:dLbl>
              <c:idx val="0"/>
              <c:layout>
                <c:manualLayout>
                  <c:x val="-6.1188855690705243E-2"/>
                  <c:y val="-4.8632830700626614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0E5-4CAE-971D-FA7B8631F20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'4.4'!$A$3:$A$7</c:f>
              <c:strCache>
                <c:ptCount val="5"/>
                <c:pt idx="0">
                  <c:v>Indonesia</c:v>
                </c:pt>
                <c:pt idx="1">
                  <c:v>Cambodia</c:v>
                </c:pt>
                <c:pt idx="2">
                  <c:v>Philippines</c:v>
                </c:pt>
                <c:pt idx="3">
                  <c:v>Lao PDR</c:v>
                </c:pt>
                <c:pt idx="4">
                  <c:v>Thailand</c:v>
                </c:pt>
              </c:strCache>
            </c:strRef>
          </c:cat>
          <c:val>
            <c:numRef>
              <c:f>'4.4'!$D$3:$D$7</c:f>
              <c:numCache>
                <c:formatCode>0</c:formatCode>
                <c:ptCount val="5"/>
                <c:pt idx="0">
                  <c:v>66.833760707545608</c:v>
                </c:pt>
                <c:pt idx="1">
                  <c:v>34.984449502222141</c:v>
                </c:pt>
                <c:pt idx="2">
                  <c:v>16.554207686530685</c:v>
                </c:pt>
                <c:pt idx="3">
                  <c:v>11.292665694111301</c:v>
                </c:pt>
                <c:pt idx="4">
                  <c:v>8.389490772947072</c:v>
                </c:pt>
              </c:numCache>
            </c:numRef>
          </c:val>
          <c:smooth val="0"/>
          <c:extLst>
            <c:ext xmlns:c16="http://schemas.microsoft.com/office/drawing/2014/chart" uri="{C3380CC4-5D6E-409C-BE32-E72D297353CC}">
              <c16:uniqueId val="{00000002-80E5-4CAE-971D-FA7B8631F20F}"/>
            </c:ext>
          </c:extLst>
        </c:ser>
        <c:dLbls>
          <c:showLegendKey val="0"/>
          <c:showVal val="0"/>
          <c:showCatName val="0"/>
          <c:showSerName val="0"/>
          <c:showPercent val="0"/>
          <c:showBubbleSize val="0"/>
        </c:dLbls>
        <c:marker val="1"/>
        <c:smooth val="0"/>
        <c:axId val="576090592"/>
        <c:axId val="576084352"/>
      </c:lineChart>
      <c:catAx>
        <c:axId val="1854299552"/>
        <c:scaling>
          <c:orientation val="minMax"/>
        </c:scaling>
        <c:delete val="0"/>
        <c:axPos val="b"/>
        <c:numFmt formatCode="General" sourceLinked="1"/>
        <c:majorTickMark val="in"/>
        <c:minorTickMark val="none"/>
        <c:tickLblPos val="nextTo"/>
        <c:spPr>
          <a:noFill/>
          <a:ln w="9525" cap="flat" cmpd="sng" algn="ctr">
            <a:solidFill>
              <a:schemeClr val="tx1">
                <a:lumMod val="50000"/>
                <a:lumOff val="50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54325472"/>
        <c:crosses val="autoZero"/>
        <c:auto val="1"/>
        <c:lblAlgn val="ctr"/>
        <c:lblOffset val="100"/>
        <c:noMultiLvlLbl val="0"/>
      </c:catAx>
      <c:valAx>
        <c:axId val="1854325472"/>
        <c:scaling>
          <c:orientation val="minMax"/>
          <c:max val="400"/>
        </c:scaling>
        <c:delete val="0"/>
        <c:axPos val="l"/>
        <c:majorGridlines>
          <c:spPr>
            <a:ln w="9525" cap="flat" cmpd="sng" algn="ctr">
              <a:noFill/>
              <a:round/>
            </a:ln>
            <a:effectLst/>
          </c:spPr>
        </c:majorGridlines>
        <c:numFmt formatCode="0"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54299552"/>
        <c:crosses val="autoZero"/>
        <c:crossBetween val="between"/>
        <c:majorUnit val="100"/>
      </c:valAx>
      <c:valAx>
        <c:axId val="576084352"/>
        <c:scaling>
          <c:orientation val="minMax"/>
          <c:max val="70"/>
        </c:scaling>
        <c:delete val="0"/>
        <c:axPos val="r"/>
        <c:numFmt formatCode="0"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6090592"/>
        <c:crosses val="max"/>
        <c:crossBetween val="between"/>
      </c:valAx>
      <c:catAx>
        <c:axId val="576090592"/>
        <c:scaling>
          <c:orientation val="minMax"/>
        </c:scaling>
        <c:delete val="1"/>
        <c:axPos val="b"/>
        <c:numFmt formatCode="General" sourceLinked="1"/>
        <c:majorTickMark val="out"/>
        <c:minorTickMark val="none"/>
        <c:tickLblPos val="nextTo"/>
        <c:crossAx val="576084352"/>
        <c:crosses val="autoZero"/>
        <c:auto val="1"/>
        <c:lblAlgn val="ctr"/>
        <c:lblOffset val="100"/>
        <c:noMultiLvlLbl val="0"/>
      </c:catAx>
      <c:spPr>
        <a:noFill/>
        <a:ln>
          <a:noFill/>
        </a:ln>
        <a:effectLst/>
      </c:spPr>
    </c:plotArea>
    <c:legend>
      <c:legendPos val="b"/>
      <c:layout>
        <c:manualLayout>
          <c:xMode val="edge"/>
          <c:yMode val="edge"/>
          <c:x val="0.41553990658443007"/>
          <c:y val="4.6246779744277502E-2"/>
          <c:w val="0.45615663169619902"/>
          <c:h val="0.3024102724413096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076006124234472"/>
          <c:y val="7.6388888888888895E-2"/>
          <c:w val="0.80831401283172932"/>
          <c:h val="0.74167869641294848"/>
        </c:manualLayout>
      </c:layout>
      <c:barChart>
        <c:barDir val="col"/>
        <c:grouping val="clustered"/>
        <c:varyColors val="0"/>
        <c:ser>
          <c:idx val="0"/>
          <c:order val="0"/>
          <c:tx>
            <c:strRef>
              <c:f>'https://worldbankgroup.sharepoint.com/sites/EEAPVFiles/Shared Documents/Countries/Indonesia/PA/Synthesis/Figures/Old/[Drivers-Fiscal.xlsx]Indirect Tax'!$A$21</c:f>
              <c:strCache>
                <c:ptCount val="1"/>
                <c:pt idx="0">
                  <c:v>2012</c:v>
                </c:pt>
              </c:strCache>
            </c:strRef>
          </c:tx>
          <c:spPr>
            <a:solidFill>
              <a:schemeClr val="accent1"/>
            </a:solidFill>
            <a:ln>
              <a:noFill/>
            </a:ln>
            <a:effectLst/>
          </c:spPr>
          <c:invertIfNegative val="0"/>
          <c:cat>
            <c:numRef>
              <c:f>'[1]Indirect Tax'!$B$2:$K$2</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'[1]Indirect Tax'!$B$21:$K$21</c:f>
              <c:numCache>
                <c:formatCode>General</c:formatCode>
                <c:ptCount val="10"/>
                <c:pt idx="0">
                  <c:v>5.2589826041117553E-2</c:v>
                </c:pt>
                <c:pt idx="1">
                  <c:v>5.8897935129497106E-2</c:v>
                </c:pt>
                <c:pt idx="2">
                  <c:v>6.4245221468307592E-2</c:v>
                </c:pt>
                <c:pt idx="3">
                  <c:v>6.2100996093729641E-2</c:v>
                </c:pt>
                <c:pt idx="4">
                  <c:v>6.2309656331590926E-2</c:v>
                </c:pt>
                <c:pt idx="5">
                  <c:v>6.5322983754169575E-2</c:v>
                </c:pt>
                <c:pt idx="6">
                  <c:v>6.4386983929718408E-2</c:v>
                </c:pt>
                <c:pt idx="7">
                  <c:v>6.3487503316578112E-2</c:v>
                </c:pt>
                <c:pt idx="8">
                  <c:v>5.9331494373866506E-2</c:v>
                </c:pt>
                <c:pt idx="9">
                  <c:v>4.5961858068342715E-2</c:v>
                </c:pt>
              </c:numCache>
            </c:numRef>
          </c:val>
          <c:extLst>
            <c:ext xmlns:c16="http://schemas.microsoft.com/office/drawing/2014/chart" uri="{C3380CC4-5D6E-409C-BE32-E72D297353CC}">
              <c16:uniqueId val="{00000000-218C-4933-B4F6-D549AFC9A8F0}"/>
            </c:ext>
          </c:extLst>
        </c:ser>
        <c:ser>
          <c:idx val="1"/>
          <c:order val="1"/>
          <c:tx>
            <c:strRef>
              <c:f>'https://worldbankgroup.sharepoint.com/sites/EEAPVFiles/Shared Documents/Countries/Indonesia/PA/Synthesis/Figures/Old/[Drivers-Fiscal.xlsx]Indirect Tax'!$A$22</c:f>
              <c:strCache>
                <c:ptCount val="1"/>
                <c:pt idx="0">
                  <c:v>2019</c:v>
                </c:pt>
              </c:strCache>
            </c:strRef>
          </c:tx>
          <c:spPr>
            <a:solidFill>
              <a:schemeClr val="accent2"/>
            </a:solidFill>
            <a:ln>
              <a:noFill/>
            </a:ln>
            <a:effectLst/>
          </c:spPr>
          <c:invertIfNegative val="0"/>
          <c:cat>
            <c:numRef>
              <c:f>'[1]Indirect Tax'!$B$2:$K$2</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'[1]Indirect Tax'!$B$22:$K$22</c:f>
              <c:numCache>
                <c:formatCode>General</c:formatCode>
                <c:ptCount val="10"/>
                <c:pt idx="0">
                  <c:v>7.2646561420323733E-2</c:v>
                </c:pt>
                <c:pt idx="1">
                  <c:v>7.4395495413042259E-2</c:v>
                </c:pt>
                <c:pt idx="2">
                  <c:v>7.655146366013435E-2</c:v>
                </c:pt>
                <c:pt idx="3">
                  <c:v>7.6618976749014467E-2</c:v>
                </c:pt>
                <c:pt idx="4">
                  <c:v>7.705693404729122E-2</c:v>
                </c:pt>
                <c:pt idx="5">
                  <c:v>7.6618499752817121E-2</c:v>
                </c:pt>
                <c:pt idx="6">
                  <c:v>7.5314058782424642E-2</c:v>
                </c:pt>
                <c:pt idx="7">
                  <c:v>7.4230480369728388E-2</c:v>
                </c:pt>
                <c:pt idx="8">
                  <c:v>7.0175029443453218E-2</c:v>
                </c:pt>
                <c:pt idx="9">
                  <c:v>5.9130538113575583E-2</c:v>
                </c:pt>
              </c:numCache>
            </c:numRef>
          </c:val>
          <c:extLst>
            <c:ext xmlns:c16="http://schemas.microsoft.com/office/drawing/2014/chart" uri="{C3380CC4-5D6E-409C-BE32-E72D297353CC}">
              <c16:uniqueId val="{00000001-218C-4933-B4F6-D549AFC9A8F0}"/>
            </c:ext>
          </c:extLst>
        </c:ser>
        <c:dLbls>
          <c:showLegendKey val="0"/>
          <c:showVal val="0"/>
          <c:showCatName val="0"/>
          <c:showSerName val="0"/>
          <c:showPercent val="0"/>
          <c:showBubbleSize val="0"/>
        </c:dLbls>
        <c:gapWidth val="150"/>
        <c:axId val="2069320832"/>
        <c:axId val="2069322080"/>
      </c:barChart>
      <c:catAx>
        <c:axId val="2069320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2069322080"/>
        <c:crosses val="autoZero"/>
        <c:auto val="1"/>
        <c:lblAlgn val="ctr"/>
        <c:lblOffset val="100"/>
        <c:noMultiLvlLbl val="0"/>
      </c:catAx>
      <c:valAx>
        <c:axId val="206932208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2069320832"/>
        <c:crosses val="autoZero"/>
        <c:crossBetween val="between"/>
      </c:valAx>
      <c:spPr>
        <a:noFill/>
        <a:ln>
          <a:noFill/>
        </a:ln>
        <a:effectLst/>
      </c:spPr>
    </c:plotArea>
    <c:legend>
      <c:legendPos val="b"/>
      <c:layout>
        <c:manualLayout>
          <c:xMode val="edge"/>
          <c:yMode val="edge"/>
          <c:x val="0.15855643044619425"/>
          <c:y val="2.864501312335958E-2"/>
          <c:w val="0.43895013123359578"/>
          <c:h val="0.10658042744656918"/>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800"/>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v>2019</c:v>
          </c:tx>
          <c:spPr>
            <a:solidFill>
              <a:srgbClr val="0070C0"/>
            </a:solidFill>
            <a:ln>
              <a:noFill/>
            </a:ln>
            <a:effectLst/>
          </c:spPr>
          <c:invertIfNegative val="0"/>
          <c:dLbls>
            <c:dLbl>
              <c:idx val="7"/>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B8E-49B6-9834-53B4B1A13DFD}"/>
                </c:ext>
              </c:extLst>
            </c:dLbl>
            <c:dLbl>
              <c:idx val="8"/>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B8E-49B6-9834-53B4B1A13DFD}"/>
                </c:ext>
              </c:extLst>
            </c:dLbl>
            <c:dLbl>
              <c:idx val="9"/>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B8E-49B6-9834-53B4B1A13DF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'4.8'!$B$3:$B$12</c:f>
              <c:numCache>
                <c:formatCode>0%</c:formatCode>
                <c:ptCount val="10"/>
                <c:pt idx="0">
                  <c:v>4.3514786878969536E-2</c:v>
                </c:pt>
                <c:pt idx="1">
                  <c:v>5.6946009375536337E-2</c:v>
                </c:pt>
                <c:pt idx="2">
                  <c:v>6.6530123753024917E-2</c:v>
                </c:pt>
                <c:pt idx="3">
                  <c:v>7.5110900739902092E-2</c:v>
                </c:pt>
                <c:pt idx="4">
                  <c:v>8.4617450519567941E-2</c:v>
                </c:pt>
                <c:pt idx="5">
                  <c:v>9.6533466093240275E-2</c:v>
                </c:pt>
                <c:pt idx="6">
                  <c:v>0.10943005665817111</c:v>
                </c:pt>
                <c:pt idx="7">
                  <c:v>0.12554455706227452</c:v>
                </c:pt>
                <c:pt idx="8">
                  <c:v>0.14888375916916347</c:v>
                </c:pt>
                <c:pt idx="9">
                  <c:v>0.19288888975014978</c:v>
                </c:pt>
              </c:numCache>
            </c:numRef>
          </c:val>
          <c:extLst>
            <c:ext xmlns:c16="http://schemas.microsoft.com/office/drawing/2014/chart" uri="{C3380CC4-5D6E-409C-BE32-E72D297353CC}">
              <c16:uniqueId val="{00000003-8B8E-49B6-9834-53B4B1A13DFD}"/>
            </c:ext>
          </c:extLst>
        </c:ser>
        <c:dLbls>
          <c:showLegendKey val="0"/>
          <c:showVal val="0"/>
          <c:showCatName val="0"/>
          <c:showSerName val="0"/>
          <c:showPercent val="0"/>
          <c:showBubbleSize val="0"/>
        </c:dLbls>
        <c:gapWidth val="70"/>
        <c:overlap val="-27"/>
        <c:axId val="264251360"/>
        <c:axId val="264251840"/>
      </c:barChart>
      <c:catAx>
        <c:axId val="264251360"/>
        <c:scaling>
          <c:orientation val="minMax"/>
        </c:scaling>
        <c:delete val="0"/>
        <c:axPos val="b"/>
        <c:majorTickMark val="in"/>
        <c:minorTickMark val="none"/>
        <c:tickLblPos val="nextTo"/>
        <c:spPr>
          <a:noFill/>
          <a:ln w="9525" cap="flat" cmpd="sng" algn="ctr">
            <a:solidFill>
              <a:schemeClr val="bg1">
                <a:lumMod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4251840"/>
        <c:crosses val="autoZero"/>
        <c:auto val="1"/>
        <c:lblAlgn val="ctr"/>
        <c:lblOffset val="100"/>
        <c:noMultiLvlLbl val="0"/>
      </c:catAx>
      <c:valAx>
        <c:axId val="264251840"/>
        <c:scaling>
          <c:orientation val="minMax"/>
        </c:scaling>
        <c:delete val="0"/>
        <c:axPos val="l"/>
        <c:numFmt formatCode="0%" sourceLinked="1"/>
        <c:majorTickMark val="in"/>
        <c:minorTickMark val="none"/>
        <c:tickLblPos val="nextTo"/>
        <c:spPr>
          <a:noFill/>
          <a:ln>
            <a:solidFill>
              <a:schemeClr val="bg1">
                <a:lumMod val="7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42513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4848672604449032E-2"/>
          <c:y val="5.057471264367816E-2"/>
          <c:w val="0.79288188976377949"/>
          <c:h val="0.82924935605400896"/>
        </c:manualLayout>
      </c:layout>
      <c:lineChart>
        <c:grouping val="standard"/>
        <c:varyColors val="0"/>
        <c:ser>
          <c:idx val="0"/>
          <c:order val="0"/>
          <c:tx>
            <c:strRef>
              <c:f>'Case study - Argentina'!$AC$31</c:f>
              <c:strCache>
                <c:ptCount val="1"/>
                <c:pt idx="0">
                  <c:v>VAT revenue to GDP ratio (lhs)</c:v>
                </c:pt>
              </c:strCache>
            </c:strRef>
          </c:tx>
          <c:spPr>
            <a:ln w="28575" cap="rnd">
              <a:solidFill>
                <a:schemeClr val="accent1"/>
              </a:solidFill>
              <a:round/>
            </a:ln>
            <a:effectLst/>
          </c:spPr>
          <c:marker>
            <c:symbol val="none"/>
          </c:marker>
          <c:cat>
            <c:numRef>
              <c:f>'Case study - Argentina'!$AD$30:$AK$30</c:f>
              <c:numCache>
                <c:formatCode>General</c:formatCode>
                <c:ptCount val="8"/>
                <c:pt idx="0">
                  <c:v>1990</c:v>
                </c:pt>
                <c:pt idx="1">
                  <c:v>1991</c:v>
                </c:pt>
                <c:pt idx="2">
                  <c:v>1992</c:v>
                </c:pt>
                <c:pt idx="3">
                  <c:v>1993</c:v>
                </c:pt>
                <c:pt idx="4">
                  <c:v>1994</c:v>
                </c:pt>
                <c:pt idx="5">
                  <c:v>1995</c:v>
                </c:pt>
                <c:pt idx="6">
                  <c:v>1996</c:v>
                </c:pt>
                <c:pt idx="7">
                  <c:v>1997</c:v>
                </c:pt>
              </c:numCache>
            </c:numRef>
          </c:cat>
          <c:val>
            <c:numRef>
              <c:f>'Case study - Argentina'!$AD$31:$AK$31</c:f>
              <c:numCache>
                <c:formatCode>General</c:formatCode>
                <c:ptCount val="8"/>
                <c:pt idx="0">
                  <c:v>2.0680000000000001</c:v>
                </c:pt>
                <c:pt idx="1">
                  <c:v>3.0830000000000002</c:v>
                </c:pt>
                <c:pt idx="2">
                  <c:v>5.2679999999999998</c:v>
                </c:pt>
                <c:pt idx="3">
                  <c:v>6.1520000000000001</c:v>
                </c:pt>
                <c:pt idx="4">
                  <c:v>6.0330000000000004</c:v>
                </c:pt>
                <c:pt idx="5">
                  <c:v>6.0460000000000003</c:v>
                </c:pt>
                <c:pt idx="6">
                  <c:v>6.1870000000000003</c:v>
                </c:pt>
                <c:pt idx="7">
                  <c:v>6.2530000000000001</c:v>
                </c:pt>
              </c:numCache>
            </c:numRef>
          </c:val>
          <c:smooth val="0"/>
          <c:extLst>
            <c:ext xmlns:c16="http://schemas.microsoft.com/office/drawing/2014/chart" uri="{C3380CC4-5D6E-409C-BE32-E72D297353CC}">
              <c16:uniqueId val="{00000000-E345-4C7C-808B-C6AAFF7F18CC}"/>
            </c:ext>
          </c:extLst>
        </c:ser>
        <c:dLbls>
          <c:showLegendKey val="0"/>
          <c:showVal val="0"/>
          <c:showCatName val="0"/>
          <c:showSerName val="0"/>
          <c:showPercent val="0"/>
          <c:showBubbleSize val="0"/>
        </c:dLbls>
        <c:marker val="1"/>
        <c:smooth val="0"/>
        <c:axId val="1359669887"/>
        <c:axId val="1359668927"/>
      </c:lineChart>
      <c:lineChart>
        <c:grouping val="standard"/>
        <c:varyColors val="0"/>
        <c:ser>
          <c:idx val="1"/>
          <c:order val="1"/>
          <c:tx>
            <c:strRef>
              <c:f>'Case study - Argentina'!$AC$32</c:f>
              <c:strCache>
                <c:ptCount val="1"/>
                <c:pt idx="0">
                  <c:v>VAT standard rate (rhs)</c:v>
                </c:pt>
              </c:strCache>
            </c:strRef>
          </c:tx>
          <c:spPr>
            <a:ln w="28575" cap="rnd">
              <a:solidFill>
                <a:schemeClr val="accent2"/>
              </a:solidFill>
              <a:round/>
            </a:ln>
            <a:effectLst/>
          </c:spPr>
          <c:marker>
            <c:symbol val="none"/>
          </c:marker>
          <c:cat>
            <c:numRef>
              <c:f>'Case study - Argentina'!$AD$30:$AK$30</c:f>
              <c:numCache>
                <c:formatCode>General</c:formatCode>
                <c:ptCount val="8"/>
                <c:pt idx="0">
                  <c:v>1990</c:v>
                </c:pt>
                <c:pt idx="1">
                  <c:v>1991</c:v>
                </c:pt>
                <c:pt idx="2">
                  <c:v>1992</c:v>
                </c:pt>
                <c:pt idx="3">
                  <c:v>1993</c:v>
                </c:pt>
                <c:pt idx="4">
                  <c:v>1994</c:v>
                </c:pt>
                <c:pt idx="5">
                  <c:v>1995</c:v>
                </c:pt>
                <c:pt idx="6">
                  <c:v>1996</c:v>
                </c:pt>
                <c:pt idx="7">
                  <c:v>1997</c:v>
                </c:pt>
              </c:numCache>
            </c:numRef>
          </c:cat>
          <c:val>
            <c:numRef>
              <c:f>'Case study - Argentina'!$AD$32:$AK$32</c:f>
              <c:numCache>
                <c:formatCode>General</c:formatCode>
                <c:ptCount val="8"/>
                <c:pt idx="0">
                  <c:v>13</c:v>
                </c:pt>
                <c:pt idx="1">
                  <c:v>16</c:v>
                </c:pt>
                <c:pt idx="2">
                  <c:v>17.666666666666668</c:v>
                </c:pt>
                <c:pt idx="3">
                  <c:v>18</c:v>
                </c:pt>
                <c:pt idx="4">
                  <c:v>18</c:v>
                </c:pt>
                <c:pt idx="5">
                  <c:v>18</c:v>
                </c:pt>
                <c:pt idx="6">
                  <c:v>18</c:v>
                </c:pt>
                <c:pt idx="7">
                  <c:v>21</c:v>
                </c:pt>
              </c:numCache>
            </c:numRef>
          </c:val>
          <c:smooth val="0"/>
          <c:extLst>
            <c:ext xmlns:c16="http://schemas.microsoft.com/office/drawing/2014/chart" uri="{C3380CC4-5D6E-409C-BE32-E72D297353CC}">
              <c16:uniqueId val="{00000001-E345-4C7C-808B-C6AAFF7F18CC}"/>
            </c:ext>
          </c:extLst>
        </c:ser>
        <c:dLbls>
          <c:showLegendKey val="0"/>
          <c:showVal val="0"/>
          <c:showCatName val="0"/>
          <c:showSerName val="0"/>
          <c:showPercent val="0"/>
          <c:showBubbleSize val="0"/>
        </c:dLbls>
        <c:marker val="1"/>
        <c:smooth val="0"/>
        <c:axId val="1354377135"/>
        <c:axId val="1354378575"/>
      </c:lineChart>
      <c:catAx>
        <c:axId val="13596698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59668927"/>
        <c:crosses val="autoZero"/>
        <c:auto val="1"/>
        <c:lblAlgn val="ctr"/>
        <c:lblOffset val="100"/>
        <c:noMultiLvlLbl val="0"/>
      </c:catAx>
      <c:valAx>
        <c:axId val="1359668927"/>
        <c:scaling>
          <c:orientation val="minMax"/>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ysClr val="window" lastClr="FFFFFF">
                <a:lumMod val="75000"/>
              </a:sys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59669887"/>
        <c:crosses val="autoZero"/>
        <c:crossBetween val="between"/>
      </c:valAx>
      <c:valAx>
        <c:axId val="1354378575"/>
        <c:scaling>
          <c:orientation val="minMax"/>
        </c:scaling>
        <c:delete val="0"/>
        <c:axPos val="r"/>
        <c:numFmt formatCode="General" sourceLinked="1"/>
        <c:majorTickMark val="in"/>
        <c:minorTickMark val="none"/>
        <c:tickLblPos val="nextTo"/>
        <c:spPr>
          <a:noFill/>
          <a:ln>
            <a:solidFill>
              <a:sysClr val="window" lastClr="FFFFFF">
                <a:lumMod val="75000"/>
              </a:sys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54377135"/>
        <c:crosses val="max"/>
        <c:crossBetween val="between"/>
      </c:valAx>
      <c:catAx>
        <c:axId val="1354377135"/>
        <c:scaling>
          <c:orientation val="minMax"/>
        </c:scaling>
        <c:delete val="1"/>
        <c:axPos val="b"/>
        <c:numFmt formatCode="General" sourceLinked="1"/>
        <c:majorTickMark val="out"/>
        <c:minorTickMark val="none"/>
        <c:tickLblPos val="nextTo"/>
        <c:crossAx val="1354378575"/>
        <c:crosses val="autoZero"/>
        <c:auto val="1"/>
        <c:lblAlgn val="ctr"/>
        <c:lblOffset val="100"/>
        <c:noMultiLvlLbl val="0"/>
      </c:catAx>
      <c:spPr>
        <a:noFill/>
        <a:ln>
          <a:noFill/>
        </a:ln>
        <a:effectLst/>
      </c:spPr>
    </c:plotArea>
    <c:legend>
      <c:legendPos val="b"/>
      <c:layout>
        <c:manualLayout>
          <c:xMode val="edge"/>
          <c:yMode val="edge"/>
          <c:x val="0.41769252613915064"/>
          <c:y val="0.41494144266449451"/>
          <c:w val="0.41816651607073713"/>
          <c:h val="0.2717804992070985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33688069276376"/>
          <c:y val="3.614457831325301E-2"/>
          <c:w val="0.78651654291432094"/>
          <c:h val="0.81698558011573852"/>
        </c:manualLayout>
      </c:layout>
      <c:barChart>
        <c:barDir val="col"/>
        <c:grouping val="clustered"/>
        <c:varyColors val="0"/>
        <c:ser>
          <c:idx val="2"/>
          <c:order val="2"/>
          <c:tx>
            <c:strRef>
              <c:f>'5A.2'!$B$16</c:f>
              <c:strCache>
                <c:ptCount val="1"/>
                <c:pt idx="0">
                  <c:v>Standard rate vs. 2006 (percentage points, rhs)</c:v>
                </c:pt>
              </c:strCache>
            </c:strRef>
          </c:tx>
          <c:spPr>
            <a:solidFill>
              <a:schemeClr val="accent3"/>
            </a:solidFill>
            <a:ln>
              <a:noFill/>
            </a:ln>
            <a:effectLst/>
          </c:spPr>
          <c:invertIfNegative val="0"/>
          <c:cat>
            <c:numRef>
              <c:f>'5A.2'!$C$13:$K$13</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'5A.2'!$C$16:$K$16</c:f>
              <c:numCache>
                <c:formatCode>General</c:formatCode>
                <c:ptCount val="9"/>
                <c:pt idx="0">
                  <c:v>0</c:v>
                </c:pt>
                <c:pt idx="1">
                  <c:v>0</c:v>
                </c:pt>
                <c:pt idx="2">
                  <c:v>0</c:v>
                </c:pt>
                <c:pt idx="3">
                  <c:v>2.4999999999999996</c:v>
                </c:pt>
                <c:pt idx="4">
                  <c:v>4.9999999999999991</c:v>
                </c:pt>
                <c:pt idx="5">
                  <c:v>4.9999999999999991</c:v>
                </c:pt>
                <c:pt idx="6">
                  <c:v>7.0000000000000009</c:v>
                </c:pt>
                <c:pt idx="7">
                  <c:v>7.0000000000000009</c:v>
                </c:pt>
                <c:pt idx="8">
                  <c:v>7.0000000000000009</c:v>
                </c:pt>
              </c:numCache>
            </c:numRef>
          </c:val>
          <c:extLst>
            <c:ext xmlns:c16="http://schemas.microsoft.com/office/drawing/2014/chart" uri="{C3380CC4-5D6E-409C-BE32-E72D297353CC}">
              <c16:uniqueId val="{00000000-6779-457A-A613-7299785F5CBB}"/>
            </c:ext>
          </c:extLst>
        </c:ser>
        <c:dLbls>
          <c:showLegendKey val="0"/>
          <c:showVal val="0"/>
          <c:showCatName val="0"/>
          <c:showSerName val="0"/>
          <c:showPercent val="0"/>
          <c:showBubbleSize val="0"/>
        </c:dLbls>
        <c:gapWidth val="219"/>
        <c:axId val="582743008"/>
        <c:axId val="582758368"/>
      </c:barChart>
      <c:lineChart>
        <c:grouping val="standard"/>
        <c:varyColors val="0"/>
        <c:ser>
          <c:idx val="0"/>
          <c:order val="0"/>
          <c:tx>
            <c:strRef>
              <c:f>'5A.2'!$B$14</c:f>
              <c:strCache>
                <c:ptCount val="1"/>
                <c:pt idx="0">
                  <c:v>C-efficiency (lhs)</c:v>
                </c:pt>
              </c:strCache>
            </c:strRef>
          </c:tx>
          <c:spPr>
            <a:ln w="28575" cap="rnd">
              <a:solidFill>
                <a:schemeClr val="accent1"/>
              </a:solidFill>
              <a:round/>
            </a:ln>
            <a:effectLst/>
          </c:spPr>
          <c:marker>
            <c:symbol val="none"/>
          </c:marker>
          <c:cat>
            <c:numRef>
              <c:f>'5A.2'!$C$13:$K$13</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'5A.2'!$C$14:$K$14</c:f>
              <c:numCache>
                <c:formatCode>General</c:formatCode>
                <c:ptCount val="9"/>
                <c:pt idx="0">
                  <c:v>54.516181690731415</c:v>
                </c:pt>
                <c:pt idx="1">
                  <c:v>58.177861645087305</c:v>
                </c:pt>
                <c:pt idx="2">
                  <c:v>56.387306976610255</c:v>
                </c:pt>
                <c:pt idx="3">
                  <c:v>54.648411628982409</c:v>
                </c:pt>
                <c:pt idx="4">
                  <c:v>51.58972055568033</c:v>
                </c:pt>
                <c:pt idx="5">
                  <c:v>51.189579961742304</c:v>
                </c:pt>
                <c:pt idx="6">
                  <c:v>51.89890542734085</c:v>
                </c:pt>
                <c:pt idx="7">
                  <c:v>52.146886489138964</c:v>
                </c:pt>
                <c:pt idx="8">
                  <c:v>55.811381562286101</c:v>
                </c:pt>
              </c:numCache>
            </c:numRef>
          </c:val>
          <c:smooth val="0"/>
          <c:extLst>
            <c:ext xmlns:c16="http://schemas.microsoft.com/office/drawing/2014/chart" uri="{C3380CC4-5D6E-409C-BE32-E72D297353CC}">
              <c16:uniqueId val="{00000001-6779-457A-A613-7299785F5CBB}"/>
            </c:ext>
          </c:extLst>
        </c:ser>
        <c:dLbls>
          <c:showLegendKey val="0"/>
          <c:showVal val="0"/>
          <c:showCatName val="0"/>
          <c:showSerName val="0"/>
          <c:showPercent val="0"/>
          <c:showBubbleSize val="0"/>
        </c:dLbls>
        <c:marker val="1"/>
        <c:smooth val="0"/>
        <c:axId val="1501978464"/>
        <c:axId val="1501984224"/>
      </c:lineChart>
      <c:lineChart>
        <c:grouping val="standard"/>
        <c:varyColors val="0"/>
        <c:ser>
          <c:idx val="1"/>
          <c:order val="1"/>
          <c:tx>
            <c:strRef>
              <c:f>'5A.2'!$B$15</c:f>
              <c:strCache>
                <c:ptCount val="1"/>
                <c:pt idx="0">
                  <c:v>VAT revenue to GDP (rhs)</c:v>
                </c:pt>
              </c:strCache>
            </c:strRef>
          </c:tx>
          <c:spPr>
            <a:ln w="28575" cap="rnd">
              <a:solidFill>
                <a:schemeClr val="accent2"/>
              </a:solidFill>
              <a:round/>
            </a:ln>
            <a:effectLst/>
          </c:spPr>
          <c:marker>
            <c:symbol val="none"/>
          </c:marker>
          <c:cat>
            <c:numRef>
              <c:f>'5A.2'!$C$13:$K$13</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'5A.2'!$C$15:$K$15</c:f>
              <c:numCache>
                <c:formatCode>General</c:formatCode>
                <c:ptCount val="9"/>
                <c:pt idx="0">
                  <c:v>7.3950331445715527</c:v>
                </c:pt>
                <c:pt idx="1">
                  <c:v>7.8209552153696835</c:v>
                </c:pt>
                <c:pt idx="2">
                  <c:v>7.5906314435130611</c:v>
                </c:pt>
                <c:pt idx="3">
                  <c:v>8.2661068689379906</c:v>
                </c:pt>
                <c:pt idx="4">
                  <c:v>8.4613256678253137</c:v>
                </c:pt>
                <c:pt idx="5">
                  <c:v>8.337085911191167</c:v>
                </c:pt>
                <c:pt idx="6">
                  <c:v>9.0616633216156792</c:v>
                </c:pt>
                <c:pt idx="7">
                  <c:v>8.8744391855609912</c:v>
                </c:pt>
                <c:pt idx="8">
                  <c:v>9.1790430984022766</c:v>
                </c:pt>
              </c:numCache>
            </c:numRef>
          </c:val>
          <c:smooth val="0"/>
          <c:extLst>
            <c:ext xmlns:c16="http://schemas.microsoft.com/office/drawing/2014/chart" uri="{C3380CC4-5D6E-409C-BE32-E72D297353CC}">
              <c16:uniqueId val="{00000002-6779-457A-A613-7299785F5CBB}"/>
            </c:ext>
          </c:extLst>
        </c:ser>
        <c:dLbls>
          <c:showLegendKey val="0"/>
          <c:showVal val="0"/>
          <c:showCatName val="0"/>
          <c:showSerName val="0"/>
          <c:showPercent val="0"/>
          <c:showBubbleSize val="0"/>
        </c:dLbls>
        <c:marker val="1"/>
        <c:smooth val="0"/>
        <c:axId val="582743008"/>
        <c:axId val="582758368"/>
      </c:lineChart>
      <c:catAx>
        <c:axId val="1501978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501984224"/>
        <c:crosses val="autoZero"/>
        <c:auto val="1"/>
        <c:lblAlgn val="ctr"/>
        <c:lblOffset val="100"/>
        <c:noMultiLvlLbl val="0"/>
      </c:catAx>
      <c:valAx>
        <c:axId val="1501984224"/>
        <c:scaling>
          <c:orientation val="minMax"/>
        </c:scaling>
        <c:delete val="0"/>
        <c:axPos val="l"/>
        <c:majorGridlines>
          <c:spPr>
            <a:ln w="9525" cap="flat" cmpd="sng" algn="ctr">
              <a:no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01978464"/>
        <c:crosses val="autoZero"/>
        <c:crossBetween val="between"/>
      </c:valAx>
      <c:valAx>
        <c:axId val="582758368"/>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2743008"/>
        <c:crosses val="max"/>
        <c:crossBetween val="between"/>
      </c:valAx>
      <c:catAx>
        <c:axId val="582743008"/>
        <c:scaling>
          <c:orientation val="minMax"/>
        </c:scaling>
        <c:delete val="1"/>
        <c:axPos val="b"/>
        <c:numFmt formatCode="General" sourceLinked="1"/>
        <c:majorTickMark val="out"/>
        <c:minorTickMark val="none"/>
        <c:tickLblPos val="nextTo"/>
        <c:crossAx val="582758368"/>
        <c:crosses val="autoZero"/>
        <c:auto val="1"/>
        <c:lblAlgn val="ctr"/>
        <c:lblOffset val="100"/>
        <c:noMultiLvlLbl val="0"/>
      </c:catAx>
      <c:spPr>
        <a:noFill/>
        <a:ln>
          <a:noFill/>
        </a:ln>
        <a:effectLst/>
      </c:spPr>
    </c:plotArea>
    <c:legend>
      <c:legendPos val="b"/>
      <c:layout>
        <c:manualLayout>
          <c:xMode val="edge"/>
          <c:yMode val="edge"/>
          <c:x val="9.7385677146651209E-2"/>
          <c:y val="0.36219523764348732"/>
          <c:w val="0.33967045093235082"/>
          <c:h val="0.51129873826012717"/>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243219597550306"/>
          <c:y val="7.0108349267049078E-2"/>
          <c:w val="0.75240056531395116"/>
          <c:h val="0.77155066419756801"/>
        </c:manualLayout>
      </c:layout>
      <c:barChart>
        <c:barDir val="col"/>
        <c:grouping val="clustered"/>
        <c:varyColors val="0"/>
        <c:ser>
          <c:idx val="2"/>
          <c:order val="2"/>
          <c:tx>
            <c:strRef>
              <c:f>Romania!$B$22</c:f>
              <c:strCache>
                <c:ptCount val="1"/>
                <c:pt idx="0">
                  <c:v>Standard rate vs. 2006 (percentage points, rhs)</c:v>
                </c:pt>
              </c:strCache>
            </c:strRef>
          </c:tx>
          <c:spPr>
            <a:solidFill>
              <a:schemeClr val="accent3"/>
            </a:solidFill>
            <a:ln>
              <a:noFill/>
            </a:ln>
            <a:effectLst/>
          </c:spPr>
          <c:invertIfNegative val="0"/>
          <c:cat>
            <c:strRef>
              <c:f>Romania!$I$19:$R$19</c:f>
              <c:strCache>
                <c:ptCount val="10"/>
                <c:pt idx="0">
                  <c:v>2006</c:v>
                </c:pt>
                <c:pt idx="1">
                  <c:v>2007</c:v>
                </c:pt>
                <c:pt idx="2">
                  <c:v>2008</c:v>
                </c:pt>
                <c:pt idx="3">
                  <c:v>2009</c:v>
                </c:pt>
                <c:pt idx="4">
                  <c:v>2010</c:v>
                </c:pt>
                <c:pt idx="5">
                  <c:v>2011</c:v>
                </c:pt>
                <c:pt idx="6">
                  <c:v>2012</c:v>
                </c:pt>
                <c:pt idx="7">
                  <c:v>2013</c:v>
                </c:pt>
                <c:pt idx="8">
                  <c:v>2014</c:v>
                </c:pt>
                <c:pt idx="9">
                  <c:v>2015</c:v>
                </c:pt>
              </c:strCache>
            </c:strRef>
          </c:cat>
          <c:val>
            <c:numRef>
              <c:f>Romania!$I$22:$R$22</c:f>
              <c:numCache>
                <c:formatCode>#\ ##0.##########</c:formatCode>
                <c:ptCount val="10"/>
                <c:pt idx="0">
                  <c:v>0</c:v>
                </c:pt>
                <c:pt idx="1">
                  <c:v>0</c:v>
                </c:pt>
                <c:pt idx="2">
                  <c:v>0</c:v>
                </c:pt>
                <c:pt idx="3">
                  <c:v>0</c:v>
                </c:pt>
                <c:pt idx="4">
                  <c:v>2.4999999999999996</c:v>
                </c:pt>
                <c:pt idx="5">
                  <c:v>4.9999999999999991</c:v>
                </c:pt>
                <c:pt idx="6">
                  <c:v>4.9999999999999991</c:v>
                </c:pt>
                <c:pt idx="7">
                  <c:v>4.9999999999999991</c:v>
                </c:pt>
                <c:pt idx="8">
                  <c:v>4.9999999999999991</c:v>
                </c:pt>
                <c:pt idx="9">
                  <c:v>4.9999999999999991</c:v>
                </c:pt>
              </c:numCache>
            </c:numRef>
          </c:val>
          <c:extLst>
            <c:ext xmlns:c16="http://schemas.microsoft.com/office/drawing/2014/chart" uri="{C3380CC4-5D6E-409C-BE32-E72D297353CC}">
              <c16:uniqueId val="{00000000-74A4-4038-BCF3-890E284CFC47}"/>
            </c:ext>
          </c:extLst>
        </c:ser>
        <c:dLbls>
          <c:showLegendKey val="0"/>
          <c:showVal val="0"/>
          <c:showCatName val="0"/>
          <c:showSerName val="0"/>
          <c:showPercent val="0"/>
          <c:showBubbleSize val="0"/>
        </c:dLbls>
        <c:gapWidth val="150"/>
        <c:axId val="208954319"/>
        <c:axId val="208952399"/>
      </c:barChart>
      <c:lineChart>
        <c:grouping val="standard"/>
        <c:varyColors val="0"/>
        <c:ser>
          <c:idx val="1"/>
          <c:order val="1"/>
          <c:tx>
            <c:strRef>
              <c:f>Romania!$B$21</c:f>
              <c:strCache>
                <c:ptCount val="1"/>
                <c:pt idx="0">
                  <c:v>C-efficiency (lhs)</c:v>
                </c:pt>
              </c:strCache>
            </c:strRef>
          </c:tx>
          <c:spPr>
            <a:ln w="28575" cap="rnd">
              <a:solidFill>
                <a:schemeClr val="accent2"/>
              </a:solidFill>
              <a:round/>
            </a:ln>
            <a:effectLst/>
          </c:spPr>
          <c:marker>
            <c:symbol val="none"/>
          </c:marker>
          <c:cat>
            <c:strRef>
              <c:f>Romania!$I$19:$R$19</c:f>
              <c:strCache>
                <c:ptCount val="10"/>
                <c:pt idx="0">
                  <c:v>2006</c:v>
                </c:pt>
                <c:pt idx="1">
                  <c:v>2007</c:v>
                </c:pt>
                <c:pt idx="2">
                  <c:v>2008</c:v>
                </c:pt>
                <c:pt idx="3">
                  <c:v>2009</c:v>
                </c:pt>
                <c:pt idx="4">
                  <c:v>2010</c:v>
                </c:pt>
                <c:pt idx="5">
                  <c:v>2011</c:v>
                </c:pt>
                <c:pt idx="6">
                  <c:v>2012</c:v>
                </c:pt>
                <c:pt idx="7">
                  <c:v>2013</c:v>
                </c:pt>
                <c:pt idx="8">
                  <c:v>2014</c:v>
                </c:pt>
                <c:pt idx="9">
                  <c:v>2015</c:v>
                </c:pt>
              </c:strCache>
            </c:strRef>
          </c:cat>
          <c:val>
            <c:numRef>
              <c:f>Romania!$I$21:$R$21</c:f>
              <c:numCache>
                <c:formatCode>General</c:formatCode>
                <c:ptCount val="10"/>
                <c:pt idx="0">
                  <c:v>54.630466266597502</c:v>
                </c:pt>
                <c:pt idx="1">
                  <c:v>55.526549108190849</c:v>
                </c:pt>
                <c:pt idx="2">
                  <c:v>54.849452385150762</c:v>
                </c:pt>
                <c:pt idx="3">
                  <c:v>45.23933267965802</c:v>
                </c:pt>
                <c:pt idx="4">
                  <c:v>47.755734741211761</c:v>
                </c:pt>
                <c:pt idx="5">
                  <c:v>49.252649366541398</c:v>
                </c:pt>
                <c:pt idx="6">
                  <c:v>46.638118615980744</c:v>
                </c:pt>
                <c:pt idx="7">
                  <c:v>50.615288535154768</c:v>
                </c:pt>
                <c:pt idx="8">
                  <c:v>46.931550307545493</c:v>
                </c:pt>
                <c:pt idx="9">
                  <c:v>50.031675798205363</c:v>
                </c:pt>
              </c:numCache>
            </c:numRef>
          </c:val>
          <c:smooth val="0"/>
          <c:extLst>
            <c:ext xmlns:c16="http://schemas.microsoft.com/office/drawing/2014/chart" uri="{C3380CC4-5D6E-409C-BE32-E72D297353CC}">
              <c16:uniqueId val="{00000001-74A4-4038-BCF3-890E284CFC47}"/>
            </c:ext>
          </c:extLst>
        </c:ser>
        <c:dLbls>
          <c:showLegendKey val="0"/>
          <c:showVal val="0"/>
          <c:showCatName val="0"/>
          <c:showSerName val="0"/>
          <c:showPercent val="0"/>
          <c:showBubbleSize val="0"/>
        </c:dLbls>
        <c:marker val="1"/>
        <c:smooth val="0"/>
        <c:axId val="307336399"/>
        <c:axId val="307337359"/>
      </c:lineChart>
      <c:lineChart>
        <c:grouping val="standard"/>
        <c:varyColors val="0"/>
        <c:ser>
          <c:idx val="0"/>
          <c:order val="0"/>
          <c:tx>
            <c:strRef>
              <c:f>Romania!$B$20</c:f>
              <c:strCache>
                <c:ptCount val="1"/>
                <c:pt idx="0">
                  <c:v>VAT revenue to GDP (rhs)</c:v>
                </c:pt>
              </c:strCache>
            </c:strRef>
          </c:tx>
          <c:spPr>
            <a:ln w="28575" cap="rnd">
              <a:solidFill>
                <a:schemeClr val="accent1"/>
              </a:solidFill>
              <a:round/>
            </a:ln>
            <a:effectLst/>
          </c:spPr>
          <c:marker>
            <c:symbol val="none"/>
          </c:marker>
          <c:cat>
            <c:strRef>
              <c:f>Romania!$I$19:$R$19</c:f>
              <c:strCache>
                <c:ptCount val="10"/>
                <c:pt idx="0">
                  <c:v>2006</c:v>
                </c:pt>
                <c:pt idx="1">
                  <c:v>2007</c:v>
                </c:pt>
                <c:pt idx="2">
                  <c:v>2008</c:v>
                </c:pt>
                <c:pt idx="3">
                  <c:v>2009</c:v>
                </c:pt>
                <c:pt idx="4">
                  <c:v>2010</c:v>
                </c:pt>
                <c:pt idx="5">
                  <c:v>2011</c:v>
                </c:pt>
                <c:pt idx="6">
                  <c:v>2012</c:v>
                </c:pt>
                <c:pt idx="7">
                  <c:v>2013</c:v>
                </c:pt>
                <c:pt idx="8">
                  <c:v>2014</c:v>
                </c:pt>
                <c:pt idx="9">
                  <c:v>2015</c:v>
                </c:pt>
              </c:strCache>
            </c:strRef>
          </c:cat>
          <c:val>
            <c:numRef>
              <c:f>Romania!$I$20:$R$20</c:f>
              <c:numCache>
                <c:formatCode>General</c:formatCode>
                <c:ptCount val="10"/>
                <c:pt idx="0">
                  <c:v>7.9625080748357249</c:v>
                </c:pt>
                <c:pt idx="1">
                  <c:v>7.8966873511345126</c:v>
                </c:pt>
                <c:pt idx="2">
                  <c:v>7.5286546340624829</c:v>
                </c:pt>
                <c:pt idx="3">
                  <c:v>6.2711088784871336</c:v>
                </c:pt>
                <c:pt idx="4">
                  <c:v>7.4009833261744529</c:v>
                </c:pt>
                <c:pt idx="5">
                  <c:v>8.238118923742082</c:v>
                </c:pt>
                <c:pt idx="6">
                  <c:v>7.8977288224645754</c:v>
                </c:pt>
                <c:pt idx="7">
                  <c:v>8.1926048545815444</c:v>
                </c:pt>
                <c:pt idx="8">
                  <c:v>7.6376007823420302</c:v>
                </c:pt>
                <c:pt idx="9">
                  <c:v>8.0724796272704484</c:v>
                </c:pt>
              </c:numCache>
            </c:numRef>
          </c:val>
          <c:smooth val="0"/>
          <c:extLst>
            <c:ext xmlns:c16="http://schemas.microsoft.com/office/drawing/2014/chart" uri="{C3380CC4-5D6E-409C-BE32-E72D297353CC}">
              <c16:uniqueId val="{00000002-74A4-4038-BCF3-890E284CFC47}"/>
            </c:ext>
          </c:extLst>
        </c:ser>
        <c:dLbls>
          <c:showLegendKey val="0"/>
          <c:showVal val="0"/>
          <c:showCatName val="0"/>
          <c:showSerName val="0"/>
          <c:showPercent val="0"/>
          <c:showBubbleSize val="0"/>
        </c:dLbls>
        <c:marker val="1"/>
        <c:smooth val="0"/>
        <c:axId val="208954319"/>
        <c:axId val="208952399"/>
      </c:lineChart>
      <c:catAx>
        <c:axId val="3073363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307337359"/>
        <c:crosses val="autoZero"/>
        <c:auto val="1"/>
        <c:lblAlgn val="ctr"/>
        <c:lblOffset val="100"/>
        <c:noMultiLvlLbl val="0"/>
      </c:catAx>
      <c:valAx>
        <c:axId val="307337359"/>
        <c:scaling>
          <c:orientation val="minMax"/>
          <c:max val="60"/>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ysClr val="window" lastClr="FFFFFF">
                <a:lumMod val="75000"/>
              </a:sys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7336399"/>
        <c:crosses val="autoZero"/>
        <c:crossBetween val="between"/>
      </c:valAx>
      <c:valAx>
        <c:axId val="208952399"/>
        <c:scaling>
          <c:orientation val="minMax"/>
        </c:scaling>
        <c:delete val="0"/>
        <c:axPos val="r"/>
        <c:numFmt formatCode="General" sourceLinked="0"/>
        <c:majorTickMark val="in"/>
        <c:minorTickMark val="none"/>
        <c:tickLblPos val="nextTo"/>
        <c:spPr>
          <a:noFill/>
          <a:ln>
            <a:solidFill>
              <a:sysClr val="window" lastClr="FFFFFF">
                <a:lumMod val="75000"/>
              </a:sys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8954319"/>
        <c:crosses val="max"/>
        <c:crossBetween val="between"/>
      </c:valAx>
      <c:catAx>
        <c:axId val="208954319"/>
        <c:scaling>
          <c:orientation val="minMax"/>
        </c:scaling>
        <c:delete val="1"/>
        <c:axPos val="b"/>
        <c:numFmt formatCode="General" sourceLinked="1"/>
        <c:majorTickMark val="out"/>
        <c:minorTickMark val="none"/>
        <c:tickLblPos val="nextTo"/>
        <c:crossAx val="208952399"/>
        <c:crosses val="autoZero"/>
        <c:auto val="1"/>
        <c:lblAlgn val="ctr"/>
        <c:lblOffset val="100"/>
        <c:noMultiLvlLbl val="0"/>
      </c:catAx>
      <c:spPr>
        <a:noFill/>
        <a:ln>
          <a:noFill/>
        </a:ln>
        <a:effectLst/>
      </c:spPr>
    </c:plotArea>
    <c:legend>
      <c:legendPos val="b"/>
      <c:layout>
        <c:manualLayout>
          <c:xMode val="edge"/>
          <c:yMode val="edge"/>
          <c:x val="0.10757318796688875"/>
          <c:y val="0.33287715230624859"/>
          <c:w val="0.32758833030486573"/>
          <c:h val="0.53894501237058556"/>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689407126675576"/>
          <c:y val="7.2297075254682874E-2"/>
          <c:w val="0.82708611783725139"/>
          <c:h val="0.73004675762884219"/>
        </c:manualLayout>
      </c:layout>
      <c:barChart>
        <c:barDir val="col"/>
        <c:grouping val="clustered"/>
        <c:varyColors val="0"/>
        <c:ser>
          <c:idx val="0"/>
          <c:order val="0"/>
          <c:tx>
            <c:strRef>
              <c:f>'CEECs vs Indonesia'!$Q$2</c:f>
              <c:strCache>
                <c:ptCount val="1"/>
                <c:pt idx="0">
                  <c:v>2013</c:v>
                </c:pt>
              </c:strCache>
            </c:strRef>
          </c:tx>
          <c:spPr>
            <a:solidFill>
              <a:schemeClr val="accent1"/>
            </a:solidFill>
            <a:ln>
              <a:noFill/>
            </a:ln>
            <a:effectLst/>
          </c:spPr>
          <c:invertIfNegative val="0"/>
          <c:cat>
            <c:strRef>
              <c:f>'CEECs vs Indonesia'!$P$4:$P$6</c:f>
              <c:strCache>
                <c:ptCount val="3"/>
                <c:pt idx="0">
                  <c:v>Latvia</c:v>
                </c:pt>
                <c:pt idx="1">
                  <c:v>Hungary</c:v>
                </c:pt>
                <c:pt idx="2">
                  <c:v>Poland</c:v>
                </c:pt>
              </c:strCache>
            </c:strRef>
          </c:cat>
          <c:val>
            <c:numRef>
              <c:f>'CEECs vs Indonesia'!$Q$4:$Q$6</c:f>
              <c:numCache>
                <c:formatCode>0.00%</c:formatCode>
                <c:ptCount val="3"/>
                <c:pt idx="0">
                  <c:v>7.4300281247669075E-2</c:v>
                </c:pt>
                <c:pt idx="1">
                  <c:v>8.8744391855609908E-2</c:v>
                </c:pt>
                <c:pt idx="2">
                  <c:v>7.1532489228965962E-2</c:v>
                </c:pt>
              </c:numCache>
            </c:numRef>
          </c:val>
          <c:extLst>
            <c:ext xmlns:c16="http://schemas.microsoft.com/office/drawing/2014/chart" uri="{C3380CC4-5D6E-409C-BE32-E72D297353CC}">
              <c16:uniqueId val="{00000000-52D8-4FE9-9920-5C91C23E2C9C}"/>
            </c:ext>
          </c:extLst>
        </c:ser>
        <c:ser>
          <c:idx val="1"/>
          <c:order val="1"/>
          <c:tx>
            <c:strRef>
              <c:f>'CEECs vs Indonesia'!$R$2</c:f>
              <c:strCache>
                <c:ptCount val="1"/>
                <c:pt idx="0">
                  <c:v>2021</c:v>
                </c:pt>
              </c:strCache>
            </c:strRef>
          </c:tx>
          <c:spPr>
            <a:solidFill>
              <a:schemeClr val="accent2"/>
            </a:solidFill>
            <a:ln>
              <a:noFill/>
            </a:ln>
            <a:effectLst/>
          </c:spPr>
          <c:invertIfNegative val="0"/>
          <c:cat>
            <c:strRef>
              <c:f>'CEECs vs Indonesia'!$P$4:$P$6</c:f>
              <c:strCache>
                <c:ptCount val="3"/>
                <c:pt idx="0">
                  <c:v>Latvia</c:v>
                </c:pt>
                <c:pt idx="1">
                  <c:v>Hungary</c:v>
                </c:pt>
                <c:pt idx="2">
                  <c:v>Poland</c:v>
                </c:pt>
              </c:strCache>
            </c:strRef>
          </c:cat>
          <c:val>
            <c:numRef>
              <c:f>'CEECs vs Indonesia'!$R$4:$R$6</c:f>
              <c:numCache>
                <c:formatCode>0.00%</c:formatCode>
                <c:ptCount val="3"/>
                <c:pt idx="0">
                  <c:v>8.4057807047839092E-2</c:v>
                </c:pt>
                <c:pt idx="1">
                  <c:v>9.8819037880198621E-2</c:v>
                </c:pt>
                <c:pt idx="2">
                  <c:v>8.5802052223160549E-2</c:v>
                </c:pt>
              </c:numCache>
            </c:numRef>
          </c:val>
          <c:extLst>
            <c:ext xmlns:c16="http://schemas.microsoft.com/office/drawing/2014/chart" uri="{C3380CC4-5D6E-409C-BE32-E72D297353CC}">
              <c16:uniqueId val="{00000001-52D8-4FE9-9920-5C91C23E2C9C}"/>
            </c:ext>
          </c:extLst>
        </c:ser>
        <c:dLbls>
          <c:showLegendKey val="0"/>
          <c:showVal val="0"/>
          <c:showCatName val="0"/>
          <c:showSerName val="0"/>
          <c:showPercent val="0"/>
          <c:showBubbleSize val="0"/>
        </c:dLbls>
        <c:gapWidth val="219"/>
        <c:overlap val="-27"/>
        <c:axId val="1892189520"/>
        <c:axId val="1892169360"/>
      </c:barChart>
      <c:catAx>
        <c:axId val="1892189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92169360"/>
        <c:crosses val="autoZero"/>
        <c:auto val="1"/>
        <c:lblAlgn val="ctr"/>
        <c:lblOffset val="100"/>
        <c:noMultiLvlLbl val="0"/>
      </c:catAx>
      <c:valAx>
        <c:axId val="1892169360"/>
        <c:scaling>
          <c:orientation val="minMax"/>
        </c:scaling>
        <c:delete val="0"/>
        <c:axPos val="l"/>
        <c:majorGridlines>
          <c:spPr>
            <a:ln w="9525" cap="flat" cmpd="sng" algn="ctr">
              <a:noFill/>
              <a:round/>
            </a:ln>
            <a:effectLst/>
          </c:spPr>
        </c:majorGridlines>
        <c:numFmt formatCode="0%" sourceLinked="0"/>
        <c:majorTickMark val="in"/>
        <c:minorTickMark val="none"/>
        <c:tickLblPos val="nextTo"/>
        <c:spPr>
          <a:noFill/>
          <a:ln>
            <a:solidFill>
              <a:schemeClr val="bg1">
                <a:lumMod val="7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92189520"/>
        <c:crosses val="autoZero"/>
        <c:crossBetween val="between"/>
      </c:valAx>
      <c:spPr>
        <a:noFill/>
        <a:ln>
          <a:noFill/>
        </a:ln>
        <a:effectLst/>
      </c:spPr>
    </c:plotArea>
    <c:legend>
      <c:legendPos val="b"/>
      <c:layout>
        <c:manualLayout>
          <c:xMode val="edge"/>
          <c:yMode val="edge"/>
          <c:x val="0.18280576519630545"/>
          <c:y val="7.799937007874011E-2"/>
          <c:w val="0.31143539583503621"/>
          <c:h val="9.000062992125984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016570420680923"/>
          <c:y val="5.6179775280898875E-2"/>
          <c:w val="0.78944492336992"/>
          <c:h val="0.71315459090072364"/>
        </c:manualLayout>
      </c:layout>
      <c:lineChart>
        <c:grouping val="standard"/>
        <c:varyColors val="0"/>
        <c:ser>
          <c:idx val="0"/>
          <c:order val="0"/>
          <c:tx>
            <c:strRef>
              <c:f>'Case study - CEECs'!$O$46</c:f>
              <c:strCache>
                <c:ptCount val="1"/>
                <c:pt idx="0">
                  <c:v>Latvia</c:v>
                </c:pt>
              </c:strCache>
            </c:strRef>
          </c:tx>
          <c:spPr>
            <a:ln w="28575" cap="rnd">
              <a:solidFill>
                <a:schemeClr val="accent1"/>
              </a:solidFill>
              <a:round/>
            </a:ln>
            <a:effectLst/>
          </c:spPr>
          <c:marker>
            <c:symbol val="none"/>
          </c:marker>
          <c:dLbls>
            <c:dLbl>
              <c:idx val="6"/>
              <c:layout>
                <c:manualLayout>
                  <c:x val="-0.10994044892349977"/>
                  <c:y val="-5.7788284738639374E-2"/>
                </c:manualLayout>
              </c:layout>
              <c:tx>
                <c:rich>
                  <a:bodyPr/>
                  <a:lstStyle/>
                  <a:p>
                    <a:fld id="{8D15E876-E876-4FE4-A281-A3EA3D8C0C6B}" type="SERIESNAME">
                      <a:rPr lang="en-US"/>
                      <a:pPr/>
                      <a:t>[SERIES NAME]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4BEF-47E8-B938-82A57FD63E6C}"/>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'Case study - CEECs'!$P$45:$X$45</c:f>
              <c:strCache>
                <c:ptCount val="9"/>
                <c:pt idx="0">
                  <c:v>2013</c:v>
                </c:pt>
                <c:pt idx="1">
                  <c:v>2014</c:v>
                </c:pt>
                <c:pt idx="2">
                  <c:v>2015</c:v>
                </c:pt>
                <c:pt idx="3">
                  <c:v>2016</c:v>
                </c:pt>
                <c:pt idx="4">
                  <c:v>2017</c:v>
                </c:pt>
                <c:pt idx="5">
                  <c:v>2018</c:v>
                </c:pt>
                <c:pt idx="6">
                  <c:v>2019</c:v>
                </c:pt>
                <c:pt idx="7">
                  <c:v>2020</c:v>
                </c:pt>
                <c:pt idx="8">
                  <c:v>2021</c:v>
                </c:pt>
              </c:strCache>
            </c:strRef>
          </c:cat>
          <c:val>
            <c:numRef>
              <c:f>'Case study - CEECs'!$P$46:$X$46</c:f>
              <c:numCache>
                <c:formatCode>0.00%</c:formatCode>
                <c:ptCount val="9"/>
                <c:pt idx="0">
                  <c:v>1</c:v>
                </c:pt>
                <c:pt idx="1">
                  <c:v>1.0181704170920043</c:v>
                </c:pt>
                <c:pt idx="2">
                  <c:v>1.0277075493714609</c:v>
                </c:pt>
                <c:pt idx="3">
                  <c:v>1.0779299164039495</c:v>
                </c:pt>
                <c:pt idx="4">
                  <c:v>1.0791798342770687</c:v>
                </c:pt>
                <c:pt idx="5">
                  <c:v>1.1306387604861812</c:v>
                </c:pt>
                <c:pt idx="6">
                  <c:v>1.154806950493086</c:v>
                </c:pt>
                <c:pt idx="7">
                  <c:v>1.1422782028432683</c:v>
                </c:pt>
                <c:pt idx="8">
                  <c:v>1.1313255567316729</c:v>
                </c:pt>
              </c:numCache>
            </c:numRef>
          </c:val>
          <c:smooth val="0"/>
          <c:extLst>
            <c:ext xmlns:c16="http://schemas.microsoft.com/office/drawing/2014/chart" uri="{C3380CC4-5D6E-409C-BE32-E72D297353CC}">
              <c16:uniqueId val="{00000001-4BEF-47E8-B938-82A57FD63E6C}"/>
            </c:ext>
          </c:extLst>
        </c:ser>
        <c:ser>
          <c:idx val="1"/>
          <c:order val="1"/>
          <c:tx>
            <c:strRef>
              <c:f>'Case study - CEECs'!$O$47</c:f>
              <c:strCache>
                <c:ptCount val="1"/>
                <c:pt idx="0">
                  <c:v>Hungary</c:v>
                </c:pt>
              </c:strCache>
            </c:strRef>
          </c:tx>
          <c:spPr>
            <a:ln w="28575" cap="rnd">
              <a:solidFill>
                <a:schemeClr val="accent2"/>
              </a:solidFill>
              <a:round/>
            </a:ln>
            <a:effectLst/>
          </c:spPr>
          <c:marker>
            <c:symbol val="none"/>
          </c:marker>
          <c:dLbls>
            <c:dLbl>
              <c:idx val="6"/>
              <c:tx>
                <c:rich>
                  <a:bodyPr/>
                  <a:lstStyle/>
                  <a:p>
                    <a:fld id="{C88A7871-A787-41BA-8398-632E23F61F86}" type="SERIESNAME">
                      <a:rPr lang="en-US" b="1">
                        <a:solidFill>
                          <a:schemeClr val="accent4"/>
                        </a:solidFill>
                      </a:rPr>
                      <a:pPr/>
                      <a:t>[SERIES NAME]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4BEF-47E8-B938-82A57FD63E6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'Case study - CEECs'!$P$45:$X$45</c:f>
              <c:strCache>
                <c:ptCount val="9"/>
                <c:pt idx="0">
                  <c:v>2013</c:v>
                </c:pt>
                <c:pt idx="1">
                  <c:v>2014</c:v>
                </c:pt>
                <c:pt idx="2">
                  <c:v>2015</c:v>
                </c:pt>
                <c:pt idx="3">
                  <c:v>2016</c:v>
                </c:pt>
                <c:pt idx="4">
                  <c:v>2017</c:v>
                </c:pt>
                <c:pt idx="5">
                  <c:v>2018</c:v>
                </c:pt>
                <c:pt idx="6">
                  <c:v>2019</c:v>
                </c:pt>
                <c:pt idx="7">
                  <c:v>2020</c:v>
                </c:pt>
                <c:pt idx="8">
                  <c:v>2021</c:v>
                </c:pt>
              </c:strCache>
            </c:strRef>
          </c:cat>
          <c:val>
            <c:numRef>
              <c:f>'Case study - CEECs'!$P$47:$X$47</c:f>
              <c:numCache>
                <c:formatCode>0.00%</c:formatCode>
                <c:ptCount val="9"/>
                <c:pt idx="0">
                  <c:v>1</c:v>
                </c:pt>
                <c:pt idx="1">
                  <c:v>1.034323736573336</c:v>
                </c:pt>
                <c:pt idx="2">
                  <c:v>1.0665694315175642</c:v>
                </c:pt>
                <c:pt idx="3">
                  <c:v>1.0269804678551544</c:v>
                </c:pt>
                <c:pt idx="4">
                  <c:v>1.0404933195326538</c:v>
                </c:pt>
                <c:pt idx="5">
                  <c:v>1.0725140898307104</c:v>
                </c:pt>
                <c:pt idx="6">
                  <c:v>1.0699460033462933</c:v>
                </c:pt>
                <c:pt idx="7">
                  <c:v>1.097628267000176</c:v>
                </c:pt>
                <c:pt idx="8">
                  <c:v>1.1135243119472891</c:v>
                </c:pt>
              </c:numCache>
            </c:numRef>
          </c:val>
          <c:smooth val="0"/>
          <c:extLst>
            <c:ext xmlns:c16="http://schemas.microsoft.com/office/drawing/2014/chart" uri="{C3380CC4-5D6E-409C-BE32-E72D297353CC}">
              <c16:uniqueId val="{00000003-4BEF-47E8-B938-82A57FD63E6C}"/>
            </c:ext>
          </c:extLst>
        </c:ser>
        <c:ser>
          <c:idx val="2"/>
          <c:order val="2"/>
          <c:tx>
            <c:strRef>
              <c:f>'Case study - CEECs'!$O$48</c:f>
              <c:strCache>
                <c:ptCount val="1"/>
                <c:pt idx="0">
                  <c:v>Poland</c:v>
                </c:pt>
              </c:strCache>
            </c:strRef>
          </c:tx>
          <c:spPr>
            <a:ln w="28575" cap="rnd">
              <a:solidFill>
                <a:srgbClr val="00B050"/>
              </a:solidFill>
              <a:round/>
            </a:ln>
            <a:effectLst/>
          </c:spPr>
          <c:marker>
            <c:symbol val="none"/>
          </c:marker>
          <c:dLbls>
            <c:dLbl>
              <c:idx val="8"/>
              <c:layout>
                <c:manualLayout>
                  <c:x val="-5.4970224461749886E-2"/>
                  <c:y val="-3.1520882584712383E-2"/>
                </c:manualLayout>
              </c:layout>
              <c:tx>
                <c:rich>
                  <a:bodyPr rot="0" spcFirstLastPara="1" vertOverflow="ellipsis" vert="horz" wrap="square" lIns="38100" tIns="19050" rIns="38100" bIns="19050" anchor="ctr" anchorCtr="1">
                    <a:spAutoFit/>
                  </a:bodyPr>
                  <a:lstStyle/>
                  <a:p>
                    <a:pPr>
                      <a:defRPr sz="900" b="1" i="0" u="none" strike="noStrike" kern="1200" baseline="0">
                        <a:solidFill>
                          <a:srgbClr val="00B050"/>
                        </a:solidFill>
                        <a:latin typeface="+mn-lt"/>
                        <a:ea typeface="+mn-ea"/>
                        <a:cs typeface="+mn-cs"/>
                      </a:defRPr>
                    </a:pPr>
                    <a:fld id="{94C1A217-C0D2-45F8-AC08-E788B3E647C7}" type="SERIESNAME">
                      <a:rPr lang="en-US" b="1">
                        <a:solidFill>
                          <a:srgbClr val="00B050"/>
                        </a:solidFill>
                      </a:rPr>
                      <a:pPr>
                        <a:defRPr b="1">
                          <a:solidFill>
                            <a:srgbClr val="00B050"/>
                          </a:solidFill>
                        </a:defRPr>
                      </a:pPr>
                      <a:t>[SERIES NAME]</a:t>
                    </a:fld>
                    <a:endParaRPr lang="en-US"/>
                  </a:p>
                </c:rich>
              </c:tx>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00B05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4BEF-47E8-B938-82A57FD63E6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'Case study - CEECs'!$P$45:$X$45</c:f>
              <c:strCache>
                <c:ptCount val="9"/>
                <c:pt idx="0">
                  <c:v>2013</c:v>
                </c:pt>
                <c:pt idx="1">
                  <c:v>2014</c:v>
                </c:pt>
                <c:pt idx="2">
                  <c:v>2015</c:v>
                </c:pt>
                <c:pt idx="3">
                  <c:v>2016</c:v>
                </c:pt>
                <c:pt idx="4">
                  <c:v>2017</c:v>
                </c:pt>
                <c:pt idx="5">
                  <c:v>2018</c:v>
                </c:pt>
                <c:pt idx="6">
                  <c:v>2019</c:v>
                </c:pt>
                <c:pt idx="7">
                  <c:v>2020</c:v>
                </c:pt>
                <c:pt idx="8">
                  <c:v>2021</c:v>
                </c:pt>
              </c:strCache>
            </c:strRef>
          </c:cat>
          <c:val>
            <c:numRef>
              <c:f>'Case study - CEECs'!$P$48:$X$48</c:f>
              <c:numCache>
                <c:formatCode>0.00%</c:formatCode>
                <c:ptCount val="9"/>
                <c:pt idx="0">
                  <c:v>1</c:v>
                </c:pt>
                <c:pt idx="1">
                  <c:v>1.0084378361078048</c:v>
                </c:pt>
                <c:pt idx="2">
                  <c:v>0.97859186518165542</c:v>
                </c:pt>
                <c:pt idx="3">
                  <c:v>1.0155296205256228</c:v>
                </c:pt>
                <c:pt idx="4">
                  <c:v>1.0906668460704481</c:v>
                </c:pt>
                <c:pt idx="5">
                  <c:v>1.1324637589330504</c:v>
                </c:pt>
                <c:pt idx="6">
                  <c:v>1.11267674014469</c:v>
                </c:pt>
                <c:pt idx="7">
                  <c:v>1.1120951138695547</c:v>
                </c:pt>
                <c:pt idx="8">
                  <c:v>1.1994836632697015</c:v>
                </c:pt>
              </c:numCache>
            </c:numRef>
          </c:val>
          <c:smooth val="0"/>
          <c:extLst>
            <c:ext xmlns:c16="http://schemas.microsoft.com/office/drawing/2014/chart" uri="{C3380CC4-5D6E-409C-BE32-E72D297353CC}">
              <c16:uniqueId val="{00000005-4BEF-47E8-B938-82A57FD63E6C}"/>
            </c:ext>
          </c:extLst>
        </c:ser>
        <c:ser>
          <c:idx val="4"/>
          <c:order val="3"/>
          <c:tx>
            <c:strRef>
              <c:f>'Case study - CEECs'!$O$50</c:f>
              <c:strCache>
                <c:ptCount val="1"/>
                <c:pt idx="0">
                  <c:v>100%</c:v>
                </c:pt>
              </c:strCache>
            </c:strRef>
          </c:tx>
          <c:spPr>
            <a:ln w="28575" cap="rnd">
              <a:solidFill>
                <a:schemeClr val="bg1">
                  <a:lumMod val="85000"/>
                </a:schemeClr>
              </a:solidFill>
              <a:prstDash val="sysDash"/>
              <a:round/>
            </a:ln>
            <a:effectLst/>
          </c:spPr>
          <c:marker>
            <c:symbol val="none"/>
          </c:marker>
          <c:cat>
            <c:strRef>
              <c:f>'Case study - CEECs'!$P$45:$X$45</c:f>
              <c:strCache>
                <c:ptCount val="9"/>
                <c:pt idx="0">
                  <c:v>2013</c:v>
                </c:pt>
                <c:pt idx="1">
                  <c:v>2014</c:v>
                </c:pt>
                <c:pt idx="2">
                  <c:v>2015</c:v>
                </c:pt>
                <c:pt idx="3">
                  <c:v>2016</c:v>
                </c:pt>
                <c:pt idx="4">
                  <c:v>2017</c:v>
                </c:pt>
                <c:pt idx="5">
                  <c:v>2018</c:v>
                </c:pt>
                <c:pt idx="6">
                  <c:v>2019</c:v>
                </c:pt>
                <c:pt idx="7">
                  <c:v>2020</c:v>
                </c:pt>
                <c:pt idx="8">
                  <c:v>2021</c:v>
                </c:pt>
              </c:strCache>
            </c:strRef>
          </c:cat>
          <c:val>
            <c:numRef>
              <c:f>'Case study - CEECs'!$P$50:$X$50</c:f>
              <c:numCache>
                <c:formatCode>0.00%</c:formatCode>
                <c:ptCount val="9"/>
                <c:pt idx="0">
                  <c:v>1</c:v>
                </c:pt>
                <c:pt idx="1">
                  <c:v>1</c:v>
                </c:pt>
                <c:pt idx="2">
                  <c:v>1</c:v>
                </c:pt>
                <c:pt idx="3">
                  <c:v>1</c:v>
                </c:pt>
                <c:pt idx="4">
                  <c:v>1</c:v>
                </c:pt>
                <c:pt idx="5">
                  <c:v>1</c:v>
                </c:pt>
                <c:pt idx="6">
                  <c:v>1</c:v>
                </c:pt>
                <c:pt idx="7">
                  <c:v>1</c:v>
                </c:pt>
                <c:pt idx="8">
                  <c:v>1</c:v>
                </c:pt>
              </c:numCache>
            </c:numRef>
          </c:val>
          <c:smooth val="0"/>
          <c:extLst>
            <c:ext xmlns:c16="http://schemas.microsoft.com/office/drawing/2014/chart" uri="{C3380CC4-5D6E-409C-BE32-E72D297353CC}">
              <c16:uniqueId val="{00000006-4BEF-47E8-B938-82A57FD63E6C}"/>
            </c:ext>
          </c:extLst>
        </c:ser>
        <c:dLbls>
          <c:showLegendKey val="0"/>
          <c:showVal val="0"/>
          <c:showCatName val="0"/>
          <c:showSerName val="0"/>
          <c:showPercent val="0"/>
          <c:showBubbleSize val="0"/>
        </c:dLbls>
        <c:smooth val="0"/>
        <c:axId val="60963967"/>
        <c:axId val="60975967"/>
      </c:lineChart>
      <c:catAx>
        <c:axId val="609639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975967"/>
        <c:crosses val="autoZero"/>
        <c:auto val="1"/>
        <c:lblAlgn val="ctr"/>
        <c:lblOffset val="100"/>
        <c:noMultiLvlLbl val="0"/>
      </c:catAx>
      <c:valAx>
        <c:axId val="60975967"/>
        <c:scaling>
          <c:orientation val="minMax"/>
          <c:min val="0.9"/>
        </c:scaling>
        <c:delete val="0"/>
        <c:axPos val="l"/>
        <c:majorGridlines>
          <c:spPr>
            <a:ln w="9525" cap="flat" cmpd="sng" algn="ctr">
              <a:noFill/>
              <a:round/>
            </a:ln>
            <a:effectLst/>
          </c:spPr>
        </c:majorGridlines>
        <c:numFmt formatCode="0%" sourceLinked="0"/>
        <c:majorTickMark val="in"/>
        <c:minorTickMark val="none"/>
        <c:tickLblPos val="nextTo"/>
        <c:spPr>
          <a:noFill/>
          <a:ln>
            <a:solidFill>
              <a:schemeClr val="bg1">
                <a:lumMod val="7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963967"/>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248173370220615"/>
          <c:y val="3.1874241526260838E-2"/>
          <c:w val="0.85326718269951041"/>
          <c:h val="0.86550884436148778"/>
        </c:manualLayout>
      </c:layout>
      <c:lineChart>
        <c:grouping val="standard"/>
        <c:varyColors val="0"/>
        <c:ser>
          <c:idx val="0"/>
          <c:order val="0"/>
          <c:tx>
            <c:strRef>
              <c:f>Sheet2!$A$2</c:f>
              <c:strCache>
                <c:ptCount val="1"/>
                <c:pt idx="0">
                  <c:v>1981</c:v>
                </c:pt>
              </c:strCache>
            </c:strRef>
          </c:tx>
          <c:spPr>
            <a:ln w="28575" cap="rnd">
              <a:solidFill>
                <a:schemeClr val="accent6">
                  <a:lumMod val="40000"/>
                  <a:lumOff val="60000"/>
                </a:schemeClr>
              </a:solidFill>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Sheet2!$B$2:$AP$2</c:f>
              <c:numCache>
                <c:formatCode>0%</c:formatCode>
                <c:ptCount val="41"/>
                <c:pt idx="0">
                  <c:v>0.2</c:v>
                </c:pt>
                <c:pt idx="1">
                  <c:v>0.2</c:v>
                </c:pt>
                <c:pt idx="2">
                  <c:v>0.2</c:v>
                </c:pt>
                <c:pt idx="3">
                  <c:v>0.2</c:v>
                </c:pt>
                <c:pt idx="4">
                  <c:v>0.2</c:v>
                </c:pt>
                <c:pt idx="5">
                  <c:v>0.2</c:v>
                </c:pt>
                <c:pt idx="6">
                  <c:v>0.3</c:v>
                </c:pt>
                <c:pt idx="7">
                  <c:v>0.3</c:v>
                </c:pt>
                <c:pt idx="8">
                  <c:v>0.3</c:v>
                </c:pt>
                <c:pt idx="9">
                  <c:v>0.3</c:v>
                </c:pt>
                <c:pt idx="10">
                  <c:v>0.3</c:v>
                </c:pt>
                <c:pt idx="11">
                  <c:v>0.45</c:v>
                </c:pt>
                <c:pt idx="12">
                  <c:v>0.45</c:v>
                </c:pt>
                <c:pt idx="13">
                  <c:v>0.45</c:v>
                </c:pt>
                <c:pt idx="14">
                  <c:v>0.45</c:v>
                </c:pt>
                <c:pt idx="15">
                  <c:v>0.45</c:v>
                </c:pt>
                <c:pt idx="16">
                  <c:v>0.45</c:v>
                </c:pt>
                <c:pt idx="17">
                  <c:v>0.45</c:v>
                </c:pt>
                <c:pt idx="18">
                  <c:v>0.45</c:v>
                </c:pt>
                <c:pt idx="19">
                  <c:v>0.45</c:v>
                </c:pt>
                <c:pt idx="20">
                  <c:v>0.45</c:v>
                </c:pt>
                <c:pt idx="21">
                  <c:v>0.45</c:v>
                </c:pt>
                <c:pt idx="22">
                  <c:v>0.45</c:v>
                </c:pt>
                <c:pt idx="23">
                  <c:v>0.45</c:v>
                </c:pt>
                <c:pt idx="24">
                  <c:v>0.45</c:v>
                </c:pt>
                <c:pt idx="25">
                  <c:v>0.45</c:v>
                </c:pt>
                <c:pt idx="26">
                  <c:v>0.45</c:v>
                </c:pt>
                <c:pt idx="27">
                  <c:v>0.45</c:v>
                </c:pt>
                <c:pt idx="28">
                  <c:v>0.45</c:v>
                </c:pt>
                <c:pt idx="29">
                  <c:v>0.45</c:v>
                </c:pt>
                <c:pt idx="30">
                  <c:v>0.45</c:v>
                </c:pt>
                <c:pt idx="31">
                  <c:v>0.45</c:v>
                </c:pt>
                <c:pt idx="32">
                  <c:v>0.45</c:v>
                </c:pt>
                <c:pt idx="33">
                  <c:v>0.45</c:v>
                </c:pt>
                <c:pt idx="34">
                  <c:v>0.45</c:v>
                </c:pt>
                <c:pt idx="35">
                  <c:v>0.45</c:v>
                </c:pt>
                <c:pt idx="36">
                  <c:v>0.45</c:v>
                </c:pt>
                <c:pt idx="37">
                  <c:v>0.45</c:v>
                </c:pt>
                <c:pt idx="38">
                  <c:v>0.45</c:v>
                </c:pt>
                <c:pt idx="39">
                  <c:v>0.45</c:v>
                </c:pt>
                <c:pt idx="40">
                  <c:v>0.45</c:v>
                </c:pt>
              </c:numCache>
            </c:numRef>
          </c:val>
          <c:smooth val="0"/>
          <c:extLst>
            <c:ext xmlns:c16="http://schemas.microsoft.com/office/drawing/2014/chart" uri="{C3380CC4-5D6E-409C-BE32-E72D297353CC}">
              <c16:uniqueId val="{00000000-8425-4959-8CEF-3A6600E00B4E}"/>
            </c:ext>
          </c:extLst>
        </c:ser>
        <c:ser>
          <c:idx val="1"/>
          <c:order val="1"/>
          <c:tx>
            <c:strRef>
              <c:f>Sheet2!$A$3</c:f>
              <c:strCache>
                <c:ptCount val="1"/>
                <c:pt idx="0">
                  <c:v>1984</c:v>
                </c:pt>
              </c:strCache>
            </c:strRef>
          </c:tx>
          <c:spPr>
            <a:ln w="28575" cap="rnd">
              <a:solidFill>
                <a:srgbClr val="FFD286"/>
              </a:solidFill>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Sheet2!$B$3:$AP$3</c:f>
              <c:numCache>
                <c:formatCode>0%</c:formatCode>
                <c:ptCount val="41"/>
                <c:pt idx="0">
                  <c:v>0.15</c:v>
                </c:pt>
                <c:pt idx="1">
                  <c:v>0.15</c:v>
                </c:pt>
                <c:pt idx="2">
                  <c:v>0.15</c:v>
                </c:pt>
                <c:pt idx="3">
                  <c:v>0.25</c:v>
                </c:pt>
                <c:pt idx="4">
                  <c:v>0.25</c:v>
                </c:pt>
                <c:pt idx="5">
                  <c:v>0.25</c:v>
                </c:pt>
                <c:pt idx="6">
                  <c:v>0.25</c:v>
                </c:pt>
                <c:pt idx="7">
                  <c:v>0.25</c:v>
                </c:pt>
                <c:pt idx="8">
                  <c:v>0.25</c:v>
                </c:pt>
                <c:pt idx="9">
                  <c:v>0.25</c:v>
                </c:pt>
                <c:pt idx="10">
                  <c:v>0.25</c:v>
                </c:pt>
                <c:pt idx="11">
                  <c:v>0.35</c:v>
                </c:pt>
                <c:pt idx="12">
                  <c:v>0.35</c:v>
                </c:pt>
                <c:pt idx="13">
                  <c:v>0.35</c:v>
                </c:pt>
                <c:pt idx="14">
                  <c:v>0.35</c:v>
                </c:pt>
                <c:pt idx="15">
                  <c:v>0.35</c:v>
                </c:pt>
                <c:pt idx="16">
                  <c:v>0.35</c:v>
                </c:pt>
                <c:pt idx="17">
                  <c:v>0.35</c:v>
                </c:pt>
                <c:pt idx="18">
                  <c:v>0.35</c:v>
                </c:pt>
                <c:pt idx="19">
                  <c:v>0.35</c:v>
                </c:pt>
                <c:pt idx="20">
                  <c:v>0.35</c:v>
                </c:pt>
                <c:pt idx="21">
                  <c:v>0.35</c:v>
                </c:pt>
                <c:pt idx="22">
                  <c:v>0.35</c:v>
                </c:pt>
                <c:pt idx="23">
                  <c:v>0.35</c:v>
                </c:pt>
                <c:pt idx="24">
                  <c:v>0.35</c:v>
                </c:pt>
                <c:pt idx="25">
                  <c:v>0.35</c:v>
                </c:pt>
                <c:pt idx="26">
                  <c:v>0.35</c:v>
                </c:pt>
                <c:pt idx="27">
                  <c:v>0.35</c:v>
                </c:pt>
                <c:pt idx="28">
                  <c:v>0.35</c:v>
                </c:pt>
                <c:pt idx="29">
                  <c:v>0.35</c:v>
                </c:pt>
                <c:pt idx="30">
                  <c:v>0.35</c:v>
                </c:pt>
                <c:pt idx="31">
                  <c:v>0.35</c:v>
                </c:pt>
                <c:pt idx="32">
                  <c:v>0.35</c:v>
                </c:pt>
                <c:pt idx="33">
                  <c:v>0.35</c:v>
                </c:pt>
                <c:pt idx="34">
                  <c:v>0.35</c:v>
                </c:pt>
                <c:pt idx="35">
                  <c:v>0.35</c:v>
                </c:pt>
                <c:pt idx="36">
                  <c:v>0.35</c:v>
                </c:pt>
                <c:pt idx="37">
                  <c:v>0.35</c:v>
                </c:pt>
                <c:pt idx="38">
                  <c:v>0.35</c:v>
                </c:pt>
                <c:pt idx="39">
                  <c:v>0.35</c:v>
                </c:pt>
                <c:pt idx="40">
                  <c:v>0.35</c:v>
                </c:pt>
              </c:numCache>
            </c:numRef>
          </c:val>
          <c:smooth val="0"/>
          <c:extLst>
            <c:ext xmlns:c16="http://schemas.microsoft.com/office/drawing/2014/chart" uri="{C3380CC4-5D6E-409C-BE32-E72D297353CC}">
              <c16:uniqueId val="{00000001-8425-4959-8CEF-3A6600E00B4E}"/>
            </c:ext>
          </c:extLst>
        </c:ser>
        <c:ser>
          <c:idx val="2"/>
          <c:order val="2"/>
          <c:tx>
            <c:strRef>
              <c:f>Sheet2!$A$4</c:f>
              <c:strCache>
                <c:ptCount val="1"/>
                <c:pt idx="0">
                  <c:v>1994</c:v>
                </c:pt>
              </c:strCache>
            </c:strRef>
          </c:tx>
          <c:spPr>
            <a:ln w="28575" cap="rnd">
              <a:solidFill>
                <a:srgbClr val="FFA47E"/>
              </a:solidFill>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Sheet2!$B$4:$AP$4</c:f>
              <c:numCache>
                <c:formatCode>0%</c:formatCode>
                <c:ptCount val="41"/>
                <c:pt idx="0">
                  <c:v>0.1</c:v>
                </c:pt>
                <c:pt idx="1">
                  <c:v>0.1</c:v>
                </c:pt>
                <c:pt idx="2">
                  <c:v>0.1</c:v>
                </c:pt>
                <c:pt idx="3">
                  <c:v>0.1</c:v>
                </c:pt>
                <c:pt idx="4">
                  <c:v>0.1</c:v>
                </c:pt>
                <c:pt idx="5">
                  <c:v>0.1</c:v>
                </c:pt>
                <c:pt idx="6">
                  <c:v>0.15</c:v>
                </c:pt>
                <c:pt idx="7">
                  <c:v>0.15</c:v>
                </c:pt>
                <c:pt idx="8">
                  <c:v>0.15</c:v>
                </c:pt>
                <c:pt idx="9">
                  <c:v>0.15</c:v>
                </c:pt>
                <c:pt idx="10">
                  <c:v>0.15</c:v>
                </c:pt>
                <c:pt idx="11">
                  <c:v>0.3</c:v>
                </c:pt>
                <c:pt idx="12">
                  <c:v>0.3</c:v>
                </c:pt>
                <c:pt idx="13">
                  <c:v>0.3</c:v>
                </c:pt>
                <c:pt idx="14">
                  <c:v>0.3</c:v>
                </c:pt>
                <c:pt idx="15">
                  <c:v>0.3</c:v>
                </c:pt>
                <c:pt idx="16">
                  <c:v>0.3</c:v>
                </c:pt>
                <c:pt idx="17">
                  <c:v>0.3</c:v>
                </c:pt>
                <c:pt idx="18">
                  <c:v>0.3</c:v>
                </c:pt>
                <c:pt idx="19">
                  <c:v>0.3</c:v>
                </c:pt>
                <c:pt idx="20">
                  <c:v>0.3</c:v>
                </c:pt>
                <c:pt idx="21">
                  <c:v>0.3</c:v>
                </c:pt>
                <c:pt idx="22">
                  <c:v>0.3</c:v>
                </c:pt>
                <c:pt idx="23">
                  <c:v>0.3</c:v>
                </c:pt>
                <c:pt idx="24">
                  <c:v>0.3</c:v>
                </c:pt>
                <c:pt idx="25">
                  <c:v>0.3</c:v>
                </c:pt>
                <c:pt idx="26">
                  <c:v>0.3</c:v>
                </c:pt>
                <c:pt idx="27">
                  <c:v>0.3</c:v>
                </c:pt>
                <c:pt idx="28">
                  <c:v>0.3</c:v>
                </c:pt>
                <c:pt idx="29">
                  <c:v>0.3</c:v>
                </c:pt>
                <c:pt idx="30">
                  <c:v>0.3</c:v>
                </c:pt>
                <c:pt idx="31">
                  <c:v>0.3</c:v>
                </c:pt>
                <c:pt idx="32">
                  <c:v>0.3</c:v>
                </c:pt>
                <c:pt idx="33">
                  <c:v>0.3</c:v>
                </c:pt>
                <c:pt idx="34">
                  <c:v>0.3</c:v>
                </c:pt>
                <c:pt idx="35">
                  <c:v>0.3</c:v>
                </c:pt>
                <c:pt idx="36">
                  <c:v>0.3</c:v>
                </c:pt>
                <c:pt idx="37">
                  <c:v>0.3</c:v>
                </c:pt>
                <c:pt idx="38">
                  <c:v>0.3</c:v>
                </c:pt>
                <c:pt idx="39">
                  <c:v>0.3</c:v>
                </c:pt>
                <c:pt idx="40">
                  <c:v>0.3</c:v>
                </c:pt>
              </c:numCache>
            </c:numRef>
          </c:val>
          <c:smooth val="0"/>
          <c:extLst>
            <c:ext xmlns:c16="http://schemas.microsoft.com/office/drawing/2014/chart" uri="{C3380CC4-5D6E-409C-BE32-E72D297353CC}">
              <c16:uniqueId val="{00000002-8425-4959-8CEF-3A6600E00B4E}"/>
            </c:ext>
          </c:extLst>
        </c:ser>
        <c:ser>
          <c:idx val="3"/>
          <c:order val="3"/>
          <c:tx>
            <c:strRef>
              <c:f>Sheet2!$A$5</c:f>
              <c:strCache>
                <c:ptCount val="1"/>
                <c:pt idx="0">
                  <c:v>2000</c:v>
                </c:pt>
              </c:strCache>
            </c:strRef>
          </c:tx>
          <c:spPr>
            <a:ln w="28575" cap="rnd">
              <a:solidFill>
                <a:srgbClr val="F47B89"/>
              </a:solidFill>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Sheet2!$B$5:$AP$5</c:f>
              <c:numCache>
                <c:formatCode>0%</c:formatCode>
                <c:ptCount val="41"/>
                <c:pt idx="0">
                  <c:v>0.1</c:v>
                </c:pt>
                <c:pt idx="1">
                  <c:v>0.1</c:v>
                </c:pt>
                <c:pt idx="2">
                  <c:v>0.1</c:v>
                </c:pt>
                <c:pt idx="3">
                  <c:v>0.1</c:v>
                </c:pt>
                <c:pt idx="4">
                  <c:v>0.1</c:v>
                </c:pt>
                <c:pt idx="5">
                  <c:v>0.1</c:v>
                </c:pt>
                <c:pt idx="6">
                  <c:v>0.1</c:v>
                </c:pt>
                <c:pt idx="7">
                  <c:v>0.1</c:v>
                </c:pt>
                <c:pt idx="8">
                  <c:v>0.1</c:v>
                </c:pt>
                <c:pt idx="9">
                  <c:v>0.1</c:v>
                </c:pt>
                <c:pt idx="10">
                  <c:v>0.1</c:v>
                </c:pt>
                <c:pt idx="11">
                  <c:v>0.15</c:v>
                </c:pt>
                <c:pt idx="12">
                  <c:v>0.15</c:v>
                </c:pt>
                <c:pt idx="13">
                  <c:v>0.15</c:v>
                </c:pt>
                <c:pt idx="14">
                  <c:v>0.15</c:v>
                </c:pt>
                <c:pt idx="15">
                  <c:v>0.15</c:v>
                </c:pt>
                <c:pt idx="16">
                  <c:v>0.15</c:v>
                </c:pt>
                <c:pt idx="17">
                  <c:v>0.15</c:v>
                </c:pt>
                <c:pt idx="18">
                  <c:v>0.15</c:v>
                </c:pt>
                <c:pt idx="19">
                  <c:v>0.15</c:v>
                </c:pt>
                <c:pt idx="20">
                  <c:v>0.15</c:v>
                </c:pt>
                <c:pt idx="21">
                  <c:v>0.3</c:v>
                </c:pt>
                <c:pt idx="22">
                  <c:v>0.3</c:v>
                </c:pt>
                <c:pt idx="23">
                  <c:v>0.3</c:v>
                </c:pt>
                <c:pt idx="24">
                  <c:v>0.3</c:v>
                </c:pt>
                <c:pt idx="25">
                  <c:v>0.3</c:v>
                </c:pt>
                <c:pt idx="26">
                  <c:v>0.3</c:v>
                </c:pt>
                <c:pt idx="27">
                  <c:v>0.3</c:v>
                </c:pt>
                <c:pt idx="28">
                  <c:v>0.3</c:v>
                </c:pt>
                <c:pt idx="29">
                  <c:v>0.3</c:v>
                </c:pt>
                <c:pt idx="30">
                  <c:v>0.3</c:v>
                </c:pt>
                <c:pt idx="31">
                  <c:v>0.3</c:v>
                </c:pt>
                <c:pt idx="32">
                  <c:v>0.3</c:v>
                </c:pt>
                <c:pt idx="33">
                  <c:v>0.3</c:v>
                </c:pt>
                <c:pt idx="34">
                  <c:v>0.3</c:v>
                </c:pt>
                <c:pt idx="35">
                  <c:v>0.3</c:v>
                </c:pt>
                <c:pt idx="36">
                  <c:v>0.3</c:v>
                </c:pt>
                <c:pt idx="37">
                  <c:v>0.3</c:v>
                </c:pt>
                <c:pt idx="38">
                  <c:v>0.3</c:v>
                </c:pt>
                <c:pt idx="39">
                  <c:v>0.3</c:v>
                </c:pt>
                <c:pt idx="40">
                  <c:v>0.3</c:v>
                </c:pt>
              </c:numCache>
            </c:numRef>
          </c:val>
          <c:smooth val="0"/>
          <c:extLst>
            <c:ext xmlns:c16="http://schemas.microsoft.com/office/drawing/2014/chart" uri="{C3380CC4-5D6E-409C-BE32-E72D297353CC}">
              <c16:uniqueId val="{00000003-8425-4959-8CEF-3A6600E00B4E}"/>
            </c:ext>
          </c:extLst>
        </c:ser>
        <c:ser>
          <c:idx val="4"/>
          <c:order val="4"/>
          <c:tx>
            <c:strRef>
              <c:f>Sheet2!$A$6</c:f>
              <c:strCache>
                <c:ptCount val="1"/>
                <c:pt idx="0">
                  <c:v>2009</c:v>
                </c:pt>
              </c:strCache>
            </c:strRef>
          </c:tx>
          <c:spPr>
            <a:ln w="28575" cap="rnd">
              <a:solidFill>
                <a:srgbClr val="CB5E99"/>
              </a:solidFill>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Sheet2!$B$6:$AP$6</c:f>
              <c:numCache>
                <c:formatCode>0%</c:formatCode>
                <c:ptCount val="41"/>
                <c:pt idx="0">
                  <c:v>0.28000000000000003</c:v>
                </c:pt>
                <c:pt idx="1">
                  <c:v>0.28000000000000003</c:v>
                </c:pt>
                <c:pt idx="2">
                  <c:v>0.28000000000000003</c:v>
                </c:pt>
                <c:pt idx="3">
                  <c:v>0.28000000000000003</c:v>
                </c:pt>
                <c:pt idx="4">
                  <c:v>0.28000000000000003</c:v>
                </c:pt>
                <c:pt idx="5">
                  <c:v>0.28000000000000003</c:v>
                </c:pt>
                <c:pt idx="6">
                  <c:v>0.28000000000000003</c:v>
                </c:pt>
                <c:pt idx="7">
                  <c:v>0.28000000000000003</c:v>
                </c:pt>
                <c:pt idx="8">
                  <c:v>0.28000000000000003</c:v>
                </c:pt>
                <c:pt idx="9">
                  <c:v>0.28000000000000003</c:v>
                </c:pt>
                <c:pt idx="10">
                  <c:v>0.28000000000000003</c:v>
                </c:pt>
                <c:pt idx="11">
                  <c:v>0.28000000000000003</c:v>
                </c:pt>
                <c:pt idx="12">
                  <c:v>0.28000000000000003</c:v>
                </c:pt>
                <c:pt idx="13">
                  <c:v>0.28000000000000003</c:v>
                </c:pt>
                <c:pt idx="14">
                  <c:v>0.28000000000000003</c:v>
                </c:pt>
                <c:pt idx="15">
                  <c:v>0.28000000000000003</c:v>
                </c:pt>
                <c:pt idx="16">
                  <c:v>0.28000000000000003</c:v>
                </c:pt>
                <c:pt idx="17">
                  <c:v>0.28000000000000003</c:v>
                </c:pt>
                <c:pt idx="18">
                  <c:v>0.28000000000000003</c:v>
                </c:pt>
                <c:pt idx="19">
                  <c:v>0.28000000000000003</c:v>
                </c:pt>
                <c:pt idx="20">
                  <c:v>0.28000000000000003</c:v>
                </c:pt>
                <c:pt idx="21">
                  <c:v>0.28000000000000003</c:v>
                </c:pt>
                <c:pt idx="22">
                  <c:v>0.28000000000000003</c:v>
                </c:pt>
                <c:pt idx="23">
                  <c:v>0.28000000000000003</c:v>
                </c:pt>
                <c:pt idx="24">
                  <c:v>0.28000000000000003</c:v>
                </c:pt>
                <c:pt idx="25">
                  <c:v>0.28000000000000003</c:v>
                </c:pt>
                <c:pt idx="26">
                  <c:v>0.28000000000000003</c:v>
                </c:pt>
                <c:pt idx="27">
                  <c:v>0.28000000000000003</c:v>
                </c:pt>
                <c:pt idx="28">
                  <c:v>0.28000000000000003</c:v>
                </c:pt>
                <c:pt idx="29">
                  <c:v>0.28000000000000003</c:v>
                </c:pt>
                <c:pt idx="30">
                  <c:v>0.28000000000000003</c:v>
                </c:pt>
                <c:pt idx="31">
                  <c:v>0.28000000000000003</c:v>
                </c:pt>
                <c:pt idx="32">
                  <c:v>0.28000000000000003</c:v>
                </c:pt>
                <c:pt idx="33">
                  <c:v>0.28000000000000003</c:v>
                </c:pt>
                <c:pt idx="34">
                  <c:v>0.28000000000000003</c:v>
                </c:pt>
                <c:pt idx="35">
                  <c:v>0.28000000000000003</c:v>
                </c:pt>
                <c:pt idx="36">
                  <c:v>0.28000000000000003</c:v>
                </c:pt>
                <c:pt idx="37">
                  <c:v>0.28000000000000003</c:v>
                </c:pt>
                <c:pt idx="38">
                  <c:v>0.28000000000000003</c:v>
                </c:pt>
                <c:pt idx="39">
                  <c:v>0.28000000000000003</c:v>
                </c:pt>
                <c:pt idx="40">
                  <c:v>0.28000000000000003</c:v>
                </c:pt>
              </c:numCache>
            </c:numRef>
          </c:val>
          <c:smooth val="0"/>
          <c:extLst>
            <c:ext xmlns:c16="http://schemas.microsoft.com/office/drawing/2014/chart" uri="{C3380CC4-5D6E-409C-BE32-E72D297353CC}">
              <c16:uniqueId val="{00000004-8425-4959-8CEF-3A6600E00B4E}"/>
            </c:ext>
          </c:extLst>
        </c:ser>
        <c:ser>
          <c:idx val="5"/>
          <c:order val="5"/>
          <c:tx>
            <c:strRef>
              <c:f>Sheet2!$A$7</c:f>
              <c:strCache>
                <c:ptCount val="1"/>
                <c:pt idx="0">
                  <c:v>2010</c:v>
                </c:pt>
              </c:strCache>
            </c:strRef>
          </c:tx>
          <c:spPr>
            <a:ln w="28575" cap="rnd">
              <a:solidFill>
                <a:srgbClr val="8A51A5"/>
              </a:solidFill>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Sheet2!$B$7:$AP$7</c:f>
              <c:numCache>
                <c:formatCode>0%</c:formatCode>
                <c:ptCount val="41"/>
                <c:pt idx="0">
                  <c:v>0.25</c:v>
                </c:pt>
                <c:pt idx="1">
                  <c:v>0.25</c:v>
                </c:pt>
                <c:pt idx="2">
                  <c:v>0.25</c:v>
                </c:pt>
                <c:pt idx="3">
                  <c:v>0.25</c:v>
                </c:pt>
                <c:pt idx="4">
                  <c:v>0.25</c:v>
                </c:pt>
                <c:pt idx="5">
                  <c:v>0.25</c:v>
                </c:pt>
                <c:pt idx="6">
                  <c:v>0.25</c:v>
                </c:pt>
                <c:pt idx="7">
                  <c:v>0.25</c:v>
                </c:pt>
                <c:pt idx="8">
                  <c:v>0.25</c:v>
                </c:pt>
                <c:pt idx="9">
                  <c:v>0.25</c:v>
                </c:pt>
                <c:pt idx="10">
                  <c:v>0.25</c:v>
                </c:pt>
                <c:pt idx="11">
                  <c:v>0.25</c:v>
                </c:pt>
                <c:pt idx="12">
                  <c:v>0.25</c:v>
                </c:pt>
                <c:pt idx="13">
                  <c:v>0.25</c:v>
                </c:pt>
                <c:pt idx="14">
                  <c:v>0.25</c:v>
                </c:pt>
                <c:pt idx="15">
                  <c:v>0.25</c:v>
                </c:pt>
                <c:pt idx="16">
                  <c:v>0.25</c:v>
                </c:pt>
                <c:pt idx="17">
                  <c:v>0.25</c:v>
                </c:pt>
                <c:pt idx="18">
                  <c:v>0.25</c:v>
                </c:pt>
                <c:pt idx="19">
                  <c:v>0.25</c:v>
                </c:pt>
                <c:pt idx="20">
                  <c:v>0.25</c:v>
                </c:pt>
                <c:pt idx="21">
                  <c:v>0.25</c:v>
                </c:pt>
                <c:pt idx="22">
                  <c:v>0.25</c:v>
                </c:pt>
                <c:pt idx="23">
                  <c:v>0.25</c:v>
                </c:pt>
                <c:pt idx="24">
                  <c:v>0.25</c:v>
                </c:pt>
                <c:pt idx="25">
                  <c:v>0.25</c:v>
                </c:pt>
                <c:pt idx="26">
                  <c:v>0.25</c:v>
                </c:pt>
                <c:pt idx="27">
                  <c:v>0.25</c:v>
                </c:pt>
                <c:pt idx="28">
                  <c:v>0.25</c:v>
                </c:pt>
                <c:pt idx="29">
                  <c:v>0.25</c:v>
                </c:pt>
                <c:pt idx="30">
                  <c:v>0.25</c:v>
                </c:pt>
                <c:pt idx="31">
                  <c:v>0.25</c:v>
                </c:pt>
                <c:pt idx="32">
                  <c:v>0.25</c:v>
                </c:pt>
                <c:pt idx="33">
                  <c:v>0.25</c:v>
                </c:pt>
                <c:pt idx="34">
                  <c:v>0.25</c:v>
                </c:pt>
                <c:pt idx="35">
                  <c:v>0.25</c:v>
                </c:pt>
                <c:pt idx="36">
                  <c:v>0.25</c:v>
                </c:pt>
                <c:pt idx="37">
                  <c:v>0.25</c:v>
                </c:pt>
                <c:pt idx="38">
                  <c:v>0.25</c:v>
                </c:pt>
                <c:pt idx="39">
                  <c:v>0.25</c:v>
                </c:pt>
                <c:pt idx="40">
                  <c:v>0.25</c:v>
                </c:pt>
              </c:numCache>
            </c:numRef>
          </c:val>
          <c:smooth val="0"/>
          <c:extLst>
            <c:ext xmlns:c16="http://schemas.microsoft.com/office/drawing/2014/chart" uri="{C3380CC4-5D6E-409C-BE32-E72D297353CC}">
              <c16:uniqueId val="{00000005-8425-4959-8CEF-3A6600E00B4E}"/>
            </c:ext>
          </c:extLst>
        </c:ser>
        <c:ser>
          <c:idx val="6"/>
          <c:order val="6"/>
          <c:tx>
            <c:strRef>
              <c:f>Sheet2!$A$8</c:f>
              <c:strCache>
                <c:ptCount val="1"/>
                <c:pt idx="0">
                  <c:v>2020</c:v>
                </c:pt>
              </c:strCache>
            </c:strRef>
          </c:tx>
          <c:spPr>
            <a:ln w="28575" cap="rnd">
              <a:solidFill>
                <a:srgbClr val="004CA3"/>
              </a:solidFill>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Sheet2!$B$8:$AP$8</c:f>
              <c:numCache>
                <c:formatCode>0%</c:formatCode>
                <c:ptCount val="41"/>
                <c:pt idx="0">
                  <c:v>0.22</c:v>
                </c:pt>
                <c:pt idx="1">
                  <c:v>0.22</c:v>
                </c:pt>
                <c:pt idx="2">
                  <c:v>0.22</c:v>
                </c:pt>
                <c:pt idx="3">
                  <c:v>0.22</c:v>
                </c:pt>
                <c:pt idx="4">
                  <c:v>0.22</c:v>
                </c:pt>
                <c:pt idx="5">
                  <c:v>0.22</c:v>
                </c:pt>
                <c:pt idx="6">
                  <c:v>0.22</c:v>
                </c:pt>
                <c:pt idx="7">
                  <c:v>0.22</c:v>
                </c:pt>
                <c:pt idx="8">
                  <c:v>0.22</c:v>
                </c:pt>
                <c:pt idx="9">
                  <c:v>0.22</c:v>
                </c:pt>
                <c:pt idx="10">
                  <c:v>0.22</c:v>
                </c:pt>
                <c:pt idx="11">
                  <c:v>0.22</c:v>
                </c:pt>
                <c:pt idx="12">
                  <c:v>0.22</c:v>
                </c:pt>
                <c:pt idx="13">
                  <c:v>0.22</c:v>
                </c:pt>
                <c:pt idx="14">
                  <c:v>0.22</c:v>
                </c:pt>
                <c:pt idx="15">
                  <c:v>0.22</c:v>
                </c:pt>
                <c:pt idx="16">
                  <c:v>0.22</c:v>
                </c:pt>
                <c:pt idx="17">
                  <c:v>0.22</c:v>
                </c:pt>
                <c:pt idx="18">
                  <c:v>0.22</c:v>
                </c:pt>
                <c:pt idx="19">
                  <c:v>0.22</c:v>
                </c:pt>
                <c:pt idx="20">
                  <c:v>0.22</c:v>
                </c:pt>
                <c:pt idx="21">
                  <c:v>0.22</c:v>
                </c:pt>
                <c:pt idx="22">
                  <c:v>0.22</c:v>
                </c:pt>
                <c:pt idx="23">
                  <c:v>0.22</c:v>
                </c:pt>
                <c:pt idx="24">
                  <c:v>0.22</c:v>
                </c:pt>
                <c:pt idx="25">
                  <c:v>0.22</c:v>
                </c:pt>
                <c:pt idx="26">
                  <c:v>0.22</c:v>
                </c:pt>
                <c:pt idx="27">
                  <c:v>0.22</c:v>
                </c:pt>
                <c:pt idx="28">
                  <c:v>0.22</c:v>
                </c:pt>
                <c:pt idx="29">
                  <c:v>0.22</c:v>
                </c:pt>
                <c:pt idx="30">
                  <c:v>0.22</c:v>
                </c:pt>
                <c:pt idx="31">
                  <c:v>0.22</c:v>
                </c:pt>
                <c:pt idx="32">
                  <c:v>0.22</c:v>
                </c:pt>
                <c:pt idx="33">
                  <c:v>0.22</c:v>
                </c:pt>
                <c:pt idx="34">
                  <c:v>0.22</c:v>
                </c:pt>
                <c:pt idx="35">
                  <c:v>0.22</c:v>
                </c:pt>
                <c:pt idx="36">
                  <c:v>0.22</c:v>
                </c:pt>
                <c:pt idx="37">
                  <c:v>0.22</c:v>
                </c:pt>
                <c:pt idx="38">
                  <c:v>0.22</c:v>
                </c:pt>
                <c:pt idx="39">
                  <c:v>0.22</c:v>
                </c:pt>
                <c:pt idx="40">
                  <c:v>0.22</c:v>
                </c:pt>
              </c:numCache>
            </c:numRef>
          </c:val>
          <c:smooth val="0"/>
          <c:extLst>
            <c:ext xmlns:c16="http://schemas.microsoft.com/office/drawing/2014/chart" uri="{C3380CC4-5D6E-409C-BE32-E72D297353CC}">
              <c16:uniqueId val="{00000006-8425-4959-8CEF-3A6600E00B4E}"/>
            </c:ext>
          </c:extLst>
        </c:ser>
        <c:ser>
          <c:idx val="7"/>
          <c:order val="7"/>
          <c:tx>
            <c:strRef>
              <c:f>Sheet2!$A$9</c:f>
              <c:strCache>
                <c:ptCount val="1"/>
                <c:pt idx="0">
                  <c:v>2009b</c:v>
                </c:pt>
              </c:strCache>
            </c:strRef>
          </c:tx>
          <c:spPr>
            <a:ln w="19050" cap="rnd">
              <a:solidFill>
                <a:srgbClr val="CB5E99"/>
              </a:solidFill>
              <a:prstDash val="sysDash"/>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Sheet2!$B$9:$AP$9</c:f>
              <c:numCache>
                <c:formatCode>0%</c:formatCode>
                <c:ptCount val="41"/>
                <c:pt idx="0">
                  <c:v>0.14000000000000001</c:v>
                </c:pt>
                <c:pt idx="1">
                  <c:v>0.14000000000000001</c:v>
                </c:pt>
                <c:pt idx="2">
                  <c:v>0.14000000000000001</c:v>
                </c:pt>
                <c:pt idx="3">
                  <c:v>0.14000000000000001</c:v>
                </c:pt>
                <c:pt idx="4">
                  <c:v>0.14000000000000001</c:v>
                </c:pt>
                <c:pt idx="5">
                  <c:v>0.14000000000000001</c:v>
                </c:pt>
                <c:pt idx="6">
                  <c:v>0.14000000000000001</c:v>
                </c:pt>
                <c:pt idx="7">
                  <c:v>0.14000000000000001</c:v>
                </c:pt>
                <c:pt idx="8">
                  <c:v>0.14000000000000001</c:v>
                </c:pt>
                <c:pt idx="9">
                  <c:v>0.14000000000000001</c:v>
                </c:pt>
                <c:pt idx="10">
                  <c:v>0.14000000000000001</c:v>
                </c:pt>
                <c:pt idx="11">
                  <c:v>0.14000000000000001</c:v>
                </c:pt>
                <c:pt idx="12">
                  <c:v>0.14000000000000001</c:v>
                </c:pt>
                <c:pt idx="13">
                  <c:v>0.14000000000000001</c:v>
                </c:pt>
                <c:pt idx="14">
                  <c:v>0.14000000000000001</c:v>
                </c:pt>
                <c:pt idx="15">
                  <c:v>0.14000000000000001</c:v>
                </c:pt>
                <c:pt idx="16">
                  <c:v>0.14000000000000001</c:v>
                </c:pt>
                <c:pt idx="17">
                  <c:v>0.14000000000000001</c:v>
                </c:pt>
                <c:pt idx="18">
                  <c:v>0.14000000000000001</c:v>
                </c:pt>
                <c:pt idx="19">
                  <c:v>0.14000000000000001</c:v>
                </c:pt>
                <c:pt idx="20">
                  <c:v>0.14000000000000001</c:v>
                </c:pt>
                <c:pt idx="21">
                  <c:v>0.14000000000000001</c:v>
                </c:pt>
                <c:pt idx="22">
                  <c:v>0.14000000000000001</c:v>
                </c:pt>
                <c:pt idx="23">
                  <c:v>0.14000000000000001</c:v>
                </c:pt>
                <c:pt idx="24">
                  <c:v>0.14000000000000001</c:v>
                </c:pt>
                <c:pt idx="25">
                  <c:v>0.14000000000000001</c:v>
                </c:pt>
                <c:pt idx="26">
                  <c:v>0.14000000000000001</c:v>
                </c:pt>
                <c:pt idx="27">
                  <c:v>0.14000000000000001</c:v>
                </c:pt>
                <c:pt idx="28">
                  <c:v>0.14000000000000001</c:v>
                </c:pt>
                <c:pt idx="29">
                  <c:v>0.14000000000000001</c:v>
                </c:pt>
                <c:pt idx="30">
                  <c:v>0.14000000000000001</c:v>
                </c:pt>
                <c:pt idx="31">
                  <c:v>0.14000000000000001</c:v>
                </c:pt>
                <c:pt idx="32">
                  <c:v>0.14000000000000001</c:v>
                </c:pt>
                <c:pt idx="33">
                  <c:v>0.14000000000000001</c:v>
                </c:pt>
                <c:pt idx="34">
                  <c:v>0.14000000000000001</c:v>
                </c:pt>
                <c:pt idx="35">
                  <c:v>0.14000000000000001</c:v>
                </c:pt>
                <c:pt idx="36">
                  <c:v>0.14000000000000001</c:v>
                </c:pt>
                <c:pt idx="37">
                  <c:v>0.14000000000000001</c:v>
                </c:pt>
                <c:pt idx="38">
                  <c:v>0.14000000000000001</c:v>
                </c:pt>
                <c:pt idx="39">
                  <c:v>0.14000000000000001</c:v>
                </c:pt>
                <c:pt idx="40">
                  <c:v>0.14000000000000001</c:v>
                </c:pt>
              </c:numCache>
            </c:numRef>
          </c:val>
          <c:smooth val="0"/>
          <c:extLst>
            <c:ext xmlns:c16="http://schemas.microsoft.com/office/drawing/2014/chart" uri="{C3380CC4-5D6E-409C-BE32-E72D297353CC}">
              <c16:uniqueId val="{00000007-8425-4959-8CEF-3A6600E00B4E}"/>
            </c:ext>
          </c:extLst>
        </c:ser>
        <c:ser>
          <c:idx val="8"/>
          <c:order val="8"/>
          <c:tx>
            <c:strRef>
              <c:f>Sheet2!$A$10</c:f>
              <c:strCache>
                <c:ptCount val="1"/>
                <c:pt idx="0">
                  <c:v>2010b</c:v>
                </c:pt>
              </c:strCache>
            </c:strRef>
          </c:tx>
          <c:spPr>
            <a:ln w="19050" cap="rnd">
              <a:solidFill>
                <a:srgbClr val="8A51A5"/>
              </a:solidFill>
              <a:prstDash val="sysDash"/>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Sheet2!$B$10:$AP$10</c:f>
              <c:numCache>
                <c:formatCode>0%</c:formatCode>
                <c:ptCount val="41"/>
                <c:pt idx="0">
                  <c:v>0.125</c:v>
                </c:pt>
                <c:pt idx="1">
                  <c:v>0.125</c:v>
                </c:pt>
                <c:pt idx="2">
                  <c:v>0.125</c:v>
                </c:pt>
                <c:pt idx="3">
                  <c:v>0.125</c:v>
                </c:pt>
                <c:pt idx="4">
                  <c:v>0.125</c:v>
                </c:pt>
                <c:pt idx="5">
                  <c:v>0.125</c:v>
                </c:pt>
                <c:pt idx="6">
                  <c:v>0.125</c:v>
                </c:pt>
                <c:pt idx="7">
                  <c:v>0.125</c:v>
                </c:pt>
                <c:pt idx="8">
                  <c:v>0.125</c:v>
                </c:pt>
                <c:pt idx="9">
                  <c:v>0.125</c:v>
                </c:pt>
                <c:pt idx="10">
                  <c:v>0.125</c:v>
                </c:pt>
                <c:pt idx="11">
                  <c:v>0.125</c:v>
                </c:pt>
                <c:pt idx="12">
                  <c:v>0.125</c:v>
                </c:pt>
                <c:pt idx="13">
                  <c:v>0.125</c:v>
                </c:pt>
                <c:pt idx="14">
                  <c:v>0.125</c:v>
                </c:pt>
                <c:pt idx="15">
                  <c:v>0.125</c:v>
                </c:pt>
                <c:pt idx="16">
                  <c:v>0.125</c:v>
                </c:pt>
                <c:pt idx="17">
                  <c:v>0.125</c:v>
                </c:pt>
                <c:pt idx="18">
                  <c:v>0.125</c:v>
                </c:pt>
                <c:pt idx="19">
                  <c:v>0.125</c:v>
                </c:pt>
                <c:pt idx="20">
                  <c:v>0.125</c:v>
                </c:pt>
                <c:pt idx="21">
                  <c:v>0.125</c:v>
                </c:pt>
                <c:pt idx="22">
                  <c:v>0.125</c:v>
                </c:pt>
                <c:pt idx="23">
                  <c:v>0.125</c:v>
                </c:pt>
                <c:pt idx="24">
                  <c:v>0.125</c:v>
                </c:pt>
                <c:pt idx="25">
                  <c:v>0.125</c:v>
                </c:pt>
                <c:pt idx="26">
                  <c:v>0.125</c:v>
                </c:pt>
                <c:pt idx="27">
                  <c:v>0.125</c:v>
                </c:pt>
                <c:pt idx="28">
                  <c:v>0.125</c:v>
                </c:pt>
                <c:pt idx="29">
                  <c:v>0.125</c:v>
                </c:pt>
                <c:pt idx="30">
                  <c:v>0.125</c:v>
                </c:pt>
                <c:pt idx="31">
                  <c:v>0.125</c:v>
                </c:pt>
                <c:pt idx="32">
                  <c:v>0.125</c:v>
                </c:pt>
                <c:pt idx="33">
                  <c:v>0.125</c:v>
                </c:pt>
                <c:pt idx="34">
                  <c:v>0.125</c:v>
                </c:pt>
                <c:pt idx="35">
                  <c:v>0.125</c:v>
                </c:pt>
                <c:pt idx="36">
                  <c:v>0.125</c:v>
                </c:pt>
                <c:pt idx="37">
                  <c:v>0.125</c:v>
                </c:pt>
                <c:pt idx="38">
                  <c:v>0.125</c:v>
                </c:pt>
                <c:pt idx="39">
                  <c:v>0.125</c:v>
                </c:pt>
                <c:pt idx="40">
                  <c:v>0.125</c:v>
                </c:pt>
              </c:numCache>
            </c:numRef>
          </c:val>
          <c:smooth val="0"/>
          <c:extLst>
            <c:ext xmlns:c16="http://schemas.microsoft.com/office/drawing/2014/chart" uri="{C3380CC4-5D6E-409C-BE32-E72D297353CC}">
              <c16:uniqueId val="{00000008-8425-4959-8CEF-3A6600E00B4E}"/>
            </c:ext>
          </c:extLst>
        </c:ser>
        <c:ser>
          <c:idx val="9"/>
          <c:order val="9"/>
          <c:tx>
            <c:strRef>
              <c:f>Sheet2!$A$11</c:f>
              <c:strCache>
                <c:ptCount val="1"/>
                <c:pt idx="0">
                  <c:v>2020b</c:v>
                </c:pt>
              </c:strCache>
            </c:strRef>
          </c:tx>
          <c:spPr>
            <a:ln w="19050" cap="rnd">
              <a:solidFill>
                <a:srgbClr val="004CA3"/>
              </a:solidFill>
              <a:prstDash val="sysDash"/>
              <a:round/>
            </a:ln>
            <a:effectLst/>
          </c:spPr>
          <c:marker>
            <c:symbol val="none"/>
          </c:marker>
          <c:cat>
            <c:numRef>
              <c:f>Sheet2!$B$1:$AP$1</c:f>
              <c:numCache>
                <c:formatCode>General</c:formatCode>
                <c:ptCount val="4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numCache>
            </c:numRef>
          </c:cat>
          <c:val>
            <c:numRef>
              <c:f>Sheet2!$B$11:$AP$11</c:f>
              <c:numCache>
                <c:formatCode>0%</c:formatCode>
                <c:ptCount val="41"/>
                <c:pt idx="0">
                  <c:v>0.11</c:v>
                </c:pt>
                <c:pt idx="1">
                  <c:v>0.11</c:v>
                </c:pt>
                <c:pt idx="2">
                  <c:v>0.11</c:v>
                </c:pt>
                <c:pt idx="3">
                  <c:v>0.11</c:v>
                </c:pt>
                <c:pt idx="4">
                  <c:v>0.11</c:v>
                </c:pt>
                <c:pt idx="5">
                  <c:v>0.11</c:v>
                </c:pt>
                <c:pt idx="6">
                  <c:v>0.11</c:v>
                </c:pt>
                <c:pt idx="7">
                  <c:v>0.11</c:v>
                </c:pt>
                <c:pt idx="8">
                  <c:v>0.11</c:v>
                </c:pt>
                <c:pt idx="9">
                  <c:v>0.11</c:v>
                </c:pt>
                <c:pt idx="10">
                  <c:v>0.11</c:v>
                </c:pt>
                <c:pt idx="11">
                  <c:v>0.11</c:v>
                </c:pt>
                <c:pt idx="12">
                  <c:v>0.11</c:v>
                </c:pt>
                <c:pt idx="13">
                  <c:v>0.11</c:v>
                </c:pt>
                <c:pt idx="14">
                  <c:v>0.11</c:v>
                </c:pt>
                <c:pt idx="15">
                  <c:v>0.11</c:v>
                </c:pt>
                <c:pt idx="16">
                  <c:v>0.11</c:v>
                </c:pt>
                <c:pt idx="17">
                  <c:v>0.11</c:v>
                </c:pt>
                <c:pt idx="18">
                  <c:v>0.11</c:v>
                </c:pt>
                <c:pt idx="19">
                  <c:v>0.11</c:v>
                </c:pt>
                <c:pt idx="20">
                  <c:v>0.11</c:v>
                </c:pt>
                <c:pt idx="21">
                  <c:v>0.11</c:v>
                </c:pt>
                <c:pt idx="22">
                  <c:v>0.11</c:v>
                </c:pt>
                <c:pt idx="23">
                  <c:v>0.11</c:v>
                </c:pt>
                <c:pt idx="24">
                  <c:v>0.11</c:v>
                </c:pt>
                <c:pt idx="25">
                  <c:v>0.11</c:v>
                </c:pt>
                <c:pt idx="26">
                  <c:v>0.11</c:v>
                </c:pt>
                <c:pt idx="27">
                  <c:v>0.11</c:v>
                </c:pt>
                <c:pt idx="28">
                  <c:v>0.11</c:v>
                </c:pt>
                <c:pt idx="29">
                  <c:v>0.11</c:v>
                </c:pt>
                <c:pt idx="30">
                  <c:v>0.11</c:v>
                </c:pt>
                <c:pt idx="31">
                  <c:v>0.11</c:v>
                </c:pt>
                <c:pt idx="32">
                  <c:v>0.11</c:v>
                </c:pt>
                <c:pt idx="33">
                  <c:v>0.11</c:v>
                </c:pt>
                <c:pt idx="34">
                  <c:v>0.11</c:v>
                </c:pt>
                <c:pt idx="35">
                  <c:v>0.11</c:v>
                </c:pt>
                <c:pt idx="36">
                  <c:v>0.11</c:v>
                </c:pt>
                <c:pt idx="37">
                  <c:v>0.11</c:v>
                </c:pt>
                <c:pt idx="38">
                  <c:v>0.11</c:v>
                </c:pt>
                <c:pt idx="39">
                  <c:v>0.11</c:v>
                </c:pt>
                <c:pt idx="40">
                  <c:v>0.11</c:v>
                </c:pt>
              </c:numCache>
            </c:numRef>
          </c:val>
          <c:smooth val="0"/>
          <c:extLst>
            <c:ext xmlns:c16="http://schemas.microsoft.com/office/drawing/2014/chart" uri="{C3380CC4-5D6E-409C-BE32-E72D297353CC}">
              <c16:uniqueId val="{00000009-8425-4959-8CEF-3A6600E00B4E}"/>
            </c:ext>
          </c:extLst>
        </c:ser>
        <c:dLbls>
          <c:showLegendKey val="0"/>
          <c:showVal val="0"/>
          <c:showCatName val="0"/>
          <c:showSerName val="0"/>
          <c:showPercent val="0"/>
          <c:showBubbleSize val="0"/>
        </c:dLbls>
        <c:smooth val="0"/>
        <c:axId val="1118552927"/>
        <c:axId val="1118569567"/>
      </c:lineChart>
      <c:catAx>
        <c:axId val="1118552927"/>
        <c:scaling>
          <c:orientation val="minMax"/>
        </c:scaling>
        <c:delete val="0"/>
        <c:axPos val="b"/>
        <c:numFmt formatCode="General" sourceLinked="1"/>
        <c:majorTickMark val="none"/>
        <c:minorTickMark val="none"/>
        <c:tickLblPos val="nextTo"/>
        <c:spPr>
          <a:noFill/>
          <a:ln w="9525" cap="flat" cmpd="sng" algn="ctr">
            <a:solidFill>
              <a:schemeClr val="bg1">
                <a:lumMod val="6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crossAx val="1118569567"/>
        <c:crosses val="autoZero"/>
        <c:auto val="1"/>
        <c:lblAlgn val="ctr"/>
        <c:lblOffset val="100"/>
        <c:tickLblSkip val="5"/>
        <c:noMultiLvlLbl val="0"/>
      </c:catAx>
      <c:valAx>
        <c:axId val="1118569567"/>
        <c:scaling>
          <c:orientation val="minMax"/>
        </c:scaling>
        <c:delete val="0"/>
        <c:axPos val="l"/>
        <c:majorGridlines>
          <c:spPr>
            <a:ln w="6350" cap="flat" cmpd="sng" algn="ctr">
              <a:solidFill>
                <a:schemeClr val="bg1">
                  <a:lumMod val="65000"/>
                </a:schemeClr>
              </a:solidFill>
              <a:round/>
            </a:ln>
            <a:effectLst/>
          </c:spPr>
        </c:majorGridlines>
        <c:numFmt formatCode="0%" sourceLinked="1"/>
        <c:majorTickMark val="none"/>
        <c:minorTickMark val="none"/>
        <c:tickLblPos val="nextTo"/>
        <c:spPr>
          <a:noFill/>
          <a:ln w="9525">
            <a:solidFill>
              <a:schemeClr val="bg1">
                <a:lumMod val="65000"/>
              </a:schemeClr>
            </a:solidFill>
          </a:ln>
          <a:effectLst/>
        </c:spPr>
        <c:txPr>
          <a:bodyPr rot="-6000000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crossAx val="1118552927"/>
        <c:crosses val="autoZero"/>
        <c:crossBetween val="between"/>
      </c:valAx>
      <c:spPr>
        <a:noFill/>
        <a:ln>
          <a:solidFill>
            <a:schemeClr val="bg1">
              <a:lumMod val="65000"/>
            </a:schemeClr>
          </a:solidFill>
        </a:ln>
        <a:effectLst/>
      </c:spPr>
    </c:plotArea>
    <c:plotVisOnly val="1"/>
    <c:dispBlanksAs val="gap"/>
    <c:showDLblsOverMax val="0"/>
  </c:chart>
  <c:spPr>
    <a:solidFill>
      <a:schemeClr val="bg1"/>
    </a:solidFill>
    <a:ln w="9525" cap="flat" cmpd="sng" algn="ctr">
      <a:noFill/>
      <a:round/>
    </a:ln>
    <a:effectLst/>
  </c:spPr>
  <c:txPr>
    <a:bodyPr/>
    <a:lstStyle/>
    <a:p>
      <a:pPr>
        <a:defRPr sz="900"/>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37240385712655"/>
          <c:y val="3.2598929941449625E-2"/>
          <c:w val="0.83280875556316325"/>
          <c:h val="0.69556119187024723"/>
        </c:manualLayout>
      </c:layout>
      <c:barChart>
        <c:barDir val="col"/>
        <c:grouping val="clustered"/>
        <c:varyColors val="0"/>
        <c:ser>
          <c:idx val="0"/>
          <c:order val="0"/>
          <c:spPr>
            <a:solidFill>
              <a:schemeClr val="accent1"/>
            </a:solidFill>
            <a:ln>
              <a:noFill/>
            </a:ln>
            <a:effectLst/>
          </c:spPr>
          <c:invertIfNegative val="0"/>
          <c:dPt>
            <c:idx val="6"/>
            <c:invertIfNegative val="0"/>
            <c:bubble3D val="0"/>
            <c:spPr>
              <a:solidFill>
                <a:srgbClr val="FF0000"/>
              </a:solidFill>
              <a:ln>
                <a:noFill/>
              </a:ln>
              <a:effectLst/>
            </c:spPr>
            <c:extLst>
              <c:ext xmlns:c16="http://schemas.microsoft.com/office/drawing/2014/chart" uri="{C3380CC4-5D6E-409C-BE32-E72D297353CC}">
                <c16:uniqueId val="{00000001-7FAC-47ED-80EA-0AB856A38B4A}"/>
              </c:ext>
            </c:extLst>
          </c:dPt>
          <c:dPt>
            <c:idx val="10"/>
            <c:invertIfNegative val="0"/>
            <c:bubble3D val="0"/>
            <c:spPr>
              <a:solidFill>
                <a:schemeClr val="accent4"/>
              </a:solidFill>
              <a:ln>
                <a:noFill/>
              </a:ln>
              <a:effectLst/>
            </c:spPr>
            <c:extLst>
              <c:ext xmlns:c16="http://schemas.microsoft.com/office/drawing/2014/chart" uri="{C3380CC4-5D6E-409C-BE32-E72D297353CC}">
                <c16:uniqueId val="{00000003-7FAC-47ED-80EA-0AB856A38B4A}"/>
              </c:ext>
            </c:extLst>
          </c:dPt>
          <c:cat>
            <c:strRef>
              <c:f>Sheet3!$C$5:$C$15</c:f>
              <c:strCache>
                <c:ptCount val="11"/>
                <c:pt idx="0">
                  <c:v>Singapore</c:v>
                </c:pt>
                <c:pt idx="1">
                  <c:v>Brunei</c:v>
                </c:pt>
                <c:pt idx="2">
                  <c:v>Cambodia </c:v>
                </c:pt>
                <c:pt idx="3">
                  <c:v>Lao PDR</c:v>
                </c:pt>
                <c:pt idx="4">
                  <c:v>Thailand</c:v>
                </c:pt>
                <c:pt idx="5">
                  <c:v>Vietnam</c:v>
                </c:pt>
                <c:pt idx="6">
                  <c:v>Indonesia</c:v>
                </c:pt>
                <c:pt idx="7">
                  <c:v>Myanmar</c:v>
                </c:pt>
                <c:pt idx="8">
                  <c:v>Malaysia </c:v>
                </c:pt>
                <c:pt idx="9">
                  <c:v>Philippines</c:v>
                </c:pt>
                <c:pt idx="10">
                  <c:v>ASEAN avg.</c:v>
                </c:pt>
              </c:strCache>
            </c:strRef>
          </c:cat>
          <c:val>
            <c:numRef>
              <c:f>Sheet3!$D$5:$D$15</c:f>
              <c:numCache>
                <c:formatCode>0%</c:formatCode>
                <c:ptCount val="11"/>
                <c:pt idx="0">
                  <c:v>17</c:v>
                </c:pt>
                <c:pt idx="1">
                  <c:v>18.5</c:v>
                </c:pt>
                <c:pt idx="2">
                  <c:v>20</c:v>
                </c:pt>
                <c:pt idx="3">
                  <c:v>20</c:v>
                </c:pt>
                <c:pt idx="4">
                  <c:v>20</c:v>
                </c:pt>
                <c:pt idx="5">
                  <c:v>20</c:v>
                </c:pt>
                <c:pt idx="6">
                  <c:v>22</c:v>
                </c:pt>
                <c:pt idx="7">
                  <c:v>22</c:v>
                </c:pt>
                <c:pt idx="8">
                  <c:v>24</c:v>
                </c:pt>
                <c:pt idx="9">
                  <c:v>25</c:v>
                </c:pt>
                <c:pt idx="10">
                  <c:v>20.849999999999998</c:v>
                </c:pt>
              </c:numCache>
            </c:numRef>
          </c:val>
          <c:extLst>
            <c:ext xmlns:c16="http://schemas.microsoft.com/office/drawing/2014/chart" uri="{C3380CC4-5D6E-409C-BE32-E72D297353CC}">
              <c16:uniqueId val="{00000004-7FAC-47ED-80EA-0AB856A38B4A}"/>
            </c:ext>
          </c:extLst>
        </c:ser>
        <c:dLbls>
          <c:showLegendKey val="0"/>
          <c:showVal val="0"/>
          <c:showCatName val="0"/>
          <c:showSerName val="0"/>
          <c:showPercent val="0"/>
          <c:showBubbleSize val="0"/>
        </c:dLbls>
        <c:gapWidth val="50"/>
        <c:overlap val="-27"/>
        <c:axId val="731731568"/>
        <c:axId val="731731984"/>
      </c:barChart>
      <c:catAx>
        <c:axId val="731731568"/>
        <c:scaling>
          <c:orientation val="minMax"/>
        </c:scaling>
        <c:delete val="0"/>
        <c:axPos val="b"/>
        <c:numFmt formatCode="General" sourceLinked="1"/>
        <c:majorTickMark val="in"/>
        <c:minorTickMark val="none"/>
        <c:tickLblPos val="nextTo"/>
        <c:spPr>
          <a:noFill/>
          <a:ln w="9525" cap="flat" cmpd="sng" algn="ctr">
            <a:solidFill>
              <a:schemeClr val="tx1"/>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1731984"/>
        <c:crosses val="autoZero"/>
        <c:auto val="1"/>
        <c:lblAlgn val="ctr"/>
        <c:lblOffset val="100"/>
        <c:noMultiLvlLbl val="0"/>
      </c:catAx>
      <c:valAx>
        <c:axId val="731731984"/>
        <c:scaling>
          <c:orientation val="minMax"/>
        </c:scaling>
        <c:delete val="0"/>
        <c:axPos val="l"/>
        <c:numFmt formatCode="#,##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17315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664260717410319E-2"/>
          <c:y val="5.0996754751970332E-2"/>
          <c:w val="0.9033357392825897"/>
          <c:h val="0.84145448439251069"/>
        </c:manualLayout>
      </c:layout>
      <c:barChart>
        <c:barDir val="col"/>
        <c:grouping val="stacked"/>
        <c:varyColors val="0"/>
        <c:ser>
          <c:idx val="0"/>
          <c:order val="0"/>
          <c:tx>
            <c:strRef>
              <c:f>Sheet1!$A$5</c:f>
              <c:strCache>
                <c:ptCount val="1"/>
                <c:pt idx="0">
                  <c:v>Corporate tax</c:v>
                </c:pt>
              </c:strCache>
            </c:strRef>
          </c:tx>
          <c:spPr>
            <a:solidFill>
              <a:schemeClr val="accent1"/>
            </a:solidFill>
            <a:ln>
              <a:noFill/>
            </a:ln>
            <a:effectLst/>
          </c:spPr>
          <c:invertIfNegative val="0"/>
          <c:cat>
            <c:strRef>
              <c:f>Sheet1!$B$1:$T$1</c:f>
              <c:strCache>
                <c:ptCount val="19"/>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pt idx="13">
                  <c:v>2015</c:v>
                </c:pt>
                <c:pt idx="14">
                  <c:v>2016</c:v>
                </c:pt>
                <c:pt idx="15">
                  <c:v>2017</c:v>
                </c:pt>
                <c:pt idx="16">
                  <c:v>2018</c:v>
                </c:pt>
                <c:pt idx="17">
                  <c:v>2019</c:v>
                </c:pt>
                <c:pt idx="18">
                  <c:v>2020</c:v>
                </c:pt>
              </c:strCache>
            </c:strRef>
          </c:cat>
          <c:val>
            <c:numRef>
              <c:f>Sheet1!$B$5:$T$5</c:f>
              <c:numCache>
                <c:formatCode>0.00</c:formatCode>
                <c:ptCount val="19"/>
                <c:pt idx="0">
                  <c:v>3.3250000000000002</c:v>
                </c:pt>
                <c:pt idx="1">
                  <c:v>3.2730000000000001</c:v>
                </c:pt>
                <c:pt idx="2">
                  <c:v>3.242</c:v>
                </c:pt>
                <c:pt idx="3">
                  <c:v>3.8149999999999999</c:v>
                </c:pt>
                <c:pt idx="4">
                  <c:v>3.8540000000000001</c:v>
                </c:pt>
                <c:pt idx="5">
                  <c:v>3.7280000000000002</c:v>
                </c:pt>
                <c:pt idx="6">
                  <c:v>4.9930000000000003</c:v>
                </c:pt>
                <c:pt idx="7">
                  <c:v>4.3239999999999998</c:v>
                </c:pt>
                <c:pt idx="8">
                  <c:v>4.2949999999999999</c:v>
                </c:pt>
                <c:pt idx="9">
                  <c:v>4.556</c:v>
                </c:pt>
                <c:pt idx="10">
                  <c:v>4.3550000000000004</c:v>
                </c:pt>
                <c:pt idx="11">
                  <c:v>4.2329999999999997</c:v>
                </c:pt>
                <c:pt idx="12">
                  <c:v>4.0170000000000003</c:v>
                </c:pt>
                <c:pt idx="13">
                  <c:v>4.0739999999999998</c:v>
                </c:pt>
                <c:pt idx="14">
                  <c:v>3.68</c:v>
                </c:pt>
                <c:pt idx="15">
                  <c:v>3.6579999999999999</c:v>
                </c:pt>
                <c:pt idx="16">
                  <c:v>3.9529999999999998</c:v>
                </c:pt>
                <c:pt idx="17">
                  <c:v>3.7450000000000001</c:v>
                </c:pt>
                <c:pt idx="18">
                  <c:v>2.758</c:v>
                </c:pt>
              </c:numCache>
            </c:numRef>
          </c:val>
          <c:extLst>
            <c:ext xmlns:c16="http://schemas.microsoft.com/office/drawing/2014/chart" uri="{C3380CC4-5D6E-409C-BE32-E72D297353CC}">
              <c16:uniqueId val="{00000000-F4CD-4301-B0EC-D330C7D9C740}"/>
            </c:ext>
          </c:extLst>
        </c:ser>
        <c:ser>
          <c:idx val="1"/>
          <c:order val="1"/>
          <c:tx>
            <c:strRef>
              <c:f>Sheet1!$A$4</c:f>
              <c:strCache>
                <c:ptCount val="1"/>
                <c:pt idx="0">
                  <c:v>Other taxes</c:v>
                </c:pt>
              </c:strCache>
            </c:strRef>
          </c:tx>
          <c:spPr>
            <a:solidFill>
              <a:schemeClr val="accent2"/>
            </a:solidFill>
            <a:ln>
              <a:noFill/>
            </a:ln>
            <a:effectLst/>
          </c:spPr>
          <c:invertIfNegative val="0"/>
          <c:cat>
            <c:strRef>
              <c:f>Sheet1!$B$1:$T$1</c:f>
              <c:strCache>
                <c:ptCount val="19"/>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pt idx="13">
                  <c:v>2015</c:v>
                </c:pt>
                <c:pt idx="14">
                  <c:v>2016</c:v>
                </c:pt>
                <c:pt idx="15">
                  <c:v>2017</c:v>
                </c:pt>
                <c:pt idx="16">
                  <c:v>2018</c:v>
                </c:pt>
                <c:pt idx="17">
                  <c:v>2019</c:v>
                </c:pt>
                <c:pt idx="18">
                  <c:v>2020</c:v>
                </c:pt>
              </c:strCache>
            </c:strRef>
          </c:cat>
          <c:val>
            <c:numRef>
              <c:f>Sheet1!$B$4:$T$4</c:f>
              <c:numCache>
                <c:formatCode>0.00</c:formatCode>
                <c:ptCount val="19"/>
                <c:pt idx="0">
                  <c:v>7.2139999999999995</c:v>
                </c:pt>
                <c:pt idx="1">
                  <c:v>7.7119999999999997</c:v>
                </c:pt>
                <c:pt idx="2">
                  <c:v>7.9259999999999993</c:v>
                </c:pt>
                <c:pt idx="3">
                  <c:v>7.6170000000000009</c:v>
                </c:pt>
                <c:pt idx="4">
                  <c:v>7.3449999999999998</c:v>
                </c:pt>
                <c:pt idx="5">
                  <c:v>7.6869999999999994</c:v>
                </c:pt>
                <c:pt idx="6">
                  <c:v>7.1719999999999988</c:v>
                </c:pt>
                <c:pt idx="7">
                  <c:v>5.9879999999999995</c:v>
                </c:pt>
                <c:pt idx="8">
                  <c:v>6.2420000000000009</c:v>
                </c:pt>
                <c:pt idx="9">
                  <c:v>6.6019999999999994</c:v>
                </c:pt>
                <c:pt idx="10">
                  <c:v>7.0259999999999998</c:v>
                </c:pt>
                <c:pt idx="11">
                  <c:v>7.0520000000000005</c:v>
                </c:pt>
                <c:pt idx="12">
                  <c:v>6.8329999999999993</c:v>
                </c:pt>
                <c:pt idx="13">
                  <c:v>6.6880000000000006</c:v>
                </c:pt>
                <c:pt idx="14">
                  <c:v>6.6810000000000009</c:v>
                </c:pt>
                <c:pt idx="15">
                  <c:v>6.2279999999999998</c:v>
                </c:pt>
                <c:pt idx="16">
                  <c:v>6.282</c:v>
                </c:pt>
                <c:pt idx="17">
                  <c:v>6.0209999999999999</c:v>
                </c:pt>
                <c:pt idx="18">
                  <c:v>5.5639999999999992</c:v>
                </c:pt>
              </c:numCache>
            </c:numRef>
          </c:val>
          <c:extLst>
            <c:ext xmlns:c16="http://schemas.microsoft.com/office/drawing/2014/chart" uri="{C3380CC4-5D6E-409C-BE32-E72D297353CC}">
              <c16:uniqueId val="{00000001-F4CD-4301-B0EC-D330C7D9C740}"/>
            </c:ext>
          </c:extLst>
        </c:ser>
        <c:dLbls>
          <c:showLegendKey val="0"/>
          <c:showVal val="0"/>
          <c:showCatName val="0"/>
          <c:showSerName val="0"/>
          <c:showPercent val="0"/>
          <c:showBubbleSize val="0"/>
        </c:dLbls>
        <c:gapWidth val="50"/>
        <c:overlap val="100"/>
        <c:axId val="11979759"/>
        <c:axId val="11998895"/>
      </c:barChart>
      <c:catAx>
        <c:axId val="11979759"/>
        <c:scaling>
          <c:orientation val="minMax"/>
        </c:scaling>
        <c:delete val="0"/>
        <c:axPos val="b"/>
        <c:numFmt formatCode="General" sourceLinked="1"/>
        <c:majorTickMark val="in"/>
        <c:minorTickMark val="none"/>
        <c:tickLblPos val="nextTo"/>
        <c:spPr>
          <a:noFill/>
          <a:ln w="6350"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998895"/>
        <c:crosses val="autoZero"/>
        <c:auto val="1"/>
        <c:lblAlgn val="ctr"/>
        <c:lblOffset val="100"/>
        <c:tickLblSkip val="3"/>
        <c:noMultiLvlLbl val="0"/>
      </c:catAx>
      <c:valAx>
        <c:axId val="11998895"/>
        <c:scaling>
          <c:orientation val="minMax"/>
        </c:scaling>
        <c:delete val="0"/>
        <c:axPos val="l"/>
        <c:numFmt formatCode="0" sourceLinked="0"/>
        <c:majorTickMark val="in"/>
        <c:minorTickMark val="none"/>
        <c:tickLblPos val="nextTo"/>
        <c:spPr>
          <a:noFill/>
          <a:ln w="6350">
            <a:solidFill>
              <a:schemeClr val="bg1">
                <a:lumMod val="50000"/>
              </a:schemeClr>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979759"/>
        <c:crosses val="autoZero"/>
        <c:crossBetween val="between"/>
      </c:valAx>
      <c:spPr>
        <a:noFill/>
        <a:ln>
          <a:noFill/>
        </a:ln>
        <a:effectLst/>
      </c:spPr>
    </c:plotArea>
    <c:legend>
      <c:legendPos val="r"/>
      <c:layout>
        <c:manualLayout>
          <c:xMode val="edge"/>
          <c:yMode val="edge"/>
          <c:x val="0.70020254317525388"/>
          <c:y val="3.7004228638086903E-2"/>
          <c:w val="0.23064136565174784"/>
          <c:h val="0.15517349986424112"/>
        </c:manualLayout>
      </c:layout>
      <c:overlay val="0"/>
      <c:spPr>
        <a:noFill/>
        <a:ln>
          <a:noFill/>
        </a:ln>
        <a:effectLst/>
      </c:spPr>
      <c:txPr>
        <a:bodyPr rot="0" spcFirstLastPara="1" vertOverflow="ellipsis" vert="horz" wrap="square" anchor="ctr" anchorCtr="1"/>
        <a:lstStyle/>
        <a:p>
          <a:pPr>
            <a:defRPr sz="75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8547140521441297E-2"/>
          <c:y val="5.0996754751970332E-2"/>
          <c:w val="0.91645288529964331"/>
          <c:h val="0.85523821927496835"/>
        </c:manualLayout>
      </c:layout>
      <c:lineChart>
        <c:grouping val="standard"/>
        <c:varyColors val="0"/>
        <c:ser>
          <c:idx val="0"/>
          <c:order val="0"/>
          <c:tx>
            <c:strRef>
              <c:f>Sheet1!$A$9</c:f>
              <c:strCache>
                <c:ptCount val="1"/>
                <c:pt idx="0">
                  <c:v>Indonesia</c:v>
                </c:pt>
              </c:strCache>
            </c:strRef>
          </c:tx>
          <c:spPr>
            <a:ln w="28575" cap="rnd">
              <a:solidFill>
                <a:srgbClr val="FF0000"/>
              </a:solidFill>
              <a:prstDash val="sysDash"/>
              <a:round/>
            </a:ln>
            <a:effectLst/>
          </c:spPr>
          <c:marker>
            <c:symbol val="none"/>
          </c:marker>
          <c:cat>
            <c:strRef>
              <c:f>Sheet1!$E$1:$T$1</c:f>
              <c:strCach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strCache>
            </c:strRef>
          </c:cat>
          <c:val>
            <c:numRef>
              <c:f>Sheet1!$E$9:$T$9</c:f>
              <c:numCache>
                <c:formatCode>0.0</c:formatCode>
                <c:ptCount val="16"/>
                <c:pt idx="0">
                  <c:v>3.8149999999999999</c:v>
                </c:pt>
                <c:pt idx="1">
                  <c:v>3.8540000000000001</c:v>
                </c:pt>
                <c:pt idx="2">
                  <c:v>3.7280000000000002</c:v>
                </c:pt>
                <c:pt idx="3">
                  <c:v>4.9930000000000003</c:v>
                </c:pt>
                <c:pt idx="4">
                  <c:v>4.3239999999999998</c:v>
                </c:pt>
                <c:pt idx="5">
                  <c:v>4.2949999999999999</c:v>
                </c:pt>
                <c:pt idx="6">
                  <c:v>4.556</c:v>
                </c:pt>
                <c:pt idx="7">
                  <c:v>4.3550000000000004</c:v>
                </c:pt>
                <c:pt idx="8">
                  <c:v>4.2329999999999997</c:v>
                </c:pt>
                <c:pt idx="9">
                  <c:v>4.0170000000000003</c:v>
                </c:pt>
                <c:pt idx="10">
                  <c:v>4.0739999999999998</c:v>
                </c:pt>
                <c:pt idx="11">
                  <c:v>3.68</c:v>
                </c:pt>
                <c:pt idx="12">
                  <c:v>3.6579999999999999</c:v>
                </c:pt>
                <c:pt idx="13">
                  <c:v>3.9529999999999998</c:v>
                </c:pt>
                <c:pt idx="14">
                  <c:v>3.7450000000000001</c:v>
                </c:pt>
                <c:pt idx="15">
                  <c:v>2.758</c:v>
                </c:pt>
              </c:numCache>
            </c:numRef>
          </c:val>
          <c:smooth val="0"/>
          <c:extLst>
            <c:ext xmlns:c16="http://schemas.microsoft.com/office/drawing/2014/chart" uri="{C3380CC4-5D6E-409C-BE32-E72D297353CC}">
              <c16:uniqueId val="{00000000-D425-41B4-A6AA-55ACF8E8117C}"/>
            </c:ext>
          </c:extLst>
        </c:ser>
        <c:ser>
          <c:idx val="1"/>
          <c:order val="1"/>
          <c:tx>
            <c:strRef>
              <c:f>Sheet1!$A$8</c:f>
              <c:strCache>
                <c:ptCount val="1"/>
                <c:pt idx="0">
                  <c:v>Cambodia</c:v>
                </c:pt>
              </c:strCache>
            </c:strRef>
          </c:tx>
          <c:spPr>
            <a:ln w="28575" cap="rnd">
              <a:solidFill>
                <a:schemeClr val="tx1"/>
              </a:solidFill>
              <a:round/>
            </a:ln>
            <a:effectLst/>
          </c:spPr>
          <c:marker>
            <c:symbol val="none"/>
          </c:marker>
          <c:cat>
            <c:strRef>
              <c:f>Sheet1!$E$1:$T$1</c:f>
              <c:strCach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strCache>
            </c:strRef>
          </c:cat>
          <c:val>
            <c:numRef>
              <c:f>Sheet1!$E$8:$T$8</c:f>
              <c:numCache>
                <c:formatCode>0.0</c:formatCode>
                <c:ptCount val="16"/>
                <c:pt idx="0">
                  <c:v>0.59499999999999997</c:v>
                </c:pt>
                <c:pt idx="1">
                  <c:v>0.76500000000000001</c:v>
                </c:pt>
                <c:pt idx="2">
                  <c:v>0.95099999999999996</c:v>
                </c:pt>
                <c:pt idx="3">
                  <c:v>1.0589999999999999</c:v>
                </c:pt>
                <c:pt idx="4">
                  <c:v>4.2999999999999997E-2</c:v>
                </c:pt>
                <c:pt idx="5">
                  <c:v>0.161</c:v>
                </c:pt>
                <c:pt idx="6">
                  <c:v>8.7999999999999995E-2</c:v>
                </c:pt>
                <c:pt idx="7">
                  <c:v>1.359</c:v>
                </c:pt>
                <c:pt idx="8">
                  <c:v>1.484</c:v>
                </c:pt>
                <c:pt idx="9">
                  <c:v>1.663</c:v>
                </c:pt>
                <c:pt idx="10">
                  <c:v>1.7470000000000001</c:v>
                </c:pt>
                <c:pt idx="11">
                  <c:v>1.964</c:v>
                </c:pt>
                <c:pt idx="12">
                  <c:v>2.327</c:v>
                </c:pt>
                <c:pt idx="13">
                  <c:v>2.3769999999999998</c:v>
                </c:pt>
                <c:pt idx="14">
                  <c:v>2.722</c:v>
                </c:pt>
                <c:pt idx="15">
                  <c:v>3.3250000000000002</c:v>
                </c:pt>
              </c:numCache>
            </c:numRef>
          </c:val>
          <c:smooth val="0"/>
          <c:extLst>
            <c:ext xmlns:c16="http://schemas.microsoft.com/office/drawing/2014/chart" uri="{C3380CC4-5D6E-409C-BE32-E72D297353CC}">
              <c16:uniqueId val="{00000001-D425-41B4-A6AA-55ACF8E8117C}"/>
            </c:ext>
          </c:extLst>
        </c:ser>
        <c:ser>
          <c:idx val="2"/>
          <c:order val="2"/>
          <c:tx>
            <c:strRef>
              <c:f>Sheet1!$A$11</c:f>
              <c:strCache>
                <c:ptCount val="1"/>
                <c:pt idx="0">
                  <c:v>Malaysia</c:v>
                </c:pt>
              </c:strCache>
            </c:strRef>
          </c:tx>
          <c:spPr>
            <a:ln w="28575" cap="rnd">
              <a:solidFill>
                <a:schemeClr val="accent3"/>
              </a:solidFill>
              <a:round/>
            </a:ln>
            <a:effectLst/>
          </c:spPr>
          <c:marker>
            <c:symbol val="none"/>
          </c:marker>
          <c:cat>
            <c:strRef>
              <c:f>Sheet1!$E$1:$T$1</c:f>
              <c:strCach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strCache>
            </c:strRef>
          </c:cat>
          <c:val>
            <c:numRef>
              <c:f>Sheet1!$E$11:$T$11</c:f>
              <c:numCache>
                <c:formatCode>0.0</c:formatCode>
                <c:ptCount val="16"/>
                <c:pt idx="0">
                  <c:v>7.5359999999999996</c:v>
                </c:pt>
                <c:pt idx="1">
                  <c:v>7.9029999999999996</c:v>
                </c:pt>
                <c:pt idx="2">
                  <c:v>7.9080000000000004</c:v>
                </c:pt>
                <c:pt idx="3">
                  <c:v>8.0579999999999998</c:v>
                </c:pt>
                <c:pt idx="4">
                  <c:v>8.0980000000000008</c:v>
                </c:pt>
                <c:pt idx="5">
                  <c:v>6.7149999999999999</c:v>
                </c:pt>
                <c:pt idx="6">
                  <c:v>8.1880000000000006</c:v>
                </c:pt>
                <c:pt idx="7">
                  <c:v>8.7759999999999998</c:v>
                </c:pt>
                <c:pt idx="8">
                  <c:v>8.6340000000000003</c:v>
                </c:pt>
                <c:pt idx="9">
                  <c:v>8.3350000000000009</c:v>
                </c:pt>
                <c:pt idx="10">
                  <c:v>6.3959999999999999</c:v>
                </c:pt>
                <c:pt idx="11">
                  <c:v>5.7720000000000002</c:v>
                </c:pt>
                <c:pt idx="12">
                  <c:v>5.5549999999999997</c:v>
                </c:pt>
                <c:pt idx="13">
                  <c:v>5.9790000000000001</c:v>
                </c:pt>
                <c:pt idx="14">
                  <c:v>5.5869999999999997</c:v>
                </c:pt>
                <c:pt idx="15">
                  <c:v>4.4359999999999999</c:v>
                </c:pt>
              </c:numCache>
            </c:numRef>
          </c:val>
          <c:smooth val="0"/>
          <c:extLst>
            <c:ext xmlns:c16="http://schemas.microsoft.com/office/drawing/2014/chart" uri="{C3380CC4-5D6E-409C-BE32-E72D297353CC}">
              <c16:uniqueId val="{00000002-D425-41B4-A6AA-55ACF8E8117C}"/>
            </c:ext>
          </c:extLst>
        </c:ser>
        <c:ser>
          <c:idx val="3"/>
          <c:order val="3"/>
          <c:tx>
            <c:strRef>
              <c:f>Sheet1!$A$13</c:f>
              <c:strCache>
                <c:ptCount val="1"/>
                <c:pt idx="0">
                  <c:v>Philippines</c:v>
                </c:pt>
              </c:strCache>
            </c:strRef>
          </c:tx>
          <c:spPr>
            <a:ln w="28575" cap="rnd">
              <a:solidFill>
                <a:schemeClr val="accent4"/>
              </a:solidFill>
              <a:round/>
            </a:ln>
            <a:effectLst/>
          </c:spPr>
          <c:marker>
            <c:symbol val="none"/>
          </c:marker>
          <c:cat>
            <c:strRef>
              <c:f>Sheet1!$E$1:$T$1</c:f>
              <c:strCach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strCache>
            </c:strRef>
          </c:cat>
          <c:val>
            <c:numRef>
              <c:f>Sheet1!$E$13:$T$13</c:f>
              <c:numCache>
                <c:formatCode>0.0</c:formatCode>
                <c:ptCount val="16"/>
                <c:pt idx="0">
                  <c:v>2.8580000000000001</c:v>
                </c:pt>
                <c:pt idx="1">
                  <c:v>3.3119999999999998</c:v>
                </c:pt>
                <c:pt idx="2">
                  <c:v>3.5619999999999998</c:v>
                </c:pt>
                <c:pt idx="3">
                  <c:v>3.722</c:v>
                </c:pt>
                <c:pt idx="4">
                  <c:v>3.2309999999999999</c:v>
                </c:pt>
                <c:pt idx="5">
                  <c:v>3.1339999999999999</c:v>
                </c:pt>
                <c:pt idx="6">
                  <c:v>3.468</c:v>
                </c:pt>
                <c:pt idx="7">
                  <c:v>3.4729999999999999</c:v>
                </c:pt>
                <c:pt idx="8">
                  <c:v>3.63</c:v>
                </c:pt>
                <c:pt idx="9">
                  <c:v>3.5379999999999998</c:v>
                </c:pt>
                <c:pt idx="10">
                  <c:v>3.6110000000000002</c:v>
                </c:pt>
                <c:pt idx="11">
                  <c:v>3.629</c:v>
                </c:pt>
                <c:pt idx="12">
                  <c:v>3.6589999999999998</c:v>
                </c:pt>
                <c:pt idx="13">
                  <c:v>3.351</c:v>
                </c:pt>
                <c:pt idx="14">
                  <c:v>3.149</c:v>
                </c:pt>
                <c:pt idx="15">
                  <c:v>2.9860000000000002</c:v>
                </c:pt>
              </c:numCache>
            </c:numRef>
          </c:val>
          <c:smooth val="0"/>
          <c:extLst>
            <c:ext xmlns:c16="http://schemas.microsoft.com/office/drawing/2014/chart" uri="{C3380CC4-5D6E-409C-BE32-E72D297353CC}">
              <c16:uniqueId val="{00000003-D425-41B4-A6AA-55ACF8E8117C}"/>
            </c:ext>
          </c:extLst>
        </c:ser>
        <c:ser>
          <c:idx val="4"/>
          <c:order val="4"/>
          <c:tx>
            <c:strRef>
              <c:f>Sheet1!$A$14</c:f>
              <c:strCache>
                <c:ptCount val="1"/>
                <c:pt idx="0">
                  <c:v>Singapore</c:v>
                </c:pt>
              </c:strCache>
            </c:strRef>
          </c:tx>
          <c:spPr>
            <a:ln w="28575" cap="rnd">
              <a:solidFill>
                <a:schemeClr val="accent5"/>
              </a:solidFill>
              <a:round/>
            </a:ln>
            <a:effectLst/>
          </c:spPr>
          <c:marker>
            <c:symbol val="none"/>
          </c:marker>
          <c:cat>
            <c:strRef>
              <c:f>Sheet1!$E$1:$T$1</c:f>
              <c:strCach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strCache>
            </c:strRef>
          </c:cat>
          <c:val>
            <c:numRef>
              <c:f>Sheet1!$E$14:$T$14</c:f>
              <c:numCache>
                <c:formatCode>0.0</c:formatCode>
                <c:ptCount val="16"/>
                <c:pt idx="0">
                  <c:v>3.9390000000000001</c:v>
                </c:pt>
                <c:pt idx="1">
                  <c:v>3.8650000000000002</c:v>
                </c:pt>
                <c:pt idx="2">
                  <c:v>3.9350000000000001</c:v>
                </c:pt>
                <c:pt idx="3">
                  <c:v>4.702</c:v>
                </c:pt>
                <c:pt idx="4">
                  <c:v>3.371</c:v>
                </c:pt>
                <c:pt idx="5">
                  <c:v>3.355</c:v>
                </c:pt>
                <c:pt idx="6">
                  <c:v>3.4969999999999999</c:v>
                </c:pt>
                <c:pt idx="7">
                  <c:v>3.597</c:v>
                </c:pt>
                <c:pt idx="8">
                  <c:v>3.403</c:v>
                </c:pt>
                <c:pt idx="9">
                  <c:v>3.4279999999999999</c:v>
                </c:pt>
                <c:pt idx="10">
                  <c:v>3.3420000000000001</c:v>
                </c:pt>
                <c:pt idx="11">
                  <c:v>3.194</c:v>
                </c:pt>
                <c:pt idx="12">
                  <c:v>4.1289999999999996</c:v>
                </c:pt>
                <c:pt idx="13">
                  <c:v>3.4119999999999999</c:v>
                </c:pt>
                <c:pt idx="14">
                  <c:v>3.6080000000000001</c:v>
                </c:pt>
                <c:pt idx="15">
                  <c:v>3.7869999999999999</c:v>
                </c:pt>
              </c:numCache>
            </c:numRef>
          </c:val>
          <c:smooth val="0"/>
          <c:extLst>
            <c:ext xmlns:c16="http://schemas.microsoft.com/office/drawing/2014/chart" uri="{C3380CC4-5D6E-409C-BE32-E72D297353CC}">
              <c16:uniqueId val="{00000004-D425-41B4-A6AA-55ACF8E8117C}"/>
            </c:ext>
          </c:extLst>
        </c:ser>
        <c:ser>
          <c:idx val="5"/>
          <c:order val="5"/>
          <c:tx>
            <c:strRef>
              <c:f>Sheet1!$A$15</c:f>
              <c:strCache>
                <c:ptCount val="1"/>
                <c:pt idx="0">
                  <c:v>Thailand</c:v>
                </c:pt>
              </c:strCache>
            </c:strRef>
          </c:tx>
          <c:spPr>
            <a:ln w="28575" cap="rnd">
              <a:solidFill>
                <a:schemeClr val="accent6"/>
              </a:solidFill>
              <a:round/>
            </a:ln>
            <a:effectLst/>
          </c:spPr>
          <c:marker>
            <c:symbol val="none"/>
          </c:marker>
          <c:cat>
            <c:strRef>
              <c:f>Sheet1!$E$1:$T$1</c:f>
              <c:strCach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strCache>
            </c:strRef>
          </c:cat>
          <c:val>
            <c:numRef>
              <c:f>Sheet1!$E$15:$T$15</c:f>
              <c:numCache>
                <c:formatCode>0.0</c:formatCode>
                <c:ptCount val="16"/>
                <c:pt idx="0">
                  <c:v>4.7409999999999997</c:v>
                </c:pt>
                <c:pt idx="1">
                  <c:v>5.0570000000000004</c:v>
                </c:pt>
                <c:pt idx="2">
                  <c:v>4.9470000000000001</c:v>
                </c:pt>
                <c:pt idx="3">
                  <c:v>5.3860000000000001</c:v>
                </c:pt>
                <c:pt idx="4">
                  <c:v>4.875</c:v>
                </c:pt>
                <c:pt idx="5">
                  <c:v>4.6619999999999999</c:v>
                </c:pt>
                <c:pt idx="6">
                  <c:v>5.6139999999999999</c:v>
                </c:pt>
                <c:pt idx="7">
                  <c:v>5.2850000000000001</c:v>
                </c:pt>
                <c:pt idx="8">
                  <c:v>5.2460000000000004</c:v>
                </c:pt>
                <c:pt idx="9">
                  <c:v>4.907</c:v>
                </c:pt>
                <c:pt idx="10">
                  <c:v>4.6130000000000004</c:v>
                </c:pt>
                <c:pt idx="11">
                  <c:v>4.26</c:v>
                </c:pt>
                <c:pt idx="12">
                  <c:v>4.0519999999999996</c:v>
                </c:pt>
                <c:pt idx="13">
                  <c:v>4.2919999999999998</c:v>
                </c:pt>
                <c:pt idx="14">
                  <c:v>4.3639999999999999</c:v>
                </c:pt>
                <c:pt idx="15">
                  <c:v>3.875</c:v>
                </c:pt>
              </c:numCache>
            </c:numRef>
          </c:val>
          <c:smooth val="0"/>
          <c:extLst>
            <c:ext xmlns:c16="http://schemas.microsoft.com/office/drawing/2014/chart" uri="{C3380CC4-5D6E-409C-BE32-E72D297353CC}">
              <c16:uniqueId val="{00000005-D425-41B4-A6AA-55ACF8E8117C}"/>
            </c:ext>
          </c:extLst>
        </c:ser>
        <c:ser>
          <c:idx val="6"/>
          <c:order val="6"/>
          <c:tx>
            <c:strRef>
              <c:f>Sheet1!$A$16</c:f>
              <c:strCache>
                <c:ptCount val="1"/>
                <c:pt idx="0">
                  <c:v>Vietnam</c:v>
                </c:pt>
              </c:strCache>
            </c:strRef>
          </c:tx>
          <c:spPr>
            <a:ln w="28575" cap="rnd">
              <a:solidFill>
                <a:srgbClr val="0000FF"/>
              </a:solidFill>
              <a:round/>
            </a:ln>
            <a:effectLst/>
          </c:spPr>
          <c:marker>
            <c:symbol val="none"/>
          </c:marker>
          <c:cat>
            <c:strRef>
              <c:f>Sheet1!$E$1:$T$1</c:f>
              <c:strCach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strCache>
            </c:strRef>
          </c:cat>
          <c:val>
            <c:numRef>
              <c:f>Sheet1!$E$16:$T$16</c:f>
              <c:numCache>
                <c:formatCode>0.0</c:formatCode>
                <c:ptCount val="16"/>
                <c:pt idx="0">
                  <c:v>8.298</c:v>
                </c:pt>
                <c:pt idx="1">
                  <c:v>9.4009999999999998</c:v>
                </c:pt>
                <c:pt idx="2">
                  <c:v>8.3859999999999992</c:v>
                </c:pt>
                <c:pt idx="3">
                  <c:v>8.4920000000000009</c:v>
                </c:pt>
                <c:pt idx="4">
                  <c:v>6.2</c:v>
                </c:pt>
                <c:pt idx="5">
                  <c:v>5.4260000000000002</c:v>
                </c:pt>
                <c:pt idx="6">
                  <c:v>5.5389999999999997</c:v>
                </c:pt>
                <c:pt idx="7">
                  <c:v>5.2969999999999997</c:v>
                </c:pt>
                <c:pt idx="8">
                  <c:v>5.1669999999999998</c:v>
                </c:pt>
                <c:pt idx="9">
                  <c:v>4.2089999999999996</c:v>
                </c:pt>
                <c:pt idx="10">
                  <c:v>3.8530000000000002</c:v>
                </c:pt>
                <c:pt idx="11">
                  <c:v>3.363</c:v>
                </c:pt>
                <c:pt idx="12">
                  <c:v>3.4510000000000001</c:v>
                </c:pt>
                <c:pt idx="13">
                  <c:v>3.58</c:v>
                </c:pt>
                <c:pt idx="14">
                  <c:v>3.5110000000000001</c:v>
                </c:pt>
                <c:pt idx="15">
                  <c:v>3.194</c:v>
                </c:pt>
              </c:numCache>
            </c:numRef>
          </c:val>
          <c:smooth val="0"/>
          <c:extLst>
            <c:ext xmlns:c16="http://schemas.microsoft.com/office/drawing/2014/chart" uri="{C3380CC4-5D6E-409C-BE32-E72D297353CC}">
              <c16:uniqueId val="{00000006-D425-41B4-A6AA-55ACF8E8117C}"/>
            </c:ext>
          </c:extLst>
        </c:ser>
        <c:ser>
          <c:idx val="7"/>
          <c:order val="7"/>
          <c:tx>
            <c:v>Lao PDR</c:v>
          </c:tx>
          <c:spPr>
            <a:ln w="28575" cap="rnd">
              <a:solidFill>
                <a:schemeClr val="accent2">
                  <a:lumMod val="60000"/>
                </a:schemeClr>
              </a:solidFill>
              <a:round/>
            </a:ln>
            <a:effectLst/>
          </c:spPr>
          <c:marker>
            <c:symbol val="none"/>
          </c:marker>
          <c:dPt>
            <c:idx val="1"/>
            <c:marker>
              <c:symbol val="none"/>
            </c:marker>
            <c:bubble3D val="0"/>
            <c:spPr>
              <a:ln w="28575" cap="rnd">
                <a:noFill/>
                <a:round/>
              </a:ln>
              <a:effectLst/>
            </c:spPr>
            <c:extLst>
              <c:ext xmlns:c16="http://schemas.microsoft.com/office/drawing/2014/chart" uri="{C3380CC4-5D6E-409C-BE32-E72D297353CC}">
                <c16:uniqueId val="{00000008-D425-41B4-A6AA-55ACF8E8117C}"/>
              </c:ext>
            </c:extLst>
          </c:dPt>
          <c:dPt>
            <c:idx val="2"/>
            <c:marker>
              <c:symbol val="none"/>
            </c:marker>
            <c:bubble3D val="0"/>
            <c:spPr>
              <a:ln w="28575" cap="rnd">
                <a:noFill/>
                <a:round/>
              </a:ln>
              <a:effectLst/>
            </c:spPr>
            <c:extLst>
              <c:ext xmlns:c16="http://schemas.microsoft.com/office/drawing/2014/chart" uri="{C3380CC4-5D6E-409C-BE32-E72D297353CC}">
                <c16:uniqueId val="{0000000A-D425-41B4-A6AA-55ACF8E8117C}"/>
              </c:ext>
            </c:extLst>
          </c:dPt>
          <c:dPt>
            <c:idx val="3"/>
            <c:marker>
              <c:symbol val="none"/>
            </c:marker>
            <c:bubble3D val="0"/>
            <c:spPr>
              <a:ln w="28575" cap="rnd">
                <a:noFill/>
                <a:round/>
              </a:ln>
              <a:effectLst/>
            </c:spPr>
            <c:extLst>
              <c:ext xmlns:c16="http://schemas.microsoft.com/office/drawing/2014/chart" uri="{C3380CC4-5D6E-409C-BE32-E72D297353CC}">
                <c16:uniqueId val="{0000000C-D425-41B4-A6AA-55ACF8E8117C}"/>
              </c:ext>
            </c:extLst>
          </c:dPt>
          <c:dPt>
            <c:idx val="4"/>
            <c:marker>
              <c:symbol val="none"/>
            </c:marker>
            <c:bubble3D val="0"/>
            <c:spPr>
              <a:ln w="28575" cap="rnd">
                <a:noFill/>
                <a:round/>
              </a:ln>
              <a:effectLst/>
            </c:spPr>
            <c:extLst>
              <c:ext xmlns:c16="http://schemas.microsoft.com/office/drawing/2014/chart" uri="{C3380CC4-5D6E-409C-BE32-E72D297353CC}">
                <c16:uniqueId val="{0000000E-D425-41B4-A6AA-55ACF8E8117C}"/>
              </c:ext>
            </c:extLst>
          </c:dPt>
          <c:dPt>
            <c:idx val="5"/>
            <c:marker>
              <c:symbol val="none"/>
            </c:marker>
            <c:bubble3D val="0"/>
            <c:spPr>
              <a:ln w="28575" cap="rnd">
                <a:noFill/>
                <a:round/>
              </a:ln>
              <a:effectLst/>
            </c:spPr>
            <c:extLst>
              <c:ext xmlns:c16="http://schemas.microsoft.com/office/drawing/2014/chart" uri="{C3380CC4-5D6E-409C-BE32-E72D297353CC}">
                <c16:uniqueId val="{00000010-D425-41B4-A6AA-55ACF8E8117C}"/>
              </c:ext>
            </c:extLst>
          </c:dPt>
          <c:cat>
            <c:strRef>
              <c:f>Sheet1!$E$1:$T$1</c:f>
              <c:strCach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strCache>
            </c:strRef>
          </c:cat>
          <c:val>
            <c:numRef>
              <c:f>Sheet1!$E$10:$T$10</c:f>
              <c:numCache>
                <c:formatCode>0.0</c:formatCode>
                <c:ptCount val="16"/>
                <c:pt idx="0">
                  <c:v>0</c:v>
                </c:pt>
                <c:pt idx="1">
                  <c:v>0</c:v>
                </c:pt>
                <c:pt idx="2">
                  <c:v>0</c:v>
                </c:pt>
                <c:pt idx="3">
                  <c:v>0</c:v>
                </c:pt>
                <c:pt idx="4">
                  <c:v>0</c:v>
                </c:pt>
                <c:pt idx="5">
                  <c:v>1.8240000000000001</c:v>
                </c:pt>
                <c:pt idx="6">
                  <c:v>2.6339999999999999</c:v>
                </c:pt>
                <c:pt idx="7">
                  <c:v>2.5030000000000001</c:v>
                </c:pt>
                <c:pt idx="8">
                  <c:v>2.327</c:v>
                </c:pt>
                <c:pt idx="9">
                  <c:v>1.7729999999999999</c:v>
                </c:pt>
                <c:pt idx="10">
                  <c:v>1.8819999999999999</c:v>
                </c:pt>
                <c:pt idx="11">
                  <c:v>1.3540000000000001</c:v>
                </c:pt>
                <c:pt idx="12">
                  <c:v>1.407</c:v>
                </c:pt>
                <c:pt idx="13">
                  <c:v>1.36</c:v>
                </c:pt>
                <c:pt idx="14">
                  <c:v>1.355</c:v>
                </c:pt>
                <c:pt idx="15">
                  <c:v>1.03</c:v>
                </c:pt>
              </c:numCache>
            </c:numRef>
          </c:val>
          <c:smooth val="0"/>
          <c:extLst>
            <c:ext xmlns:c16="http://schemas.microsoft.com/office/drawing/2014/chart" uri="{C3380CC4-5D6E-409C-BE32-E72D297353CC}">
              <c16:uniqueId val="{00000011-D425-41B4-A6AA-55ACF8E8117C}"/>
            </c:ext>
          </c:extLst>
        </c:ser>
        <c:dLbls>
          <c:showLegendKey val="0"/>
          <c:showVal val="0"/>
          <c:showCatName val="0"/>
          <c:showSerName val="0"/>
          <c:showPercent val="0"/>
          <c:showBubbleSize val="0"/>
        </c:dLbls>
        <c:smooth val="0"/>
        <c:axId val="11979759"/>
        <c:axId val="11998895"/>
      </c:lineChart>
      <c:catAx>
        <c:axId val="11979759"/>
        <c:scaling>
          <c:orientation val="minMax"/>
        </c:scaling>
        <c:delete val="0"/>
        <c:axPos val="b"/>
        <c:numFmt formatCode="General" sourceLinked="1"/>
        <c:majorTickMark val="in"/>
        <c:minorTickMark val="none"/>
        <c:tickLblPos val="nextTo"/>
        <c:spPr>
          <a:noFill/>
          <a:ln w="6350"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998895"/>
        <c:crosses val="autoZero"/>
        <c:auto val="1"/>
        <c:lblAlgn val="ctr"/>
        <c:lblOffset val="100"/>
        <c:tickLblSkip val="2"/>
        <c:noMultiLvlLbl val="0"/>
      </c:catAx>
      <c:valAx>
        <c:axId val="11998895"/>
        <c:scaling>
          <c:orientation val="minMax"/>
          <c:max val="12"/>
        </c:scaling>
        <c:delete val="0"/>
        <c:axPos val="l"/>
        <c:numFmt formatCode="0" sourceLinked="0"/>
        <c:majorTickMark val="in"/>
        <c:minorTickMark val="none"/>
        <c:tickLblPos val="nextTo"/>
        <c:spPr>
          <a:noFill/>
          <a:ln w="6350">
            <a:solidFill>
              <a:schemeClr val="bg1">
                <a:lumMod val="50000"/>
              </a:schemeClr>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979759"/>
        <c:crosses val="autoZero"/>
        <c:crossBetween val="between"/>
      </c:valAx>
      <c:spPr>
        <a:noFill/>
        <a:ln>
          <a:noFill/>
        </a:ln>
        <a:effectLst/>
      </c:spPr>
    </c:plotArea>
    <c:legend>
      <c:legendPos val="r"/>
      <c:layout>
        <c:manualLayout>
          <c:xMode val="edge"/>
          <c:yMode val="edge"/>
          <c:x val="0.12043800749805873"/>
          <c:y val="3.7638940266694849E-2"/>
          <c:w val="0.87482704220205409"/>
          <c:h val="0.18094602688086808"/>
        </c:manualLayout>
      </c:layout>
      <c:overlay val="0"/>
      <c:spPr>
        <a:noFill/>
        <a:ln>
          <a:noFill/>
        </a:ln>
        <a:effectLst/>
      </c:spPr>
      <c:txPr>
        <a:bodyPr rot="0" spcFirstLastPara="1" vertOverflow="ellipsis" vert="horz" wrap="square" anchor="ctr" anchorCtr="1"/>
        <a:lstStyle/>
        <a:p>
          <a:pPr>
            <a:defRPr sz="75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0355144140040353E-2"/>
          <c:y val="5.0925925925925923E-2"/>
          <c:w val="0.85757874015748037"/>
          <c:h val="0.86255328083989502"/>
        </c:manualLayout>
      </c:layout>
      <c:lineChart>
        <c:grouping val="standard"/>
        <c:varyColors val="0"/>
        <c:ser>
          <c:idx val="2"/>
          <c:order val="0"/>
          <c:tx>
            <c:v>Malaysia</c:v>
          </c:tx>
          <c:spPr>
            <a:ln w="28575" cap="rnd">
              <a:solidFill>
                <a:schemeClr val="accent3"/>
              </a:solidFill>
              <a:round/>
            </a:ln>
            <a:effectLst/>
          </c:spPr>
          <c:marker>
            <c:symbol val="none"/>
          </c:marker>
          <c:cat>
            <c:numRef>
              <c:f>'2.5'!$C$2:$I$2</c:f>
              <c:numCache>
                <c:formatCode>General</c:formatCode>
                <c:ptCount val="7"/>
                <c:pt idx="0">
                  <c:v>2014</c:v>
                </c:pt>
                <c:pt idx="1">
                  <c:v>2015</c:v>
                </c:pt>
                <c:pt idx="2">
                  <c:v>2016</c:v>
                </c:pt>
                <c:pt idx="3">
                  <c:v>2017</c:v>
                </c:pt>
                <c:pt idx="4">
                  <c:v>2018</c:v>
                </c:pt>
                <c:pt idx="5">
                  <c:v>2019</c:v>
                </c:pt>
                <c:pt idx="6">
                  <c:v>2020</c:v>
                </c:pt>
              </c:numCache>
            </c:numRef>
          </c:cat>
          <c:val>
            <c:numRef>
              <c:f>'2.5'!$C$4:$I$4</c:f>
              <c:numCache>
                <c:formatCode>#,##0.00</c:formatCode>
                <c:ptCount val="7"/>
                <c:pt idx="0">
                  <c:v>0.5574279349707113</c:v>
                </c:pt>
                <c:pt idx="1">
                  <c:v>0.42773519131561982</c:v>
                </c:pt>
                <c:pt idx="2">
                  <c:v>0.38598894635311437</c:v>
                </c:pt>
                <c:pt idx="3">
                  <c:v>0.37147643057728047</c:v>
                </c:pt>
                <c:pt idx="4">
                  <c:v>0.39983585214437906</c:v>
                </c:pt>
                <c:pt idx="5">
                  <c:v>0.37371992049222325</c:v>
                </c:pt>
                <c:pt idx="6">
                  <c:v>0.29625774074584754</c:v>
                </c:pt>
              </c:numCache>
            </c:numRef>
          </c:val>
          <c:smooth val="0"/>
          <c:extLst>
            <c:ext xmlns:c16="http://schemas.microsoft.com/office/drawing/2014/chart" uri="{C3380CC4-5D6E-409C-BE32-E72D297353CC}">
              <c16:uniqueId val="{00000000-EB4F-4BCE-93DD-659E374D5726}"/>
            </c:ext>
          </c:extLst>
        </c:ser>
        <c:ser>
          <c:idx val="3"/>
          <c:order val="1"/>
          <c:tx>
            <c:v>Philippines</c:v>
          </c:tx>
          <c:spPr>
            <a:ln w="28575" cap="rnd">
              <a:solidFill>
                <a:schemeClr val="accent4"/>
              </a:solidFill>
              <a:round/>
            </a:ln>
            <a:effectLst/>
          </c:spPr>
          <c:marker>
            <c:symbol val="none"/>
          </c:marker>
          <c:cat>
            <c:numRef>
              <c:f>'2.5'!$C$2:$I$2</c:f>
              <c:numCache>
                <c:formatCode>General</c:formatCode>
                <c:ptCount val="7"/>
                <c:pt idx="0">
                  <c:v>2014</c:v>
                </c:pt>
                <c:pt idx="1">
                  <c:v>2015</c:v>
                </c:pt>
                <c:pt idx="2">
                  <c:v>2016</c:v>
                </c:pt>
                <c:pt idx="3">
                  <c:v>2017</c:v>
                </c:pt>
                <c:pt idx="4">
                  <c:v>2018</c:v>
                </c:pt>
                <c:pt idx="5">
                  <c:v>2019</c:v>
                </c:pt>
                <c:pt idx="6">
                  <c:v>2020</c:v>
                </c:pt>
              </c:numCache>
            </c:numRef>
          </c:cat>
          <c:val>
            <c:numRef>
              <c:f>'2.5'!$C$5:$I$5</c:f>
              <c:numCache>
                <c:formatCode>#,##0.00</c:formatCode>
                <c:ptCount val="7"/>
                <c:pt idx="0">
                  <c:v>0.24423259611027229</c:v>
                </c:pt>
                <c:pt idx="1">
                  <c:v>0.24923842340859689</c:v>
                </c:pt>
                <c:pt idx="2">
                  <c:v>0.25049317476257799</c:v>
                </c:pt>
                <c:pt idx="3">
                  <c:v>0.25260579621586549</c:v>
                </c:pt>
                <c:pt idx="4">
                  <c:v>0.23131724515588123</c:v>
                </c:pt>
                <c:pt idx="5">
                  <c:v>0.21738400019313667</c:v>
                </c:pt>
                <c:pt idx="6">
                  <c:v>0.20609776476733341</c:v>
                </c:pt>
              </c:numCache>
            </c:numRef>
          </c:val>
          <c:smooth val="0"/>
          <c:extLst>
            <c:ext xmlns:c16="http://schemas.microsoft.com/office/drawing/2014/chart" uri="{C3380CC4-5D6E-409C-BE32-E72D297353CC}">
              <c16:uniqueId val="{00000001-EB4F-4BCE-93DD-659E374D5726}"/>
            </c:ext>
          </c:extLst>
        </c:ser>
        <c:ser>
          <c:idx val="4"/>
          <c:order val="2"/>
          <c:tx>
            <c:v>Singapore</c:v>
          </c:tx>
          <c:spPr>
            <a:ln w="28575" cap="rnd">
              <a:solidFill>
                <a:schemeClr val="accent5"/>
              </a:solidFill>
              <a:round/>
            </a:ln>
            <a:effectLst/>
          </c:spPr>
          <c:marker>
            <c:symbol val="none"/>
          </c:marker>
          <c:cat>
            <c:numRef>
              <c:f>'2.5'!$C$2:$I$2</c:f>
              <c:numCache>
                <c:formatCode>General</c:formatCode>
                <c:ptCount val="7"/>
                <c:pt idx="0">
                  <c:v>2014</c:v>
                </c:pt>
                <c:pt idx="1">
                  <c:v>2015</c:v>
                </c:pt>
                <c:pt idx="2">
                  <c:v>2016</c:v>
                </c:pt>
                <c:pt idx="3">
                  <c:v>2017</c:v>
                </c:pt>
                <c:pt idx="4">
                  <c:v>2018</c:v>
                </c:pt>
                <c:pt idx="5">
                  <c:v>2019</c:v>
                </c:pt>
                <c:pt idx="6">
                  <c:v>2020</c:v>
                </c:pt>
              </c:numCache>
            </c:numRef>
          </c:cat>
          <c:val>
            <c:numRef>
              <c:f>'2.5'!$C$6:$I$6</c:f>
              <c:numCache>
                <c:formatCode>#,##0.00</c:formatCode>
                <c:ptCount val="7"/>
                <c:pt idx="0">
                  <c:v>0.3810825617966202</c:v>
                </c:pt>
                <c:pt idx="1">
                  <c:v>0.36849932932973095</c:v>
                </c:pt>
                <c:pt idx="2">
                  <c:v>0.35708966891403932</c:v>
                </c:pt>
                <c:pt idx="3">
                  <c:v>0.45751433156091265</c:v>
                </c:pt>
                <c:pt idx="4">
                  <c:v>0.37733890076051324</c:v>
                </c:pt>
                <c:pt idx="5">
                  <c:v>0.39454543421647398</c:v>
                </c:pt>
                <c:pt idx="6">
                  <c:v>0.42298001867598539</c:v>
                </c:pt>
              </c:numCache>
            </c:numRef>
          </c:val>
          <c:smooth val="0"/>
          <c:extLst>
            <c:ext xmlns:c16="http://schemas.microsoft.com/office/drawing/2014/chart" uri="{C3380CC4-5D6E-409C-BE32-E72D297353CC}">
              <c16:uniqueId val="{00000002-EB4F-4BCE-93DD-659E374D5726}"/>
            </c:ext>
          </c:extLst>
        </c:ser>
        <c:ser>
          <c:idx val="5"/>
          <c:order val="3"/>
          <c:tx>
            <c:v>Thailand</c:v>
          </c:tx>
          <c:spPr>
            <a:ln w="28575" cap="rnd">
              <a:solidFill>
                <a:schemeClr val="accent6"/>
              </a:solidFill>
              <a:round/>
            </a:ln>
            <a:effectLst/>
          </c:spPr>
          <c:marker>
            <c:symbol val="none"/>
          </c:marker>
          <c:cat>
            <c:numRef>
              <c:f>'2.5'!$C$2:$I$2</c:f>
              <c:numCache>
                <c:formatCode>General</c:formatCode>
                <c:ptCount val="7"/>
                <c:pt idx="0">
                  <c:v>2014</c:v>
                </c:pt>
                <c:pt idx="1">
                  <c:v>2015</c:v>
                </c:pt>
                <c:pt idx="2">
                  <c:v>2016</c:v>
                </c:pt>
                <c:pt idx="3">
                  <c:v>2017</c:v>
                </c:pt>
                <c:pt idx="4">
                  <c:v>2018</c:v>
                </c:pt>
                <c:pt idx="5">
                  <c:v>2019</c:v>
                </c:pt>
                <c:pt idx="6">
                  <c:v>2020</c:v>
                </c:pt>
              </c:numCache>
            </c:numRef>
          </c:cat>
          <c:val>
            <c:numRef>
              <c:f>'2.5'!$C$7:$I$7</c:f>
              <c:numCache>
                <c:formatCode>#,##0.00</c:formatCode>
                <c:ptCount val="7"/>
                <c:pt idx="0">
                  <c:v>0.428468111872012</c:v>
                </c:pt>
                <c:pt idx="1">
                  <c:v>0.40125024860793934</c:v>
                </c:pt>
                <c:pt idx="2">
                  <c:v>0.36839872496514786</c:v>
                </c:pt>
                <c:pt idx="3">
                  <c:v>0.35087763858038518</c:v>
                </c:pt>
                <c:pt idx="4">
                  <c:v>0.37279252845683697</c:v>
                </c:pt>
                <c:pt idx="5">
                  <c:v>0.38202035370186255</c:v>
                </c:pt>
                <c:pt idx="6">
                  <c:v>0.34562007785593574</c:v>
                </c:pt>
              </c:numCache>
            </c:numRef>
          </c:val>
          <c:smooth val="0"/>
          <c:extLst>
            <c:ext xmlns:c16="http://schemas.microsoft.com/office/drawing/2014/chart" uri="{C3380CC4-5D6E-409C-BE32-E72D297353CC}">
              <c16:uniqueId val="{00000003-EB4F-4BCE-93DD-659E374D5726}"/>
            </c:ext>
          </c:extLst>
        </c:ser>
        <c:ser>
          <c:idx val="0"/>
          <c:order val="4"/>
          <c:tx>
            <c:v>Indonesia</c:v>
          </c:tx>
          <c:spPr>
            <a:ln w="25400" cap="rnd">
              <a:solidFill>
                <a:srgbClr val="FF0000"/>
              </a:solidFill>
              <a:prstDash val="dash"/>
              <a:round/>
            </a:ln>
            <a:effectLst/>
          </c:spPr>
          <c:marker>
            <c:symbol val="none"/>
          </c:marker>
          <c:cat>
            <c:numRef>
              <c:f>'2.5'!$C$2:$I$2</c:f>
              <c:numCache>
                <c:formatCode>General</c:formatCode>
                <c:ptCount val="7"/>
                <c:pt idx="0">
                  <c:v>2014</c:v>
                </c:pt>
                <c:pt idx="1">
                  <c:v>2015</c:v>
                </c:pt>
                <c:pt idx="2">
                  <c:v>2016</c:v>
                </c:pt>
                <c:pt idx="3">
                  <c:v>2017</c:v>
                </c:pt>
                <c:pt idx="4">
                  <c:v>2018</c:v>
                </c:pt>
                <c:pt idx="5">
                  <c:v>2019</c:v>
                </c:pt>
                <c:pt idx="6">
                  <c:v>2020</c:v>
                </c:pt>
              </c:numCache>
            </c:numRef>
          </c:cat>
          <c:val>
            <c:numRef>
              <c:f>'2.5'!$C$3:$I$3</c:f>
              <c:numCache>
                <c:formatCode>#,##0.00</c:formatCode>
                <c:ptCount val="7"/>
                <c:pt idx="0">
                  <c:v>0.26873675325219065</c:v>
                </c:pt>
                <c:pt idx="1">
                  <c:v>0.27251065341040215</c:v>
                </c:pt>
                <c:pt idx="2">
                  <c:v>0.24614753012822715</c:v>
                </c:pt>
                <c:pt idx="3">
                  <c:v>0.24467898729041512</c:v>
                </c:pt>
                <c:pt idx="4">
                  <c:v>0.26446158210051435</c:v>
                </c:pt>
                <c:pt idx="5">
                  <c:v>0.25050675329653815</c:v>
                </c:pt>
                <c:pt idx="6">
                  <c:v>0.20963381759027563</c:v>
                </c:pt>
              </c:numCache>
            </c:numRef>
          </c:val>
          <c:smooth val="0"/>
          <c:extLst>
            <c:ext xmlns:c16="http://schemas.microsoft.com/office/drawing/2014/chart" uri="{C3380CC4-5D6E-409C-BE32-E72D297353CC}">
              <c16:uniqueId val="{00000004-EB4F-4BCE-93DD-659E374D5726}"/>
            </c:ext>
          </c:extLst>
        </c:ser>
        <c:dLbls>
          <c:showLegendKey val="0"/>
          <c:showVal val="0"/>
          <c:showCatName val="0"/>
          <c:showSerName val="0"/>
          <c:showPercent val="0"/>
          <c:showBubbleSize val="0"/>
        </c:dLbls>
        <c:smooth val="0"/>
        <c:axId val="857310000"/>
        <c:axId val="857310416"/>
      </c:lineChart>
      <c:catAx>
        <c:axId val="857310000"/>
        <c:scaling>
          <c:orientation val="minMax"/>
        </c:scaling>
        <c:delete val="0"/>
        <c:axPos val="b"/>
        <c:numFmt formatCode="General" sourceLinked="1"/>
        <c:majorTickMark val="in"/>
        <c:minorTickMark val="none"/>
        <c:tickLblPos val="nextTo"/>
        <c:spPr>
          <a:noFill/>
          <a:ln w="9525"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7310416"/>
        <c:crosses val="autoZero"/>
        <c:auto val="1"/>
        <c:lblAlgn val="ctr"/>
        <c:lblOffset val="100"/>
        <c:noMultiLvlLbl val="0"/>
      </c:catAx>
      <c:valAx>
        <c:axId val="857310416"/>
        <c:scaling>
          <c:orientation val="minMax"/>
          <c:max val="0.8"/>
        </c:scaling>
        <c:delete val="0"/>
        <c:axPos val="l"/>
        <c:numFmt formatCode="#,##0.0" sourceLinked="0"/>
        <c:majorTickMark val="in"/>
        <c:minorTickMark val="none"/>
        <c:tickLblPos val="nextTo"/>
        <c:spPr>
          <a:noFill/>
          <a:ln>
            <a:solidFill>
              <a:schemeClr val="bg1">
                <a:lumMod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7310000"/>
        <c:crosses val="autoZero"/>
        <c:crossBetween val="midCat"/>
        <c:majorUnit val="0.2"/>
      </c:valAx>
      <c:spPr>
        <a:noFill/>
        <a:ln>
          <a:noFill/>
        </a:ln>
        <a:effectLst/>
      </c:spPr>
    </c:plotArea>
    <c:legend>
      <c:legendPos val="b"/>
      <c:layout>
        <c:manualLayout>
          <c:xMode val="edge"/>
          <c:yMode val="edge"/>
          <c:x val="0.24584928933063696"/>
          <c:y val="4.2360074064017858E-2"/>
          <c:w val="0.69403213097282923"/>
          <c:h val="0.276713910761154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26145662273499E-2"/>
          <c:y val="4.9633363283888274E-2"/>
          <c:w val="0.89697446910045331"/>
          <c:h val="0.86825379737863362"/>
        </c:manualLayout>
      </c:layout>
      <c:lineChart>
        <c:grouping val="standard"/>
        <c:varyColors val="0"/>
        <c:ser>
          <c:idx val="0"/>
          <c:order val="0"/>
          <c:tx>
            <c:strRef>
              <c:f>Sheet1!$A$2</c:f>
              <c:strCache>
                <c:ptCount val="1"/>
                <c:pt idx="0">
                  <c:v>Min. IDR 100 bln</c:v>
                </c:pt>
              </c:strCache>
            </c:strRef>
          </c:tx>
          <c:spPr>
            <a:ln w="28575" cap="rnd">
              <a:solidFill>
                <a:schemeClr val="accent1"/>
              </a:solidFill>
              <a:round/>
            </a:ln>
            <a:effectLst/>
          </c:spPr>
          <c:marker>
            <c:symbol val="none"/>
          </c:marker>
          <c:cat>
            <c:numRef>
              <c:f>Sheet1!$B$1:$Y$1</c:f>
              <c:numCache>
                <c:formatCode>General</c:formatCod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numCache>
            </c:numRef>
          </c:cat>
          <c:val>
            <c:numRef>
              <c:f>Sheet1!$B$2:$Y$2</c:f>
              <c:numCache>
                <c:formatCode>General</c:formatCode>
                <c:ptCount val="24"/>
                <c:pt idx="0">
                  <c:v>11</c:v>
                </c:pt>
                <c:pt idx="1">
                  <c:v>11</c:v>
                </c:pt>
                <c:pt idx="2">
                  <c:v>11</c:v>
                </c:pt>
                <c:pt idx="3">
                  <c:v>11</c:v>
                </c:pt>
                <c:pt idx="4">
                  <c:v>11</c:v>
                </c:pt>
                <c:pt idx="5">
                  <c:v>16.5</c:v>
                </c:pt>
                <c:pt idx="6">
                  <c:v>16.5</c:v>
                </c:pt>
                <c:pt idx="7">
                  <c:v>22</c:v>
                </c:pt>
                <c:pt idx="8">
                  <c:v>22</c:v>
                </c:pt>
                <c:pt idx="9">
                  <c:v>22</c:v>
                </c:pt>
                <c:pt idx="10">
                  <c:v>22</c:v>
                </c:pt>
                <c:pt idx="11">
                  <c:v>22</c:v>
                </c:pt>
                <c:pt idx="12">
                  <c:v>22</c:v>
                </c:pt>
                <c:pt idx="13">
                  <c:v>22</c:v>
                </c:pt>
                <c:pt idx="14">
                  <c:v>22</c:v>
                </c:pt>
                <c:pt idx="15">
                  <c:v>22</c:v>
                </c:pt>
                <c:pt idx="16">
                  <c:v>22</c:v>
                </c:pt>
                <c:pt idx="17">
                  <c:v>22</c:v>
                </c:pt>
                <c:pt idx="18">
                  <c:v>22</c:v>
                </c:pt>
                <c:pt idx="19">
                  <c:v>22</c:v>
                </c:pt>
                <c:pt idx="20">
                  <c:v>22</c:v>
                </c:pt>
                <c:pt idx="21">
                  <c:v>22</c:v>
                </c:pt>
                <c:pt idx="22">
                  <c:v>22</c:v>
                </c:pt>
                <c:pt idx="23">
                  <c:v>22</c:v>
                </c:pt>
              </c:numCache>
            </c:numRef>
          </c:val>
          <c:smooth val="0"/>
          <c:extLst>
            <c:ext xmlns:c16="http://schemas.microsoft.com/office/drawing/2014/chart" uri="{C3380CC4-5D6E-409C-BE32-E72D297353CC}">
              <c16:uniqueId val="{00000000-033C-40B6-9C31-B47AAE726462}"/>
            </c:ext>
          </c:extLst>
        </c:ser>
        <c:ser>
          <c:idx val="1"/>
          <c:order val="1"/>
          <c:tx>
            <c:strRef>
              <c:f>Sheet1!$A$3</c:f>
              <c:strCache>
                <c:ptCount val="1"/>
                <c:pt idx="0">
                  <c:v>Min. IDR 500 bln</c:v>
                </c:pt>
              </c:strCache>
            </c:strRef>
          </c:tx>
          <c:spPr>
            <a:ln w="28575" cap="rnd">
              <a:solidFill>
                <a:schemeClr val="accent2"/>
              </a:solidFill>
              <a:round/>
            </a:ln>
            <a:effectLst/>
          </c:spPr>
          <c:marker>
            <c:symbol val="none"/>
          </c:marker>
          <c:cat>
            <c:numRef>
              <c:f>Sheet1!$B$1:$Y$1</c:f>
              <c:numCache>
                <c:formatCode>General</c:formatCod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numCache>
            </c:numRef>
          </c:cat>
          <c:val>
            <c:numRef>
              <c:f>Sheet1!$B$3:$Y$3</c:f>
              <c:numCache>
                <c:formatCode>General</c:formatCode>
                <c:ptCount val="24"/>
                <c:pt idx="0">
                  <c:v>0</c:v>
                </c:pt>
                <c:pt idx="1">
                  <c:v>0</c:v>
                </c:pt>
                <c:pt idx="2">
                  <c:v>0</c:v>
                </c:pt>
                <c:pt idx="3">
                  <c:v>0</c:v>
                </c:pt>
                <c:pt idx="4">
                  <c:v>0</c:v>
                </c:pt>
                <c:pt idx="5">
                  <c:v>11</c:v>
                </c:pt>
                <c:pt idx="6">
                  <c:v>11</c:v>
                </c:pt>
                <c:pt idx="7">
                  <c:v>22</c:v>
                </c:pt>
                <c:pt idx="8">
                  <c:v>22</c:v>
                </c:pt>
                <c:pt idx="9">
                  <c:v>22</c:v>
                </c:pt>
                <c:pt idx="10">
                  <c:v>22</c:v>
                </c:pt>
                <c:pt idx="11">
                  <c:v>22</c:v>
                </c:pt>
                <c:pt idx="12">
                  <c:v>22</c:v>
                </c:pt>
                <c:pt idx="13">
                  <c:v>22</c:v>
                </c:pt>
                <c:pt idx="14">
                  <c:v>22</c:v>
                </c:pt>
                <c:pt idx="15">
                  <c:v>22</c:v>
                </c:pt>
                <c:pt idx="16">
                  <c:v>22</c:v>
                </c:pt>
                <c:pt idx="17">
                  <c:v>22</c:v>
                </c:pt>
                <c:pt idx="18">
                  <c:v>22</c:v>
                </c:pt>
                <c:pt idx="19">
                  <c:v>22</c:v>
                </c:pt>
                <c:pt idx="20">
                  <c:v>22</c:v>
                </c:pt>
                <c:pt idx="21">
                  <c:v>22</c:v>
                </c:pt>
                <c:pt idx="22">
                  <c:v>22</c:v>
                </c:pt>
                <c:pt idx="23">
                  <c:v>22</c:v>
                </c:pt>
              </c:numCache>
            </c:numRef>
          </c:val>
          <c:smooth val="0"/>
          <c:extLst>
            <c:ext xmlns:c16="http://schemas.microsoft.com/office/drawing/2014/chart" uri="{C3380CC4-5D6E-409C-BE32-E72D297353CC}">
              <c16:uniqueId val="{00000001-033C-40B6-9C31-B47AAE726462}"/>
            </c:ext>
          </c:extLst>
        </c:ser>
        <c:ser>
          <c:idx val="2"/>
          <c:order val="2"/>
          <c:tx>
            <c:strRef>
              <c:f>Sheet1!$A$4</c:f>
              <c:strCache>
                <c:ptCount val="1"/>
                <c:pt idx="0">
                  <c:v>Min. IDR 1 tln</c:v>
                </c:pt>
              </c:strCache>
            </c:strRef>
          </c:tx>
          <c:spPr>
            <a:ln w="28575" cap="rnd">
              <a:solidFill>
                <a:schemeClr val="accent3"/>
              </a:solidFill>
              <a:round/>
            </a:ln>
            <a:effectLst/>
          </c:spPr>
          <c:marker>
            <c:symbol val="none"/>
          </c:marker>
          <c:cat>
            <c:numRef>
              <c:f>Sheet1!$B$1:$Y$1</c:f>
              <c:numCache>
                <c:formatCode>General</c:formatCod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numCache>
            </c:numRef>
          </c:cat>
          <c:val>
            <c:numRef>
              <c:f>Sheet1!$B$4:$Y$4</c:f>
              <c:numCache>
                <c:formatCode>General</c:formatCode>
                <c:ptCount val="24"/>
                <c:pt idx="0">
                  <c:v>0</c:v>
                </c:pt>
                <c:pt idx="1">
                  <c:v>0</c:v>
                </c:pt>
                <c:pt idx="2">
                  <c:v>0</c:v>
                </c:pt>
                <c:pt idx="3">
                  <c:v>0</c:v>
                </c:pt>
                <c:pt idx="4">
                  <c:v>0</c:v>
                </c:pt>
                <c:pt idx="5">
                  <c:v>0</c:v>
                </c:pt>
                <c:pt idx="6">
                  <c:v>0</c:v>
                </c:pt>
                <c:pt idx="7">
                  <c:v>11</c:v>
                </c:pt>
                <c:pt idx="8">
                  <c:v>11</c:v>
                </c:pt>
                <c:pt idx="9">
                  <c:v>22</c:v>
                </c:pt>
                <c:pt idx="10">
                  <c:v>22</c:v>
                </c:pt>
                <c:pt idx="11">
                  <c:v>22</c:v>
                </c:pt>
                <c:pt idx="12">
                  <c:v>22</c:v>
                </c:pt>
                <c:pt idx="13">
                  <c:v>22</c:v>
                </c:pt>
                <c:pt idx="14">
                  <c:v>22</c:v>
                </c:pt>
                <c:pt idx="15">
                  <c:v>22</c:v>
                </c:pt>
                <c:pt idx="16">
                  <c:v>22</c:v>
                </c:pt>
                <c:pt idx="17">
                  <c:v>22</c:v>
                </c:pt>
                <c:pt idx="18">
                  <c:v>22</c:v>
                </c:pt>
                <c:pt idx="19">
                  <c:v>22</c:v>
                </c:pt>
                <c:pt idx="20">
                  <c:v>22</c:v>
                </c:pt>
                <c:pt idx="21">
                  <c:v>22</c:v>
                </c:pt>
                <c:pt idx="22">
                  <c:v>22</c:v>
                </c:pt>
                <c:pt idx="23">
                  <c:v>22</c:v>
                </c:pt>
              </c:numCache>
            </c:numRef>
          </c:val>
          <c:smooth val="0"/>
          <c:extLst>
            <c:ext xmlns:c16="http://schemas.microsoft.com/office/drawing/2014/chart" uri="{C3380CC4-5D6E-409C-BE32-E72D297353CC}">
              <c16:uniqueId val="{00000002-033C-40B6-9C31-B47AAE726462}"/>
            </c:ext>
          </c:extLst>
        </c:ser>
        <c:ser>
          <c:idx val="3"/>
          <c:order val="3"/>
          <c:tx>
            <c:strRef>
              <c:f>Sheet1!$A$5</c:f>
              <c:strCache>
                <c:ptCount val="1"/>
                <c:pt idx="0">
                  <c:v>Min. IDR 5 tln</c:v>
                </c:pt>
              </c:strCache>
            </c:strRef>
          </c:tx>
          <c:spPr>
            <a:ln w="28575" cap="rnd">
              <a:solidFill>
                <a:schemeClr val="accent4"/>
              </a:solidFill>
              <a:round/>
            </a:ln>
            <a:effectLst/>
          </c:spPr>
          <c:marker>
            <c:symbol val="none"/>
          </c:marker>
          <c:cat>
            <c:numRef>
              <c:f>Sheet1!$B$1:$Y$1</c:f>
              <c:numCache>
                <c:formatCode>General</c:formatCod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numCache>
            </c:numRef>
          </c:cat>
          <c:val>
            <c:numRef>
              <c:f>Sheet1!$B$5:$Y$5</c:f>
              <c:numCache>
                <c:formatCode>General</c:formatCode>
                <c:ptCount val="24"/>
                <c:pt idx="0">
                  <c:v>0</c:v>
                </c:pt>
                <c:pt idx="1">
                  <c:v>0</c:v>
                </c:pt>
                <c:pt idx="2">
                  <c:v>0</c:v>
                </c:pt>
                <c:pt idx="3">
                  <c:v>0</c:v>
                </c:pt>
                <c:pt idx="4">
                  <c:v>0</c:v>
                </c:pt>
                <c:pt idx="5">
                  <c:v>0</c:v>
                </c:pt>
                <c:pt idx="6">
                  <c:v>0</c:v>
                </c:pt>
                <c:pt idx="7">
                  <c:v>0</c:v>
                </c:pt>
                <c:pt idx="8">
                  <c:v>0</c:v>
                </c:pt>
                <c:pt idx="9">
                  <c:v>0</c:v>
                </c:pt>
                <c:pt idx="10">
                  <c:v>11</c:v>
                </c:pt>
                <c:pt idx="11">
                  <c:v>11</c:v>
                </c:pt>
                <c:pt idx="12">
                  <c:v>22</c:v>
                </c:pt>
                <c:pt idx="13">
                  <c:v>22</c:v>
                </c:pt>
                <c:pt idx="14">
                  <c:v>22</c:v>
                </c:pt>
                <c:pt idx="15">
                  <c:v>22</c:v>
                </c:pt>
                <c:pt idx="16">
                  <c:v>22</c:v>
                </c:pt>
                <c:pt idx="17">
                  <c:v>22</c:v>
                </c:pt>
                <c:pt idx="18">
                  <c:v>22</c:v>
                </c:pt>
                <c:pt idx="19">
                  <c:v>22</c:v>
                </c:pt>
                <c:pt idx="20">
                  <c:v>22</c:v>
                </c:pt>
                <c:pt idx="21">
                  <c:v>22</c:v>
                </c:pt>
                <c:pt idx="22">
                  <c:v>22</c:v>
                </c:pt>
                <c:pt idx="23">
                  <c:v>22</c:v>
                </c:pt>
              </c:numCache>
            </c:numRef>
          </c:val>
          <c:smooth val="0"/>
          <c:extLst>
            <c:ext xmlns:c16="http://schemas.microsoft.com/office/drawing/2014/chart" uri="{C3380CC4-5D6E-409C-BE32-E72D297353CC}">
              <c16:uniqueId val="{00000003-033C-40B6-9C31-B47AAE726462}"/>
            </c:ext>
          </c:extLst>
        </c:ser>
        <c:ser>
          <c:idx val="4"/>
          <c:order val="4"/>
          <c:tx>
            <c:strRef>
              <c:f>Sheet1!$A$6</c:f>
              <c:strCache>
                <c:ptCount val="1"/>
                <c:pt idx="0">
                  <c:v>Min. IDR 15 tln</c:v>
                </c:pt>
              </c:strCache>
            </c:strRef>
          </c:tx>
          <c:spPr>
            <a:ln w="28575" cap="rnd">
              <a:solidFill>
                <a:schemeClr val="accent5"/>
              </a:solidFill>
              <a:round/>
            </a:ln>
            <a:effectLst/>
          </c:spPr>
          <c:marker>
            <c:symbol val="none"/>
          </c:marker>
          <c:cat>
            <c:numRef>
              <c:f>Sheet1!$B$1:$Y$1</c:f>
              <c:numCache>
                <c:formatCode>General</c:formatCod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numCache>
            </c:numRef>
          </c:cat>
          <c:val>
            <c:numRef>
              <c:f>Sheet1!$B$6:$Y$6</c:f>
              <c:numCache>
                <c:formatCode>General</c:formatCode>
                <c:ptCount val="2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11</c:v>
                </c:pt>
                <c:pt idx="16">
                  <c:v>11</c:v>
                </c:pt>
                <c:pt idx="17">
                  <c:v>22</c:v>
                </c:pt>
                <c:pt idx="18">
                  <c:v>22</c:v>
                </c:pt>
                <c:pt idx="19">
                  <c:v>22</c:v>
                </c:pt>
                <c:pt idx="20">
                  <c:v>22</c:v>
                </c:pt>
                <c:pt idx="21">
                  <c:v>22</c:v>
                </c:pt>
                <c:pt idx="22">
                  <c:v>22</c:v>
                </c:pt>
                <c:pt idx="23">
                  <c:v>22</c:v>
                </c:pt>
              </c:numCache>
            </c:numRef>
          </c:val>
          <c:smooth val="0"/>
          <c:extLst>
            <c:ext xmlns:c16="http://schemas.microsoft.com/office/drawing/2014/chart" uri="{C3380CC4-5D6E-409C-BE32-E72D297353CC}">
              <c16:uniqueId val="{00000004-033C-40B6-9C31-B47AAE726462}"/>
            </c:ext>
          </c:extLst>
        </c:ser>
        <c:ser>
          <c:idx val="5"/>
          <c:order val="5"/>
          <c:tx>
            <c:strRef>
              <c:f>Sheet1!$A$7</c:f>
              <c:strCache>
                <c:ptCount val="1"/>
                <c:pt idx="0">
                  <c:v>Min. IDR 30 tln</c:v>
                </c:pt>
              </c:strCache>
            </c:strRef>
          </c:tx>
          <c:spPr>
            <a:ln w="28575" cap="rnd">
              <a:solidFill>
                <a:schemeClr val="accent6"/>
              </a:solidFill>
              <a:round/>
            </a:ln>
            <a:effectLst/>
          </c:spPr>
          <c:marker>
            <c:symbol val="none"/>
          </c:marker>
          <c:cat>
            <c:numRef>
              <c:f>Sheet1!$B$1:$Y$1</c:f>
              <c:numCache>
                <c:formatCode>General</c:formatCod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numCache>
            </c:numRef>
          </c:cat>
          <c:val>
            <c:numRef>
              <c:f>Sheet1!$B$7:$Y$7</c:f>
              <c:numCache>
                <c:formatCode>General</c:formatCode>
                <c:ptCount val="24"/>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11</c:v>
                </c:pt>
                <c:pt idx="21">
                  <c:v>11</c:v>
                </c:pt>
                <c:pt idx="22">
                  <c:v>22</c:v>
                </c:pt>
                <c:pt idx="23">
                  <c:v>22</c:v>
                </c:pt>
              </c:numCache>
            </c:numRef>
          </c:val>
          <c:smooth val="0"/>
          <c:extLst>
            <c:ext xmlns:c16="http://schemas.microsoft.com/office/drawing/2014/chart" uri="{C3380CC4-5D6E-409C-BE32-E72D297353CC}">
              <c16:uniqueId val="{00000005-033C-40B6-9C31-B47AAE726462}"/>
            </c:ext>
          </c:extLst>
        </c:ser>
        <c:dLbls>
          <c:showLegendKey val="0"/>
          <c:showVal val="0"/>
          <c:showCatName val="0"/>
          <c:showSerName val="0"/>
          <c:showPercent val="0"/>
          <c:showBubbleSize val="0"/>
        </c:dLbls>
        <c:smooth val="0"/>
        <c:axId val="1909005087"/>
        <c:axId val="1909006335"/>
      </c:lineChart>
      <c:catAx>
        <c:axId val="1909005087"/>
        <c:scaling>
          <c:orientation val="minMax"/>
        </c:scaling>
        <c:delete val="0"/>
        <c:axPos val="b"/>
        <c:numFmt formatCode="General" sourceLinked="1"/>
        <c:majorTickMark val="in"/>
        <c:minorTickMark val="none"/>
        <c:tickLblPos val="nextTo"/>
        <c:spPr>
          <a:noFill/>
          <a:ln w="6350" cap="flat" cmpd="sng" algn="ctr">
            <a:solidFill>
              <a:schemeClr val="bg1">
                <a:lumMod val="50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crossAx val="1909006335"/>
        <c:crosses val="autoZero"/>
        <c:auto val="1"/>
        <c:lblAlgn val="ctr"/>
        <c:lblOffset val="100"/>
        <c:tickLblSkip val="2"/>
        <c:noMultiLvlLbl val="0"/>
      </c:catAx>
      <c:valAx>
        <c:axId val="1909006335"/>
        <c:scaling>
          <c:orientation val="minMax"/>
          <c:max val="30"/>
        </c:scaling>
        <c:delete val="0"/>
        <c:axPos val="l"/>
        <c:numFmt formatCode="General" sourceLinked="1"/>
        <c:majorTickMark val="in"/>
        <c:minorTickMark val="none"/>
        <c:tickLblPos val="nextTo"/>
        <c:spPr>
          <a:noFill/>
          <a:ln w="6350">
            <a:solidFill>
              <a:schemeClr val="bg1">
                <a:lumMod val="50000"/>
              </a:schemeClr>
            </a:solid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crossAx val="1909005087"/>
        <c:crosses val="autoZero"/>
        <c:crossBetween val="between"/>
      </c:valAx>
      <c:spPr>
        <a:noFill/>
        <a:ln>
          <a:noFill/>
        </a:ln>
        <a:effectLst/>
      </c:spPr>
    </c:plotArea>
    <c:legend>
      <c:legendPos val="b"/>
      <c:layout>
        <c:manualLayout>
          <c:xMode val="edge"/>
          <c:yMode val="edge"/>
          <c:x val="2.6339727668269648E-2"/>
          <c:y val="3.348388320327042E-2"/>
          <c:w val="0.9706170621289788"/>
          <c:h val="0.18756125600267851"/>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814293340451088"/>
          <c:y val="5.659383747856854E-2"/>
          <c:w val="0.80132975962750419"/>
          <c:h val="0.64716062678263864"/>
        </c:manualLayout>
      </c:layout>
      <c:areaChart>
        <c:grouping val="stacked"/>
        <c:varyColors val="1"/>
        <c:ser>
          <c:idx val="0"/>
          <c:order val="0"/>
          <c:tx>
            <c:strRef>
              <c:f>'2.8'!$A$4</c:f>
              <c:strCache>
                <c:ptCount val="1"/>
                <c:pt idx="0">
                  <c:v>AFT</c:v>
                </c:pt>
              </c:strCache>
            </c:strRef>
          </c:tx>
          <c:cat>
            <c:numRef>
              <c:f>'2.8'!$B$3:$H$3</c:f>
              <c:numCache>
                <c:formatCode>General</c:formatCode>
                <c:ptCount val="7"/>
                <c:pt idx="0">
                  <c:v>2016</c:v>
                </c:pt>
                <c:pt idx="1">
                  <c:v>2017</c:v>
                </c:pt>
                <c:pt idx="2">
                  <c:v>2018</c:v>
                </c:pt>
                <c:pt idx="3">
                  <c:v>2019</c:v>
                </c:pt>
                <c:pt idx="4">
                  <c:v>2020</c:v>
                </c:pt>
                <c:pt idx="5">
                  <c:v>2021</c:v>
                </c:pt>
                <c:pt idx="6">
                  <c:v>2022</c:v>
                </c:pt>
              </c:numCache>
            </c:numRef>
          </c:cat>
          <c:val>
            <c:numRef>
              <c:f>'2.8'!$B$4:$H$4</c:f>
              <c:numCache>
                <c:formatCode>0.000</c:formatCode>
                <c:ptCount val="7"/>
                <c:pt idx="0">
                  <c:v>5.8040322580645148E-2</c:v>
                </c:pt>
                <c:pt idx="1">
                  <c:v>7.2877115526122152E-2</c:v>
                </c:pt>
                <c:pt idx="2">
                  <c:v>0.11327493261455526</c:v>
                </c:pt>
                <c:pt idx="3">
                  <c:v>0.13041692987997472</c:v>
                </c:pt>
                <c:pt idx="4">
                  <c:v>9.708549222797927E-2</c:v>
                </c:pt>
                <c:pt idx="5">
                  <c:v>0.10774440518256773</c:v>
                </c:pt>
                <c:pt idx="6">
                  <c:v>8.0826952526799375E-2</c:v>
                </c:pt>
              </c:numCache>
            </c:numRef>
          </c:val>
          <c:extLst>
            <c:ext xmlns:c16="http://schemas.microsoft.com/office/drawing/2014/chart" uri="{C3380CC4-5D6E-409C-BE32-E72D297353CC}">
              <c16:uniqueId val="{00000000-E809-4CF7-8775-ACC9355C1AF5}"/>
            </c:ext>
          </c:extLst>
        </c:ser>
        <c:ser>
          <c:idx val="1"/>
          <c:order val="1"/>
          <c:tx>
            <c:strRef>
              <c:f>'2.8'!$A$5</c:f>
              <c:strCache>
                <c:ptCount val="1"/>
                <c:pt idx="0">
                  <c:v>Reduced CIT Rate, Listed Coys</c:v>
                </c:pt>
              </c:strCache>
            </c:strRef>
          </c:tx>
          <c:cat>
            <c:numRef>
              <c:f>'2.8'!$B$3:$H$3</c:f>
              <c:numCache>
                <c:formatCode>General</c:formatCode>
                <c:ptCount val="7"/>
                <c:pt idx="0">
                  <c:v>2016</c:v>
                </c:pt>
                <c:pt idx="1">
                  <c:v>2017</c:v>
                </c:pt>
                <c:pt idx="2">
                  <c:v>2018</c:v>
                </c:pt>
                <c:pt idx="3">
                  <c:v>2019</c:v>
                </c:pt>
                <c:pt idx="4">
                  <c:v>2020</c:v>
                </c:pt>
                <c:pt idx="5">
                  <c:v>2021</c:v>
                </c:pt>
                <c:pt idx="6">
                  <c:v>2022</c:v>
                </c:pt>
              </c:numCache>
            </c:numRef>
          </c:cat>
          <c:val>
            <c:numRef>
              <c:f>'2.8'!$B$5:$H$5</c:f>
              <c:numCache>
                <c:formatCode>0.000</c:formatCode>
                <c:ptCount val="7"/>
                <c:pt idx="0">
                  <c:v>5.7072580645161283E-2</c:v>
                </c:pt>
                <c:pt idx="1">
                  <c:v>5.5864606328182485E-2</c:v>
                </c:pt>
                <c:pt idx="2">
                  <c:v>5.7931266846361198E-2</c:v>
                </c:pt>
                <c:pt idx="3">
                  <c:v>5.9437776373973461E-2</c:v>
                </c:pt>
                <c:pt idx="4">
                  <c:v>3.1126943005181346E-2</c:v>
                </c:pt>
                <c:pt idx="5">
                  <c:v>3.9964664310954065E-2</c:v>
                </c:pt>
                <c:pt idx="6">
                  <c:v>4.0811638591117916E-2</c:v>
                </c:pt>
              </c:numCache>
            </c:numRef>
          </c:val>
          <c:extLst>
            <c:ext xmlns:c16="http://schemas.microsoft.com/office/drawing/2014/chart" uri="{C3380CC4-5D6E-409C-BE32-E72D297353CC}">
              <c16:uniqueId val="{00000001-E809-4CF7-8775-ACC9355C1AF5}"/>
            </c:ext>
          </c:extLst>
        </c:ser>
        <c:ser>
          <c:idx val="2"/>
          <c:order val="2"/>
          <c:tx>
            <c:strRef>
              <c:f>'2.8'!$A$6</c:f>
              <c:strCache>
                <c:ptCount val="1"/>
                <c:pt idx="0">
                  <c:v>Reduced CIT Rate, MSMEs</c:v>
                </c:pt>
              </c:strCache>
            </c:strRef>
          </c:tx>
          <c:cat>
            <c:numRef>
              <c:f>'2.8'!$B$3:$H$3</c:f>
              <c:numCache>
                <c:formatCode>General</c:formatCode>
                <c:ptCount val="7"/>
                <c:pt idx="0">
                  <c:v>2016</c:v>
                </c:pt>
                <c:pt idx="1">
                  <c:v>2017</c:v>
                </c:pt>
                <c:pt idx="2">
                  <c:v>2018</c:v>
                </c:pt>
                <c:pt idx="3">
                  <c:v>2019</c:v>
                </c:pt>
                <c:pt idx="4">
                  <c:v>2020</c:v>
                </c:pt>
                <c:pt idx="5">
                  <c:v>2021</c:v>
                </c:pt>
                <c:pt idx="6">
                  <c:v>2022</c:v>
                </c:pt>
              </c:numCache>
            </c:numRef>
          </c:cat>
          <c:val>
            <c:numRef>
              <c:f>'2.8'!$B$6:$H$6</c:f>
              <c:numCache>
                <c:formatCode>0.000</c:formatCode>
                <c:ptCount val="7"/>
                <c:pt idx="0">
                  <c:v>2.0491935483870963E-2</c:v>
                </c:pt>
                <c:pt idx="1">
                  <c:v>2.0963944076526859E-2</c:v>
                </c:pt>
                <c:pt idx="2">
                  <c:v>2.0053908355795149E-2</c:v>
                </c:pt>
                <c:pt idx="3">
                  <c:v>2.1156032849020845E-2</c:v>
                </c:pt>
                <c:pt idx="4">
                  <c:v>1.8387305699481864E-2</c:v>
                </c:pt>
                <c:pt idx="5">
                  <c:v>2.3227326266195527E-2</c:v>
                </c:pt>
                <c:pt idx="6">
                  <c:v>2.3639612046962733E-2</c:v>
                </c:pt>
              </c:numCache>
            </c:numRef>
          </c:val>
          <c:extLst>
            <c:ext xmlns:c16="http://schemas.microsoft.com/office/drawing/2014/chart" uri="{C3380CC4-5D6E-409C-BE32-E72D297353CC}">
              <c16:uniqueId val="{00000002-E809-4CF7-8775-ACC9355C1AF5}"/>
            </c:ext>
          </c:extLst>
        </c:ser>
        <c:ser>
          <c:idx val="3"/>
          <c:order val="3"/>
          <c:tx>
            <c:strRef>
              <c:f>'2.8'!$A$7</c:f>
              <c:strCache>
                <c:ptCount val="1"/>
                <c:pt idx="0">
                  <c:v>Social Sec. Contri. Deduction</c:v>
                </c:pt>
              </c:strCache>
            </c:strRef>
          </c:tx>
          <c:cat>
            <c:numRef>
              <c:f>'2.8'!$B$3:$H$3</c:f>
              <c:numCache>
                <c:formatCode>General</c:formatCode>
                <c:ptCount val="7"/>
                <c:pt idx="0">
                  <c:v>2016</c:v>
                </c:pt>
                <c:pt idx="1">
                  <c:v>2017</c:v>
                </c:pt>
                <c:pt idx="2">
                  <c:v>2018</c:v>
                </c:pt>
                <c:pt idx="3">
                  <c:v>2019</c:v>
                </c:pt>
                <c:pt idx="4">
                  <c:v>2020</c:v>
                </c:pt>
                <c:pt idx="5">
                  <c:v>2021</c:v>
                </c:pt>
                <c:pt idx="6">
                  <c:v>2022</c:v>
                </c:pt>
              </c:numCache>
            </c:numRef>
          </c:cat>
          <c:val>
            <c:numRef>
              <c:f>'2.8'!$B$7:$H$7</c:f>
              <c:numCache>
                <c:formatCode>0.000</c:formatCode>
                <c:ptCount val="7"/>
                <c:pt idx="0">
                  <c:v>8.2983870967741916E-2</c:v>
                </c:pt>
                <c:pt idx="1">
                  <c:v>9.8241353936718165E-2</c:v>
                </c:pt>
                <c:pt idx="2">
                  <c:v>8.226415094339623E-2</c:v>
                </c:pt>
                <c:pt idx="3">
                  <c:v>0.10372078332280481</c:v>
                </c:pt>
                <c:pt idx="4">
                  <c:v>0.14349740932642488</c:v>
                </c:pt>
                <c:pt idx="5">
                  <c:v>0.13802709069493524</c:v>
                </c:pt>
                <c:pt idx="6">
                  <c:v>0.10439509954058193</c:v>
                </c:pt>
              </c:numCache>
            </c:numRef>
          </c:val>
          <c:extLst>
            <c:ext xmlns:c16="http://schemas.microsoft.com/office/drawing/2014/chart" uri="{C3380CC4-5D6E-409C-BE32-E72D297353CC}">
              <c16:uniqueId val="{00000003-E809-4CF7-8775-ACC9355C1AF5}"/>
            </c:ext>
          </c:extLst>
        </c:ser>
        <c:ser>
          <c:idx val="4"/>
          <c:order val="4"/>
          <c:tx>
            <c:strRef>
              <c:f>'2.8'!$A$8</c:f>
              <c:strCache>
                <c:ptCount val="1"/>
                <c:pt idx="0">
                  <c:v>Tax Holidays and Allowances</c:v>
                </c:pt>
              </c:strCache>
            </c:strRef>
          </c:tx>
          <c:cat>
            <c:numRef>
              <c:f>'2.8'!$B$3:$H$3</c:f>
              <c:numCache>
                <c:formatCode>General</c:formatCode>
                <c:ptCount val="7"/>
                <c:pt idx="0">
                  <c:v>2016</c:v>
                </c:pt>
                <c:pt idx="1">
                  <c:v>2017</c:v>
                </c:pt>
                <c:pt idx="2">
                  <c:v>2018</c:v>
                </c:pt>
                <c:pt idx="3">
                  <c:v>2019</c:v>
                </c:pt>
                <c:pt idx="4">
                  <c:v>2020</c:v>
                </c:pt>
                <c:pt idx="5">
                  <c:v>2021</c:v>
                </c:pt>
                <c:pt idx="6">
                  <c:v>2022</c:v>
                </c:pt>
              </c:numCache>
            </c:numRef>
          </c:cat>
          <c:val>
            <c:numRef>
              <c:f>'2.8'!$B$8:$H$8</c:f>
              <c:numCache>
                <c:formatCode>0.000</c:formatCode>
                <c:ptCount val="7"/>
                <c:pt idx="0">
                  <c:v>8.5403225806451599E-3</c:v>
                </c:pt>
                <c:pt idx="1">
                  <c:v>9.1169977924944814E-3</c:v>
                </c:pt>
                <c:pt idx="2">
                  <c:v>1.5849056603773587E-2</c:v>
                </c:pt>
                <c:pt idx="3">
                  <c:v>1.7056222362602652E-2</c:v>
                </c:pt>
                <c:pt idx="4">
                  <c:v>2.4494818652849738E-2</c:v>
                </c:pt>
                <c:pt idx="5">
                  <c:v>4.750883392226149E-2</c:v>
                </c:pt>
                <c:pt idx="6">
                  <c:v>2.5972434915773352E-2</c:v>
                </c:pt>
              </c:numCache>
            </c:numRef>
          </c:val>
          <c:extLst>
            <c:ext xmlns:c16="http://schemas.microsoft.com/office/drawing/2014/chart" uri="{C3380CC4-5D6E-409C-BE32-E72D297353CC}">
              <c16:uniqueId val="{00000004-E809-4CF7-8775-ACC9355C1AF5}"/>
            </c:ext>
          </c:extLst>
        </c:ser>
        <c:ser>
          <c:idx val="5"/>
          <c:order val="5"/>
          <c:tx>
            <c:strRef>
              <c:f>'2.8'!$A$9</c:f>
              <c:strCache>
                <c:ptCount val="1"/>
                <c:pt idx="0">
                  <c:v>Other Income Tax Expenditures</c:v>
                </c:pt>
              </c:strCache>
            </c:strRef>
          </c:tx>
          <c:cat>
            <c:numRef>
              <c:f>'2.8'!$B$3:$H$3</c:f>
              <c:numCache>
                <c:formatCode>General</c:formatCode>
                <c:ptCount val="7"/>
                <c:pt idx="0">
                  <c:v>2016</c:v>
                </c:pt>
                <c:pt idx="1">
                  <c:v>2017</c:v>
                </c:pt>
                <c:pt idx="2">
                  <c:v>2018</c:v>
                </c:pt>
                <c:pt idx="3">
                  <c:v>2019</c:v>
                </c:pt>
                <c:pt idx="4">
                  <c:v>2020</c:v>
                </c:pt>
                <c:pt idx="5">
                  <c:v>2021</c:v>
                </c:pt>
                <c:pt idx="6">
                  <c:v>2022</c:v>
                </c:pt>
              </c:numCache>
            </c:numRef>
          </c:cat>
          <c:val>
            <c:numRef>
              <c:f>'2.8'!$B$9:$H$9</c:f>
              <c:numCache>
                <c:formatCode>0.000</c:formatCode>
                <c:ptCount val="7"/>
                <c:pt idx="0">
                  <c:v>0.3941048387096775</c:v>
                </c:pt>
                <c:pt idx="1">
                  <c:v>0.42296541574687269</c:v>
                </c:pt>
                <c:pt idx="2">
                  <c:v>0.38354447439353095</c:v>
                </c:pt>
                <c:pt idx="3">
                  <c:v>0.29814276689829433</c:v>
                </c:pt>
                <c:pt idx="4">
                  <c:v>0.28032519430051817</c:v>
                </c:pt>
                <c:pt idx="5">
                  <c:v>0.33717020023557137</c:v>
                </c:pt>
                <c:pt idx="6">
                  <c:v>0.30553854007146503</c:v>
                </c:pt>
              </c:numCache>
            </c:numRef>
          </c:val>
          <c:extLst>
            <c:ext xmlns:c16="http://schemas.microsoft.com/office/drawing/2014/chart" uri="{C3380CC4-5D6E-409C-BE32-E72D297353CC}">
              <c16:uniqueId val="{00000005-E809-4CF7-8775-ACC9355C1AF5}"/>
            </c:ext>
          </c:extLst>
        </c:ser>
        <c:dLbls>
          <c:showLegendKey val="0"/>
          <c:showVal val="0"/>
          <c:showCatName val="0"/>
          <c:showSerName val="0"/>
          <c:showPercent val="0"/>
          <c:showBubbleSize val="0"/>
        </c:dLbls>
        <c:axId val="1463005878"/>
        <c:axId val="958064473"/>
      </c:areaChart>
      <c:catAx>
        <c:axId val="1463005878"/>
        <c:scaling>
          <c:orientation val="minMax"/>
        </c:scaling>
        <c:delete val="0"/>
        <c:axPos val="b"/>
        <c:title>
          <c:tx>
            <c:rich>
              <a:bodyPr/>
              <a:lstStyle/>
              <a:p>
                <a:pPr>
                  <a:defRPr/>
                </a:pPr>
                <a:endParaRPr lang="en-US"/>
              </a:p>
            </c:rich>
          </c:tx>
          <c:overlay val="0"/>
        </c:title>
        <c:numFmt formatCode="General" sourceLinked="1"/>
        <c:majorTickMark val="none"/>
        <c:minorTickMark val="none"/>
        <c:tickLblPos val="nextTo"/>
        <c:txPr>
          <a:bodyPr/>
          <a:lstStyle/>
          <a:p>
            <a:pPr>
              <a:defRPr sz="800"/>
            </a:pPr>
            <a:endParaRPr lang="en-US"/>
          </a:p>
        </c:txPr>
        <c:crossAx val="958064473"/>
        <c:crosses val="autoZero"/>
        <c:auto val="1"/>
        <c:lblAlgn val="ctr"/>
        <c:lblOffset val="100"/>
        <c:noMultiLvlLbl val="1"/>
      </c:catAx>
      <c:valAx>
        <c:axId val="958064473"/>
        <c:scaling>
          <c:orientation val="minMax"/>
        </c:scaling>
        <c:delete val="0"/>
        <c:axPos val="l"/>
        <c:majorGridlines>
          <c:spPr>
            <a:ln>
              <a:solidFill>
                <a:srgbClr val="B7B7B7"/>
              </a:solidFill>
            </a:ln>
          </c:spPr>
        </c:majorGridlines>
        <c:minorGridlines>
          <c:spPr>
            <a:ln>
              <a:solidFill>
                <a:srgbClr val="CCCCCC">
                  <a:alpha val="0"/>
                </a:srgbClr>
              </a:solidFill>
            </a:ln>
          </c:spPr>
        </c:minorGridlines>
        <c:numFmt formatCode="#,##0.0" sourceLinked="0"/>
        <c:majorTickMark val="none"/>
        <c:minorTickMark val="none"/>
        <c:tickLblPos val="nextTo"/>
        <c:spPr>
          <a:ln/>
        </c:spPr>
        <c:txPr>
          <a:bodyPr/>
          <a:lstStyle/>
          <a:p>
            <a:pPr>
              <a:defRPr sz="800"/>
            </a:pPr>
            <a:endParaRPr lang="en-US"/>
          </a:p>
        </c:txPr>
        <c:crossAx val="1463005878"/>
        <c:crosses val="autoZero"/>
        <c:crossBetween val="midCat"/>
      </c:valAx>
      <c:spPr>
        <a:ln>
          <a:solidFill>
            <a:schemeClr val="bg1">
              <a:lumMod val="65000"/>
            </a:schemeClr>
          </a:solidFill>
        </a:ln>
      </c:spPr>
    </c:plotArea>
    <c:legend>
      <c:legendPos val="r"/>
      <c:layout>
        <c:manualLayout>
          <c:xMode val="edge"/>
          <c:yMode val="edge"/>
          <c:x val="0"/>
          <c:y val="0.82628222481158464"/>
          <c:w val="0.99779127185373018"/>
          <c:h val="0.15630529367685544"/>
        </c:manualLayout>
      </c:layout>
      <c:overlay val="0"/>
      <c:txPr>
        <a:bodyPr/>
        <a:lstStyle/>
        <a:p>
          <a:pPr>
            <a:defRPr sz="720"/>
          </a:pPr>
          <a:endParaRPr lang="en-US"/>
        </a:p>
      </c:txPr>
    </c:legend>
    <c:plotVisOnly val="1"/>
    <c:dispBlanksAs val="zero"/>
    <c:showDLblsOverMax val="1"/>
  </c:chart>
  <c:spPr>
    <a:ln>
      <a:noFill/>
    </a:ln>
  </c:spPr>
  <c:txPr>
    <a:bodyPr/>
    <a:lstStyle/>
    <a:p>
      <a:pPr>
        <a:defRPr sz="800"/>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991771298857917E-2"/>
          <c:y val="4.0703192233759337E-2"/>
          <c:w val="0.89738348584805283"/>
          <c:h val="0.77964940924774606"/>
        </c:manualLayout>
      </c:layout>
      <c:barChart>
        <c:barDir val="col"/>
        <c:grouping val="clustered"/>
        <c:varyColors val="0"/>
        <c:ser>
          <c:idx val="0"/>
          <c:order val="0"/>
          <c:spPr>
            <a:solidFill>
              <a:schemeClr val="accent1"/>
            </a:solidFill>
            <a:ln>
              <a:noFill/>
            </a:ln>
            <a:effectLst/>
          </c:spPr>
          <c:invertIfNegative val="0"/>
          <c:cat>
            <c:strRef>
              <c:f>Sheet1!$G$101:$AN$101</c:f>
              <c:strCache>
                <c:ptCount val="34"/>
                <c:pt idx="0">
                  <c:v>-4% to -2%</c:v>
                </c:pt>
                <c:pt idx="1">
                  <c:v>-2% to 0%</c:v>
                </c:pt>
                <c:pt idx="2">
                  <c:v>0% to 2%</c:v>
                </c:pt>
                <c:pt idx="3">
                  <c:v>2% to 4%</c:v>
                </c:pt>
                <c:pt idx="4">
                  <c:v>4% to 6%</c:v>
                </c:pt>
                <c:pt idx="5">
                  <c:v>6% to 8%</c:v>
                </c:pt>
                <c:pt idx="6">
                  <c:v>8% to 10%</c:v>
                </c:pt>
                <c:pt idx="7">
                  <c:v>10% to 12%</c:v>
                </c:pt>
                <c:pt idx="8">
                  <c:v>12% to 14%</c:v>
                </c:pt>
                <c:pt idx="9">
                  <c:v>14% to 16%</c:v>
                </c:pt>
                <c:pt idx="10">
                  <c:v>16% to 18%</c:v>
                </c:pt>
                <c:pt idx="11">
                  <c:v>18% to 20%</c:v>
                </c:pt>
                <c:pt idx="12">
                  <c:v>20% to 22%</c:v>
                </c:pt>
                <c:pt idx="13">
                  <c:v>22% to 24%</c:v>
                </c:pt>
                <c:pt idx="14">
                  <c:v>24% to 26%</c:v>
                </c:pt>
                <c:pt idx="15">
                  <c:v>26% to 28%</c:v>
                </c:pt>
                <c:pt idx="16">
                  <c:v>28% to 30%</c:v>
                </c:pt>
                <c:pt idx="17">
                  <c:v>30% to 32%</c:v>
                </c:pt>
                <c:pt idx="18">
                  <c:v>32% to 34%</c:v>
                </c:pt>
                <c:pt idx="19">
                  <c:v>34% to 36%</c:v>
                </c:pt>
                <c:pt idx="20">
                  <c:v>36% to 38%</c:v>
                </c:pt>
                <c:pt idx="21">
                  <c:v>38% to 40%</c:v>
                </c:pt>
                <c:pt idx="22">
                  <c:v>40% to 42%</c:v>
                </c:pt>
                <c:pt idx="23">
                  <c:v>42% to 44%</c:v>
                </c:pt>
                <c:pt idx="24">
                  <c:v>44% to 46%</c:v>
                </c:pt>
                <c:pt idx="25">
                  <c:v>46% to 48%</c:v>
                </c:pt>
                <c:pt idx="26">
                  <c:v>48% to 50%</c:v>
                </c:pt>
                <c:pt idx="27">
                  <c:v>50% to 52%</c:v>
                </c:pt>
                <c:pt idx="28">
                  <c:v>52% to 54%</c:v>
                </c:pt>
                <c:pt idx="29">
                  <c:v>54% to 56%</c:v>
                </c:pt>
                <c:pt idx="30">
                  <c:v>56% to 58%</c:v>
                </c:pt>
                <c:pt idx="31">
                  <c:v>58% to 60%</c:v>
                </c:pt>
                <c:pt idx="32">
                  <c:v>60% to 62%</c:v>
                </c:pt>
                <c:pt idx="33">
                  <c:v>62% to 64%</c:v>
                </c:pt>
              </c:strCache>
            </c:strRef>
          </c:cat>
          <c:val>
            <c:numRef>
              <c:f>Sheet1!$G$102:$AN$102</c:f>
              <c:numCache>
                <c:formatCode>General</c:formatCode>
                <c:ptCount val="34"/>
                <c:pt idx="0">
                  <c:v>1</c:v>
                </c:pt>
                <c:pt idx="1">
                  <c:v>3</c:v>
                </c:pt>
                <c:pt idx="2">
                  <c:v>3</c:v>
                </c:pt>
                <c:pt idx="3">
                  <c:v>9</c:v>
                </c:pt>
                <c:pt idx="4">
                  <c:v>14</c:v>
                </c:pt>
                <c:pt idx="5">
                  <c:v>18</c:v>
                </c:pt>
                <c:pt idx="6">
                  <c:v>9</c:v>
                </c:pt>
                <c:pt idx="7">
                  <c:v>5</c:v>
                </c:pt>
                <c:pt idx="8">
                  <c:v>5</c:v>
                </c:pt>
                <c:pt idx="9">
                  <c:v>5</c:v>
                </c:pt>
                <c:pt idx="10">
                  <c:v>5</c:v>
                </c:pt>
                <c:pt idx="11">
                  <c:v>3</c:v>
                </c:pt>
                <c:pt idx="12">
                  <c:v>4</c:v>
                </c:pt>
                <c:pt idx="13">
                  <c:v>3</c:v>
                </c:pt>
                <c:pt idx="14">
                  <c:v>1</c:v>
                </c:pt>
                <c:pt idx="15">
                  <c:v>0</c:v>
                </c:pt>
                <c:pt idx="16">
                  <c:v>2</c:v>
                </c:pt>
                <c:pt idx="17">
                  <c:v>0</c:v>
                </c:pt>
                <c:pt idx="18">
                  <c:v>0</c:v>
                </c:pt>
                <c:pt idx="19">
                  <c:v>0</c:v>
                </c:pt>
                <c:pt idx="20">
                  <c:v>0</c:v>
                </c:pt>
                <c:pt idx="21">
                  <c:v>3</c:v>
                </c:pt>
                <c:pt idx="22">
                  <c:v>0</c:v>
                </c:pt>
                <c:pt idx="23">
                  <c:v>0</c:v>
                </c:pt>
                <c:pt idx="24">
                  <c:v>0</c:v>
                </c:pt>
                <c:pt idx="25">
                  <c:v>0</c:v>
                </c:pt>
                <c:pt idx="26">
                  <c:v>0</c:v>
                </c:pt>
                <c:pt idx="27">
                  <c:v>0</c:v>
                </c:pt>
                <c:pt idx="28">
                  <c:v>0</c:v>
                </c:pt>
                <c:pt idx="29">
                  <c:v>0</c:v>
                </c:pt>
                <c:pt idx="30">
                  <c:v>0</c:v>
                </c:pt>
                <c:pt idx="31">
                  <c:v>0</c:v>
                </c:pt>
                <c:pt idx="32">
                  <c:v>0</c:v>
                </c:pt>
                <c:pt idx="33">
                  <c:v>1</c:v>
                </c:pt>
              </c:numCache>
            </c:numRef>
          </c:val>
          <c:extLst>
            <c:ext xmlns:c16="http://schemas.microsoft.com/office/drawing/2014/chart" uri="{C3380CC4-5D6E-409C-BE32-E72D297353CC}">
              <c16:uniqueId val="{00000000-EAFF-4BC0-9913-1635171223AB}"/>
            </c:ext>
          </c:extLst>
        </c:ser>
        <c:dLbls>
          <c:showLegendKey val="0"/>
          <c:showVal val="0"/>
          <c:showCatName val="0"/>
          <c:showSerName val="0"/>
          <c:showPercent val="0"/>
          <c:showBubbleSize val="0"/>
        </c:dLbls>
        <c:gapWidth val="50"/>
        <c:axId val="1510679072"/>
        <c:axId val="1510679488"/>
      </c:barChart>
      <c:catAx>
        <c:axId val="1510679072"/>
        <c:scaling>
          <c:orientation val="minMax"/>
        </c:scaling>
        <c:delete val="0"/>
        <c:axPos val="b"/>
        <c:numFmt formatCode="General" sourceLinked="1"/>
        <c:majorTickMark val="in"/>
        <c:minorTickMark val="none"/>
        <c:tickLblPos val="nextTo"/>
        <c:spPr>
          <a:noFill/>
          <a:ln w="9525" cap="flat" cmpd="sng" algn="ctr">
            <a:solidFill>
              <a:schemeClr val="bg1">
                <a:lumMod val="50000"/>
              </a:schemeClr>
            </a:solidFill>
            <a:round/>
          </a:ln>
          <a:effectLst/>
        </c:spPr>
        <c:txPr>
          <a:bodyPr rot="-5400000" spcFirstLastPara="1" vertOverflow="ellipsis" wrap="square" anchor="ctr" anchorCtr="1"/>
          <a:lstStyle/>
          <a:p>
            <a:pPr>
              <a:defRPr sz="630" b="0" i="0" u="none" strike="noStrike" kern="1200" baseline="0">
                <a:solidFill>
                  <a:schemeClr val="tx1"/>
                </a:solidFill>
                <a:latin typeface="+mn-lt"/>
                <a:ea typeface="+mn-ea"/>
                <a:cs typeface="+mn-cs"/>
              </a:defRPr>
            </a:pPr>
            <a:endParaRPr lang="en-US"/>
          </a:p>
        </c:txPr>
        <c:crossAx val="1510679488"/>
        <c:crosses val="autoZero"/>
        <c:auto val="1"/>
        <c:lblAlgn val="ctr"/>
        <c:lblOffset val="100"/>
        <c:tickLblSkip val="1"/>
        <c:noMultiLvlLbl val="0"/>
      </c:catAx>
      <c:valAx>
        <c:axId val="1510679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solidFill>
              <a:schemeClr val="bg1">
                <a:lumMod val="50000"/>
              </a:schemeClr>
            </a:solidFill>
          </a:ln>
          <a:effectLst/>
        </c:spPr>
        <c:txPr>
          <a:bodyPr rot="-60000000" spcFirstLastPara="1" vertOverflow="ellipsis" vert="horz" wrap="square" anchor="ctr" anchorCtr="1"/>
          <a:lstStyle/>
          <a:p>
            <a:pPr>
              <a:defRPr sz="700" b="0" i="0" u="none" strike="noStrike" kern="1200" baseline="0">
                <a:solidFill>
                  <a:schemeClr val="tx1"/>
                </a:solidFill>
                <a:latin typeface="+mn-lt"/>
                <a:ea typeface="+mn-ea"/>
                <a:cs typeface="+mn-cs"/>
              </a:defRPr>
            </a:pPr>
            <a:endParaRPr lang="en-US"/>
          </a:p>
        </c:txPr>
        <c:crossAx val="1510679072"/>
        <c:crosses val="autoZero"/>
        <c:crossBetween val="between"/>
        <c:majorUnit val="4"/>
      </c:valAx>
      <c:spPr>
        <a:noFill/>
        <a:ln>
          <a:solidFill>
            <a:schemeClr val="bg1">
              <a:lumMod val="50000"/>
            </a:schemeClr>
          </a:solid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userShapes r:id="rId4"/>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'4.1'!$B$2:$B$350</cx:f>
        <cx:lvl ptCount="349">
          <cx:pt idx="0">Indonesia</cx:pt>
          <cx:pt idx="1">Indonesia</cx:pt>
          <cx:pt idx="2">Indonesia</cx:pt>
          <cx:pt idx="3">Indonesia</cx:pt>
          <cx:pt idx="4">Indonesia</cx:pt>
          <cx:pt idx="5">Indonesia</cx:pt>
          <cx:pt idx="6">Indonesia</cx:pt>
          <cx:pt idx="7">Indonesia</cx:pt>
          <cx:pt idx="8">Indonesia</cx:pt>
          <cx:pt idx="9">Indonesia</cx:pt>
          <cx:pt idx="10">Indonesia</cx:pt>
          <cx:pt idx="11">World</cx:pt>
          <cx:pt idx="12">World</cx:pt>
          <cx:pt idx="13">World</cx:pt>
          <cx:pt idx="14">World</cx:pt>
          <cx:pt idx="15">World</cx:pt>
          <cx:pt idx="16">World</cx:pt>
          <cx:pt idx="17">World</cx:pt>
          <cx:pt idx="18">World</cx:pt>
          <cx:pt idx="19">World</cx:pt>
          <cx:pt idx="20">World</cx:pt>
          <cx:pt idx="21">World</cx:pt>
          <cx:pt idx="22">World</cx:pt>
          <cx:pt idx="23">World</cx:pt>
          <cx:pt idx="24">World</cx:pt>
          <cx:pt idx="25">World</cx:pt>
          <cx:pt idx="26">World</cx:pt>
          <cx:pt idx="27">World</cx:pt>
          <cx:pt idx="28">World</cx:pt>
          <cx:pt idx="29">World</cx:pt>
          <cx:pt idx="30">World</cx:pt>
          <cx:pt idx="31">World</cx:pt>
          <cx:pt idx="32">World</cx:pt>
          <cx:pt idx="33">World</cx:pt>
          <cx:pt idx="34">World</cx:pt>
          <cx:pt idx="35">World</cx:pt>
          <cx:pt idx="36">World</cx:pt>
          <cx:pt idx="37">World</cx:pt>
          <cx:pt idx="38">World</cx:pt>
          <cx:pt idx="39">World</cx:pt>
          <cx:pt idx="40">World</cx:pt>
          <cx:pt idx="41">World</cx:pt>
          <cx:pt idx="42">World</cx:pt>
          <cx:pt idx="43">World</cx:pt>
          <cx:pt idx="44">World</cx:pt>
          <cx:pt idx="45">World</cx:pt>
          <cx:pt idx="46">World</cx:pt>
          <cx:pt idx="47">World</cx:pt>
          <cx:pt idx="48">World</cx:pt>
          <cx:pt idx="49">World</cx:pt>
          <cx:pt idx="50">World</cx:pt>
          <cx:pt idx="51">World</cx:pt>
          <cx:pt idx="52">World</cx:pt>
          <cx:pt idx="53">World</cx:pt>
          <cx:pt idx="54">World</cx:pt>
          <cx:pt idx="55">World</cx:pt>
          <cx:pt idx="56">World</cx:pt>
          <cx:pt idx="57">World</cx:pt>
          <cx:pt idx="58">World</cx:pt>
          <cx:pt idx="59">World</cx:pt>
          <cx:pt idx="60">World</cx:pt>
          <cx:pt idx="61">World</cx:pt>
          <cx:pt idx="62">World</cx:pt>
          <cx:pt idx="63">World</cx:pt>
          <cx:pt idx="64">World</cx:pt>
          <cx:pt idx="65">World</cx:pt>
          <cx:pt idx="66">World</cx:pt>
          <cx:pt idx="67">World</cx:pt>
          <cx:pt idx="68">World</cx:pt>
          <cx:pt idx="69">World</cx:pt>
          <cx:pt idx="70">World</cx:pt>
          <cx:pt idx="71">World</cx:pt>
          <cx:pt idx="72">World</cx:pt>
          <cx:pt idx="73">World</cx:pt>
          <cx:pt idx="74">World</cx:pt>
          <cx:pt idx="75">World</cx:pt>
          <cx:pt idx="76">World</cx:pt>
          <cx:pt idx="77">World</cx:pt>
          <cx:pt idx="78">World</cx:pt>
          <cx:pt idx="79">World</cx:pt>
          <cx:pt idx="80">World</cx:pt>
          <cx:pt idx="81">World</cx:pt>
          <cx:pt idx="82">World</cx:pt>
          <cx:pt idx="83">World</cx:pt>
          <cx:pt idx="84">World</cx:pt>
          <cx:pt idx="85">World</cx:pt>
          <cx:pt idx="86">World</cx:pt>
          <cx:pt idx="87">World</cx:pt>
          <cx:pt idx="88">World</cx:pt>
          <cx:pt idx="89">World</cx:pt>
          <cx:pt idx="90">World</cx:pt>
          <cx:pt idx="91">World</cx:pt>
          <cx:pt idx="92">World</cx:pt>
          <cx:pt idx="93">World</cx:pt>
          <cx:pt idx="94">World</cx:pt>
          <cx:pt idx="95">World</cx:pt>
          <cx:pt idx="96">World</cx:pt>
          <cx:pt idx="97">World</cx:pt>
          <cx:pt idx="98">World</cx:pt>
          <cx:pt idx="99">World</cx:pt>
          <cx:pt idx="100">World</cx:pt>
          <cx:pt idx="101">World</cx:pt>
          <cx:pt idx="102">World</cx:pt>
          <cx:pt idx="103">World</cx:pt>
          <cx:pt idx="104">World</cx:pt>
          <cx:pt idx="105">World</cx:pt>
          <cx:pt idx="106">World</cx:pt>
          <cx:pt idx="107">World</cx:pt>
          <cx:pt idx="108">World</cx:pt>
          <cx:pt idx="109">World</cx:pt>
          <cx:pt idx="110">World</cx:pt>
          <cx:pt idx="111">World</cx:pt>
          <cx:pt idx="112">World</cx:pt>
          <cx:pt idx="113">World</cx:pt>
          <cx:pt idx="114">World</cx:pt>
          <cx:pt idx="115">World</cx:pt>
          <cx:pt idx="116">World</cx:pt>
          <cx:pt idx="117">World</cx:pt>
          <cx:pt idx="118">World</cx:pt>
          <cx:pt idx="119">World</cx:pt>
          <cx:pt idx="120">World</cx:pt>
          <cx:pt idx="121">World</cx:pt>
          <cx:pt idx="122">World</cx:pt>
          <cx:pt idx="123">World</cx:pt>
          <cx:pt idx="124">World</cx:pt>
          <cx:pt idx="125">World</cx:pt>
          <cx:pt idx="126">World</cx:pt>
          <cx:pt idx="127">World</cx:pt>
          <cx:pt idx="128">World</cx:pt>
          <cx:pt idx="129">World</cx:pt>
          <cx:pt idx="130">World</cx:pt>
          <cx:pt idx="131">World</cx:pt>
          <cx:pt idx="132">World</cx:pt>
          <cx:pt idx="133">World</cx:pt>
          <cx:pt idx="134">World</cx:pt>
          <cx:pt idx="135">World</cx:pt>
          <cx:pt idx="136">World</cx:pt>
          <cx:pt idx="137">World</cx:pt>
          <cx:pt idx="138">World</cx:pt>
          <cx:pt idx="139">World</cx:pt>
          <cx:pt idx="140">World</cx:pt>
          <cx:pt idx="141">World</cx:pt>
          <cx:pt idx="142">World</cx:pt>
          <cx:pt idx="143">World</cx:pt>
          <cx:pt idx="144">World</cx:pt>
          <cx:pt idx="145">World</cx:pt>
          <cx:pt idx="146">World</cx:pt>
          <cx:pt idx="147">World</cx:pt>
          <cx:pt idx="148">World</cx:pt>
          <cx:pt idx="149">World</cx:pt>
          <cx:pt idx="150">World</cx:pt>
          <cx:pt idx="151">World</cx:pt>
          <cx:pt idx="152">World</cx:pt>
          <cx:pt idx="153">World</cx:pt>
          <cx:pt idx="154">World</cx:pt>
          <cx:pt idx="155">World</cx:pt>
          <cx:pt idx="156">World</cx:pt>
          <cx:pt idx="157">World</cx:pt>
          <cx:pt idx="158">World</cx:pt>
          <cx:pt idx="159">World</cx:pt>
          <cx:pt idx="160">World</cx:pt>
          <cx:pt idx="161">World</cx:pt>
          <cx:pt idx="162">World</cx:pt>
          <cx:pt idx="163">World</cx:pt>
          <cx:pt idx="164">World</cx:pt>
          <cx:pt idx="165">World</cx:pt>
          <cx:pt idx="166">World</cx:pt>
          <cx:pt idx="167">World</cx:pt>
          <cx:pt idx="168">World</cx:pt>
          <cx:pt idx="169">World</cx:pt>
          <cx:pt idx="170">World</cx:pt>
          <cx:pt idx="171">World</cx:pt>
          <cx:pt idx="172">World</cx:pt>
          <cx:pt idx="173">World</cx:pt>
          <cx:pt idx="174">World</cx:pt>
          <cx:pt idx="175">ASEAN</cx:pt>
          <cx:pt idx="176">ASEAN</cx:pt>
          <cx:pt idx="177">ASEAN</cx:pt>
          <cx:pt idx="178">ASEAN</cx:pt>
          <cx:pt idx="179">ASEAN</cx:pt>
          <cx:pt idx="180">ASEAN</cx:pt>
          <cx:pt idx="181">ASEAN</cx:pt>
          <cx:pt idx="182">ASEAN</cx:pt>
          <cx:pt idx="183">Asia</cx:pt>
          <cx:pt idx="184">Asia</cx:pt>
          <cx:pt idx="185">Asia</cx:pt>
          <cx:pt idx="186">Asia</cx:pt>
          <cx:pt idx="187">Asia</cx:pt>
          <cx:pt idx="188">Asia</cx:pt>
          <cx:pt idx="189">Asia</cx:pt>
          <cx:pt idx="190">Asia</cx:pt>
          <cx:pt idx="191">Asia</cx:pt>
          <cx:pt idx="192">Asia</cx:pt>
          <cx:pt idx="193">Asia</cx:pt>
          <cx:pt idx="194">Asia</cx:pt>
          <cx:pt idx="195">Asia</cx:pt>
          <cx:pt idx="196">Asia</cx:pt>
          <cx:pt idx="197">Asia</cx:pt>
          <cx:pt idx="198">Asia</cx:pt>
          <cx:pt idx="199">Asia</cx:pt>
          <cx:pt idx="200">Asia</cx:pt>
          <cx:pt idx="201">Asia</cx:pt>
          <cx:pt idx="202">Asia</cx:pt>
          <cx:pt idx="203">Asia</cx:pt>
          <cx:pt idx="204">Asia</cx:pt>
          <cx:pt idx="205">Asia</cx:pt>
          <cx:pt idx="206">Asia</cx:pt>
          <cx:pt idx="207">Asia</cx:pt>
          <cx:pt idx="208">Asia</cx:pt>
          <cx:pt idx="209">LMICs</cx:pt>
          <cx:pt idx="210">LMICs</cx:pt>
          <cx:pt idx="211">LMICs</cx:pt>
          <cx:pt idx="212">LMICs</cx:pt>
          <cx:pt idx="213">LMICs</cx:pt>
          <cx:pt idx="214">LMICs</cx:pt>
          <cx:pt idx="215">LMICs</cx:pt>
          <cx:pt idx="216">LMICs</cx:pt>
          <cx:pt idx="217">LMICs</cx:pt>
          <cx:pt idx="218">LMICs</cx:pt>
          <cx:pt idx="219">LMICs</cx:pt>
          <cx:pt idx="220">LMICs</cx:pt>
          <cx:pt idx="221">LMICs</cx:pt>
          <cx:pt idx="222">LMICs</cx:pt>
          <cx:pt idx="223">LMICs</cx:pt>
          <cx:pt idx="224">LMICs</cx:pt>
          <cx:pt idx="225">LMICs</cx:pt>
          <cx:pt idx="226">LMICs</cx:pt>
          <cx:pt idx="227">LMICs</cx:pt>
          <cx:pt idx="228">LMICs</cx:pt>
          <cx:pt idx="229">LMICs</cx:pt>
          <cx:pt idx="230">LMICs</cx:pt>
          <cx:pt idx="231">LMICs</cx:pt>
          <cx:pt idx="232">LMICs</cx:pt>
          <cx:pt idx="233">LMICs</cx:pt>
          <cx:pt idx="234">LMICs</cx:pt>
          <cx:pt idx="235">LMICs</cx:pt>
          <cx:pt idx="236">LMICs</cx:pt>
          <cx:pt idx="237">LMICs</cx:pt>
          <cx:pt idx="238">LMICs</cx:pt>
          <cx:pt idx="239">LMICs</cx:pt>
          <cx:pt idx="240">LMICs</cx:pt>
          <cx:pt idx="241">LMICs</cx:pt>
          <cx:pt idx="242">LMICs</cx:pt>
          <cx:pt idx="243">LMICs</cx:pt>
          <cx:pt idx="244">LMICs</cx:pt>
          <cx:pt idx="245">LMICs</cx:pt>
          <cx:pt idx="246">LMICs</cx:pt>
          <cx:pt idx="247">LMICs</cx:pt>
          <cx:pt idx="248">LMICs</cx:pt>
          <cx:pt idx="249">LMICs</cx:pt>
          <cx:pt idx="250">LMICs</cx:pt>
          <cx:pt idx="251">UMICs</cx:pt>
          <cx:pt idx="252">UMICs</cx:pt>
          <cx:pt idx="253">UMICs</cx:pt>
          <cx:pt idx="254">UMICs</cx:pt>
          <cx:pt idx="255">UMICs</cx:pt>
          <cx:pt idx="256">UMICs</cx:pt>
          <cx:pt idx="257">UMICs</cx:pt>
          <cx:pt idx="258">UMICs</cx:pt>
          <cx:pt idx="259">UMICs</cx:pt>
          <cx:pt idx="260">UMICs</cx:pt>
          <cx:pt idx="261">UMICs</cx:pt>
          <cx:pt idx="262">UMICs</cx:pt>
          <cx:pt idx="263">UMICs</cx:pt>
          <cx:pt idx="264">UMICs</cx:pt>
          <cx:pt idx="265">UMICs</cx:pt>
          <cx:pt idx="266">UMICs</cx:pt>
          <cx:pt idx="267">UMICs</cx:pt>
          <cx:pt idx="268">UMICs</cx:pt>
          <cx:pt idx="269">UMICs</cx:pt>
          <cx:pt idx="270">UMICs</cx:pt>
          <cx:pt idx="271">UMICs</cx:pt>
          <cx:pt idx="272">UMICs</cx:pt>
          <cx:pt idx="273">UMICs</cx:pt>
          <cx:pt idx="274">UMICs</cx:pt>
          <cx:pt idx="275">UMICs</cx:pt>
          <cx:pt idx="276">UMICs</cx:pt>
          <cx:pt idx="277">UMICs</cx:pt>
          <cx:pt idx="278">UMICs</cx:pt>
          <cx:pt idx="279">UMICs</cx:pt>
          <cx:pt idx="280">UMICs</cx:pt>
          <cx:pt idx="281">UMICs</cx:pt>
          <cx:pt idx="282">UMICs</cx:pt>
          <cx:pt idx="283">UMICs</cx:pt>
          <cx:pt idx="284">UMICs</cx:pt>
          <cx:pt idx="285">UMICs</cx:pt>
          <cx:pt idx="286">UMICs</cx:pt>
          <cx:pt idx="287">UMICs</cx:pt>
          <cx:pt idx="288">UMICs</cx:pt>
          <cx:pt idx="289">UMICs</cx:pt>
          <cx:pt idx="290">UMICs</cx:pt>
          <cx:pt idx="291">UMICs</cx:pt>
          <cx:pt idx="292">UMICs</cx:pt>
          <cx:pt idx="293">UMICs</cx:pt>
          <cx:pt idx="294">UMICs</cx:pt>
          <cx:pt idx="295">High income</cx:pt>
          <cx:pt idx="296">High income</cx:pt>
          <cx:pt idx="297">High income</cx:pt>
          <cx:pt idx="298">High income</cx:pt>
          <cx:pt idx="299">High income</cx:pt>
          <cx:pt idx="300">High income</cx:pt>
          <cx:pt idx="301">High income</cx:pt>
          <cx:pt idx="302">High income</cx:pt>
          <cx:pt idx="303">High income</cx:pt>
          <cx:pt idx="304">High income</cx:pt>
          <cx:pt idx="305">High income</cx:pt>
          <cx:pt idx="306">High income</cx:pt>
          <cx:pt idx="307">High income</cx:pt>
          <cx:pt idx="308">High income</cx:pt>
          <cx:pt idx="309">High income</cx:pt>
          <cx:pt idx="310">High income</cx:pt>
          <cx:pt idx="311">High income</cx:pt>
          <cx:pt idx="312">High income</cx:pt>
          <cx:pt idx="313">High income</cx:pt>
          <cx:pt idx="314">High income</cx:pt>
          <cx:pt idx="315">High income</cx:pt>
          <cx:pt idx="316">High income</cx:pt>
          <cx:pt idx="317">High income</cx:pt>
          <cx:pt idx="318">High income</cx:pt>
          <cx:pt idx="319">High income</cx:pt>
          <cx:pt idx="320">High income</cx:pt>
          <cx:pt idx="321">High income</cx:pt>
          <cx:pt idx="322">High income</cx:pt>
          <cx:pt idx="323">High income</cx:pt>
          <cx:pt idx="324">High income</cx:pt>
          <cx:pt idx="325">High income</cx:pt>
          <cx:pt idx="326">High income</cx:pt>
          <cx:pt idx="327">High income</cx:pt>
          <cx:pt idx="328">High income</cx:pt>
          <cx:pt idx="329">High income</cx:pt>
          <cx:pt idx="330">High income</cx:pt>
          <cx:pt idx="331">High income</cx:pt>
          <cx:pt idx="332">High income</cx:pt>
          <cx:pt idx="333">High income</cx:pt>
          <cx:pt idx="334">High income</cx:pt>
          <cx:pt idx="335">High income</cx:pt>
          <cx:pt idx="336">High income</cx:pt>
          <cx:pt idx="337">High income</cx:pt>
          <cx:pt idx="338">High income</cx:pt>
          <cx:pt idx="339">High income</cx:pt>
          <cx:pt idx="340">High income</cx:pt>
          <cx:pt idx="341">High income</cx:pt>
          <cx:pt idx="342">High income</cx:pt>
          <cx:pt idx="343">High income</cx:pt>
          <cx:pt idx="344">High income</cx:pt>
          <cx:pt idx="345">High income</cx:pt>
          <cx:pt idx="346">High income</cx:pt>
          <cx:pt idx="347">High income</cx:pt>
          <cx:pt idx="348">High income</cx:pt>
        </cx:lvl>
      </cx:strDim>
      <cx:numDim type="val">
        <cx:f>'4.1'!$C$2:$C$350</cx:f>
        <cx:lvl ptCount="349" formatCode="0.00%">
          <cx:pt idx="0">0.0054999999999999997</cx:pt>
          <cx:pt idx="1">0.0111</cx:pt>
          <cx:pt idx="2">0.021999999999999999</cx:pt>
          <cx:pt idx="3">0.11</cx:pt>
          <cx:pt idx="4">0.11</cx:pt>
          <cx:pt idx="5">0.11</cx:pt>
          <cx:pt idx="6">0.11</cx:pt>
          <cx:pt idx="7">0.11</cx:pt>
          <cx:pt idx="8">0.11</cx:pt>
          <cx:pt idx="9">0.11</cx:pt>
          <cx:pt idx="10">0.11</cx:pt>
          <cx:pt idx="11">0.02</cx:pt>
          <cx:pt idx="12">0.050000000000000003</cx:pt>
          <cx:pt idx="13">0.050000000000000003</cx:pt>
          <cx:pt idx="14">0.050000000000000003</cx:pt>
          <cx:pt idx="15">0.050000000000000003</cx:pt>
          <cx:pt idx="16">0.050000000000000003</cx:pt>
          <cx:pt idx="17">0.059999999999999998</cx:pt>
          <cx:pt idx="18">0.070000000000000007</cx:pt>
          <cx:pt idx="19">0.070000000000000007</cx:pt>
          <cx:pt idx="20">0.070000000000000007</cx:pt>
          <cx:pt idx="21">0.074999999999999997</cx:pt>
          <cx:pt idx="22">0.076999998092651373</cx:pt>
          <cx:pt idx="23">0.076999998092651373</cx:pt>
          <cx:pt idx="24">0.080000000000000002</cx:pt>
          <cx:pt idx="25">0.089999999999999997</cx:pt>
          <cx:pt idx="26">0.089999999999999997</cx:pt>
          <cx:pt idx="27">0.10000000000000001</cx:pt>
          <cx:pt idx="28">0.10000000000000001</cx:pt>
          <cx:pt idx="29">0.10000000000000001</cx:pt>
          <cx:pt idx="30">0.10000000000000001</cx:pt>
          <cx:pt idx="31">0.10000000000000001</cx:pt>
          <cx:pt idx="32">0.10000000000000001</cx:pt>
          <cx:pt idx="33">0.10000000000000001</cx:pt>
          <cx:pt idx="34">0.10000000000000001</cx:pt>
          <cx:pt idx="35">0.10000000000000001</cx:pt>
          <cx:pt idx="36">0.10000000000000001</cx:pt>
          <cx:pt idx="37">0.10000000000000001</cx:pt>
          <cx:pt idx="38">0.10000000000000001</cx:pt>
          <cx:pt idx="39">0.10000000000000001</cx:pt>
          <cx:pt idx="40">0.10000000000000001</cx:pt>
          <cx:pt idx="41">0.11</cx:pt>
          <cx:pt idx="42">0.12</cx:pt>
          <cx:pt idx="43">0.12</cx:pt>
          <cx:pt idx="44">0.12</cx:pt>
          <cx:pt idx="45">0.12</cx:pt>
          <cx:pt idx="46">0.12</cx:pt>
          <cx:pt idx="47">0.12</cx:pt>
          <cx:pt idx="48">0.12</cx:pt>
          <cx:pt idx="49">0.125</cx:pt>
          <cx:pt idx="50">0.125</cx:pt>
          <cx:pt idx="51">0.125</cx:pt>
          <cx:pt idx="52">0.125</cx:pt>
          <cx:pt idx="53">0.13</cx:pt>
          <cx:pt idx="54">0.13</cx:pt>
          <cx:pt idx="55">0.13</cx:pt>
          <cx:pt idx="56">0.13</cx:pt>
          <cx:pt idx="57">0.13</cx:pt>
          <cx:pt idx="58">0.14000000000000001</cx:pt>
          <cx:pt idx="59">0.14000000000000001</cx:pt>
          <cx:pt idx="60">0.14499999999999999</cx:pt>
          <cx:pt idx="61">0.14999999999999999</cx:pt>
          <cx:pt idx="62">0.14999999999999999</cx:pt>
          <cx:pt idx="63">0.14999999999999999</cx:pt>
          <cx:pt idx="64">0.14999999999999999</cx:pt>
          <cx:pt idx="65">0.14999999999999999</cx:pt>
          <cx:pt idx="66">0.14999999999999999</cx:pt>
          <cx:pt idx="67">0.14999999999999999</cx:pt>
          <cx:pt idx="68">0.14999999999999999</cx:pt>
          <cx:pt idx="69">0.14999999999999999</cx:pt>
          <cx:pt idx="70">0.14999999999999999</cx:pt>
          <cx:pt idx="71">0.14999999999999999</cx:pt>
          <cx:pt idx="72">0.14999999999999999</cx:pt>
          <cx:pt idx="73">0.14999999999999999</cx:pt>
          <cx:pt idx="74">0.14999999999999999</cx:pt>
          <cx:pt idx="75">0.14999999999999999</cx:pt>
          <cx:pt idx="76">0.14999999999999999</cx:pt>
          <cx:pt idx="77">0.14999999999999999</cx:pt>
          <cx:pt idx="78">0.14999999999999999</cx:pt>
          <cx:pt idx="79">0.14999999999999999</cx:pt>
          <cx:pt idx="80">0.14999999999999999</cx:pt>
          <cx:pt idx="81">0.16</cx:pt>
          <cx:pt idx="82">0.16</cx:pt>
          <cx:pt idx="83">0.16</cx:pt>
          <cx:pt idx="84">0.16</cx:pt>
          <cx:pt idx="85">0.16</cx:pt>
          <cx:pt idx="86">0.16</cx:pt>
          <cx:pt idx="87">0.16</cx:pt>
          <cx:pt idx="88">0.16</cx:pt>
          <cx:pt idx="89">0.16500000000000001</cx:pt>
          <cx:pt idx="90">0.16500000000000001</cx:pt>
          <cx:pt idx="91">0.17000000000000001</cx:pt>
          <cx:pt idx="92">0.17000000000000001</cx:pt>
          <cx:pt idx="93">0.17000000000000001</cx:pt>
          <cx:pt idx="94">0.17000000000000001</cx:pt>
          <cx:pt idx="95">0.17000000000000001</cx:pt>
          <cx:pt idx="96">0.17000000000000001</cx:pt>
          <cx:pt idx="97">0.17000000000000001</cx:pt>
          <cx:pt idx="98">0.17499999999999999</cx:pt>
          <cx:pt idx="99">0.17999999999999999</cx:pt>
          <cx:pt idx="100">0.17999999999999999</cx:pt>
          <cx:pt idx="101">0.17999999999999999</cx:pt>
          <cx:pt idx="102">0.17999999999999999</cx:pt>
          <cx:pt idx="103">0.17999999999999999</cx:pt>
          <cx:pt idx="104">0.17999999999999999</cx:pt>
          <cx:pt idx="105">0.17999999999999999</cx:pt>
          <cx:pt idx="106">0.17999999999999999</cx:pt>
          <cx:pt idx="107">0.17999999999999999</cx:pt>
          <cx:pt idx="108">0.17999999999999999</cx:pt>
          <cx:pt idx="109">0.17999999999999999</cx:pt>
          <cx:pt idx="110">0.17999999999999999</cx:pt>
          <cx:pt idx="111">0.17999999999999999</cx:pt>
          <cx:pt idx="112">0.17999999999999999</cx:pt>
          <cx:pt idx="113">0.17999999999999999</cx:pt>
          <cx:pt idx="114">0.17999999999999999</cx:pt>
          <cx:pt idx="115">0.17999999999999999</cx:pt>
          <cx:pt idx="116">0.17999999999999999</cx:pt>
          <cx:pt idx="117">0.17999999999999999</cx:pt>
          <cx:pt idx="118">0.17999999999999999</cx:pt>
          <cx:pt idx="119">0.17999999999999999</cx:pt>
          <cx:pt idx="120">0.17999999999999999</cx:pt>
          <cx:pt idx="121">0.17999999999999999</cx:pt>
          <cx:pt idx="122">0.17999999999999999</cx:pt>
          <cx:pt idx="123">0.17999999999999999</cx:pt>
          <cx:pt idx="124">0.17999999999999999</cx:pt>
          <cx:pt idx="125">0.18129999160766602</cx:pt>
          <cx:pt idx="126">0.19</cx:pt>
          <cx:pt idx="127">0.19</cx:pt>
          <cx:pt idx="128">0.19</cx:pt>
          <cx:pt idx="129">0.19</cx:pt>
          <cx:pt idx="130">0.19</cx:pt>
          <cx:pt idx="131">0.19</cx:pt>
          <cx:pt idx="132">0.19</cx:pt>
          <cx:pt idx="133">0.19</cx:pt>
          <cx:pt idx="134">0.19</cx:pt>
          <cx:pt idx="135">0.1925</cx:pt>
          <cx:pt idx="136">0.20000000000000001</cx:pt>
          <cx:pt idx="137">0.20000000000000001</cx:pt>
          <cx:pt idx="138">0.20000000000000001</cx:pt>
          <cx:pt idx="139">0.20000000000000001</cx:pt>
          <cx:pt idx="140">0.20000000000000001</cx:pt>
          <cx:pt idx="141">0.20000000000000001</cx:pt>
          <cx:pt idx="142">0.20000000000000001</cx:pt>
          <cx:pt idx="143">0.20000000000000001</cx:pt>
          <cx:pt idx="144">0.20000000000000001</cx:pt>
          <cx:pt idx="145">0.20000000000000001</cx:pt>
          <cx:pt idx="146">0.20000000000000001</cx:pt>
          <cx:pt idx="147">0.20000000000000001</cx:pt>
          <cx:pt idx="148">0.20000000000000001</cx:pt>
          <cx:pt idx="149">0.20000000000000001</cx:pt>
          <cx:pt idx="150">0.20000000000000001</cx:pt>
          <cx:pt idx="151">0.20000000000000001</cx:pt>
          <cx:pt idx="152">0.20000000000000001</cx:pt>
          <cx:pt idx="153">0.20999999999999999</cx:pt>
          <cx:pt idx="154">0.20999999999999999</cx:pt>
          <cx:pt idx="155">0.20999999999999999</cx:pt>
          <cx:pt idx="156">0.20999999999999999</cx:pt>
          <cx:pt idx="157">0.20999999999999999</cx:pt>
          <cx:pt idx="158">0.20999999999999999</cx:pt>
          <cx:pt idx="159">0.20999999999999999</cx:pt>
          <cx:pt idx="160">0.20999999999999999</cx:pt>
          <cx:pt idx="161">0.22</cx:pt>
          <cx:pt idx="162">0.22</cx:pt>
          <cx:pt idx="163">0.22</cx:pt>
          <cx:pt idx="164">0.23000000000000001</cx:pt>
          <cx:pt idx="165">0.23000000000000001</cx:pt>
          <cx:pt idx="166">0.23000000000000001</cx:pt>
          <cx:pt idx="167">0.23999999999999999</cx:pt>
          <cx:pt idx="168">0.23999999999999999</cx:pt>
          <cx:pt idx="169">0.23999999999999999</cx:pt>
          <cx:pt idx="170">0.25</cx:pt>
          <cx:pt idx="171">0.25</cx:pt>
          <cx:pt idx="172">0.25</cx:pt>
          <cx:pt idx="173">0.25</cx:pt>
          <cx:pt idx="174">0.27000000000000002</cx:pt>
          <cx:pt idx="175">0.070000000000000007</cx:pt>
          <cx:pt idx="176">0.070000000000000007</cx:pt>
          <cx:pt idx="177">0.10000000000000001</cx:pt>
          <cx:pt idx="178">0.10000000000000001</cx:pt>
          <cx:pt idx="179">0.10000000000000001</cx:pt>
          <cx:pt idx="180">0.10000000000000001</cx:pt>
          <cx:pt idx="181">0.11</cx:pt>
          <cx:pt idx="182">0.12</cx:pt>
          <cx:pt idx="183">0.059999999999999998</cx:pt>
          <cx:pt idx="184">0.070000000000000007</cx:pt>
          <cx:pt idx="185">0.070000000000000007</cx:pt>
          <cx:pt idx="186">0.080000000000000002</cx:pt>
          <cx:pt idx="187">0.10000000000000001</cx:pt>
          <cx:pt idx="188">0.10000000000000001</cx:pt>
          <cx:pt idx="189">0.10000000000000001</cx:pt>
          <cx:pt idx="190">0.10000000000000001</cx:pt>
          <cx:pt idx="191">0.10000000000000001</cx:pt>
          <cx:pt idx="192">0.10000000000000001</cx:pt>
          <cx:pt idx="193">0.10000000000000001</cx:pt>
          <cx:pt idx="194">0.10000000000000001</cx:pt>
          <cx:pt idx="195">0.12</cx:pt>
          <cx:pt idx="196">0.12</cx:pt>
          <cx:pt idx="197">0.12</cx:pt>
          <cx:pt idx="198">0.13</cx:pt>
          <cx:pt idx="199">0.13</cx:pt>
          <cx:pt idx="200">0.14999999999999999</cx:pt>
          <cx:pt idx="201">0.17000000000000001</cx:pt>
          <cx:pt idx="202">0.17999999999999999</cx:pt>
          <cx:pt idx="203">0.17999999999999999</cx:pt>
          <cx:pt idx="204">0.17999999999999999</cx:pt>
          <cx:pt idx="205">0.17999999999999999</cx:pt>
          <cx:pt idx="206">0.17999999999999999</cx:pt>
          <cx:pt idx="207">0.20000000000000001</cx:pt>
          <cx:pt idx="208">0.20000000000000001</cx:pt>
          <cx:pt idx="209">0.074999999999999997</cx:pt>
          <cx:pt idx="210">0.080000000000000002</cx:pt>
          <cx:pt idx="211">0.10000000000000001</cx:pt>
          <cx:pt idx="212">0.10000000000000001</cx:pt>
          <cx:pt idx="213">0.10000000000000001</cx:pt>
          <cx:pt idx="214">0.10000000000000001</cx:pt>
          <cx:pt idx="215">0.10000000000000001</cx:pt>
          <cx:pt idx="216">0.12</cx:pt>
          <cx:pt idx="217">0.12</cx:pt>
          <cx:pt idx="218">0.12</cx:pt>
          <cx:pt idx="219">0.125</cx:pt>
          <cx:pt idx="220">0.13</cx:pt>
          <cx:pt idx="221">0.13</cx:pt>
          <cx:pt idx="222">0.14000000000000001</cx:pt>
          <cx:pt idx="223">0.14000000000000001</cx:pt>
          <cx:pt idx="224">0.14999999999999999</cx:pt>
          <cx:pt idx="225">0.14999999999999999</cx:pt>
          <cx:pt idx="226">0.14999999999999999</cx:pt>
          <cx:pt idx="227">0.14999999999999999</cx:pt>
          <cx:pt idx="228">0.14999999999999999</cx:pt>
          <cx:pt idx="229">0.14999999999999999</cx:pt>
          <cx:pt idx="230">0.14999999999999999</cx:pt>
          <cx:pt idx="231">0.14999999999999999</cx:pt>
          <cx:pt idx="232">0.16</cx:pt>
          <cx:pt idx="233">0.16</cx:pt>
          <cx:pt idx="234">0.16</cx:pt>
          <cx:pt idx="235">0.17000000000000001</cx:pt>
          <cx:pt idx="236">0.17000000000000001</cx:pt>
          <cx:pt idx="237">0.17999999999999999</cx:pt>
          <cx:pt idx="238">0.17999999999999999</cx:pt>
          <cx:pt idx="239">0.17999999999999999</cx:pt>
          <cx:pt idx="240">0.17999999999999999</cx:pt>
          <cx:pt idx="241">0.17999999999999999</cx:pt>
          <cx:pt idx="242">0.17999999999999999</cx:pt>
          <cx:pt idx="243">0.17999999999999999</cx:pt>
          <cx:pt idx="244">0.18129999160766602</cx:pt>
          <cx:pt idx="245">0.1925</cx:pt>
          <cx:pt idx="246">0.20000000000000001</cx:pt>
          <cx:pt idx="247">0.20000000000000001</cx:pt>
          <cx:pt idx="248">0.20000000000000001</cx:pt>
          <cx:pt idx="249">0.20000000000000001</cx:pt>
          <cx:pt idx="250">0.20000000000000001</cx:pt>
          <cx:pt idx="251">0.059999999999999998</cx:pt>
          <cx:pt idx="252">0.070000000000000007</cx:pt>
          <cx:pt idx="253">0.070000000000000007</cx:pt>
          <cx:pt idx="254">0.089999999999999997</cx:pt>
          <cx:pt idx="255">0.089999999999999997</cx:pt>
          <cx:pt idx="256">0.10000000000000001</cx:pt>
          <cx:pt idx="257">0.10000000000000001</cx:pt>
          <cx:pt idx="258">0.10000000000000001</cx:pt>
          <cx:pt idx="259">0.10000000000000001</cx:pt>
          <cx:pt idx="260">0.11</cx:pt>
          <cx:pt idx="261">0.12</cx:pt>
          <cx:pt idx="262">0.12</cx:pt>
          <cx:pt idx="263">0.12</cx:pt>
          <cx:pt idx="264">0.125</cx:pt>
          <cx:pt idx="265">0.125</cx:pt>
          <cx:pt idx="266">0.13</cx:pt>
          <cx:pt idx="267">0.13</cx:pt>
          <cx:pt idx="268">0.14999999999999999</cx:pt>
          <cx:pt idx="269">0.14999999999999999</cx:pt>
          <cx:pt idx="270">0.14999999999999999</cx:pt>
          <cx:pt idx="271">0.14999999999999999</cx:pt>
          <cx:pt idx="272">0.14999999999999999</cx:pt>
          <cx:pt idx="273">0.14999999999999999</cx:pt>
          <cx:pt idx="274">0.16</cx:pt>
          <cx:pt idx="275">0.16</cx:pt>
          <cx:pt idx="276">0.16</cx:pt>
          <cx:pt idx="277">0.16500000000000001</cx:pt>
          <cx:pt idx="278">0.17000000000000001</cx:pt>
          <cx:pt idx="279">0.17999999999999999</cx:pt>
          <cx:pt idx="280">0.17999999999999999</cx:pt>
          <cx:pt idx="281">0.17999999999999999</cx:pt>
          <cx:pt idx="282">0.17999999999999999</cx:pt>
          <cx:pt idx="283">0.17999999999999999</cx:pt>
          <cx:pt idx="284">0.17999999999999999</cx:pt>
          <cx:pt idx="285">0.17999999999999999</cx:pt>
          <cx:pt idx="286">0.17999999999999999</cx:pt>
          <cx:pt idx="287">0.19</cx:pt>
          <cx:pt idx="288">0.19</cx:pt>
          <cx:pt idx="289">0.19</cx:pt>
          <cx:pt idx="290">0.20000000000000001</cx:pt>
          <cx:pt idx="291">0.20000000000000001</cx:pt>
          <cx:pt idx="292">0.20000000000000001</cx:pt>
          <cx:pt idx="293">0.20000000000000001</cx:pt>
          <cx:pt idx="294">0.20999999999999999</cx:pt>
          <cx:pt idx="295">0.02</cx:pt>
          <cx:pt idx="296">0.050000000000000003</cx:pt>
          <cx:pt idx="297">0.050000000000000003</cx:pt>
          <cx:pt idx="298">0.050000000000000003</cx:pt>
          <cx:pt idx="299">0.050000000000000003</cx:pt>
          <cx:pt idx="300">0.070000000000000007</cx:pt>
          <cx:pt idx="301">0.076999998092651373</cx:pt>
          <cx:pt idx="302">0.076999998092651373</cx:pt>
          <cx:pt idx="303">0.10000000000000001</cx:pt>
          <cx:pt idx="304">0.10000000000000001</cx:pt>
          <cx:pt idx="305">0.10000000000000001</cx:pt>
          <cx:pt idx="306">0.12</cx:pt>
          <cx:pt idx="307">0.125</cx:pt>
          <cx:pt idx="308">0.14999999999999999</cx:pt>
          <cx:pt idx="309">0.14999999999999999</cx:pt>
          <cx:pt idx="310">0.14999999999999999</cx:pt>
          <cx:pt idx="311">0.14999999999999999</cx:pt>
          <cx:pt idx="312">0.16</cx:pt>
          <cx:pt idx="313">0.17000000000000001</cx:pt>
          <cx:pt idx="314">0.17000000000000001</cx:pt>
          <cx:pt idx="315">0.17000000000000001</cx:pt>
          <cx:pt idx="316">0.17499999999999999</cx:pt>
          <cx:pt idx="317">0.17999999999999999</cx:pt>
          <cx:pt idx="318">0.19</cx:pt>
          <cx:pt idx="319">0.19</cx:pt>
          <cx:pt idx="320">0.19</cx:pt>
          <cx:pt idx="321">0.20000000000000001</cx:pt>
          <cx:pt idx="322">0.20000000000000001</cx:pt>
          <cx:pt idx="323">0.20000000000000001</cx:pt>
          <cx:pt idx="324">0.20000000000000001</cx:pt>
          <cx:pt idx="325">0.20000000000000001</cx:pt>
          <cx:pt idx="326">0.20000000000000001</cx:pt>
          <cx:pt idx="327">0.20000000000000001</cx:pt>
          <cx:pt idx="328">0.20999999999999999</cx:pt>
          <cx:pt idx="329">0.20999999999999999</cx:pt>
          <cx:pt idx="330">0.20999999999999999</cx:pt>
          <cx:pt idx="331">0.20999999999999999</cx:pt>
          <cx:pt idx="332">0.20999999999999999</cx:pt>
          <cx:pt idx="333">0.20999999999999999</cx:pt>
          <cx:pt idx="334">0.20999999999999999</cx:pt>
          <cx:pt idx="335">0.22</cx:pt>
          <cx:pt idx="336">0.22</cx:pt>
          <cx:pt idx="337">0.22</cx:pt>
          <cx:pt idx="338">0.23000000000000001</cx:pt>
          <cx:pt idx="339">0.23000000000000001</cx:pt>
          <cx:pt idx="340">0.23000000000000001</cx:pt>
          <cx:pt idx="341">0.23999999999999999</cx:pt>
          <cx:pt idx="342">0.23999999999999999</cx:pt>
          <cx:pt idx="343">0.23999999999999999</cx:pt>
          <cx:pt idx="344">0.25</cx:pt>
          <cx:pt idx="345">0.25</cx:pt>
          <cx:pt idx="346">0.25</cx:pt>
          <cx:pt idx="347">0.25</cx:pt>
          <cx:pt idx="348">0.27000000000000002</cx:pt>
        </cx:lvl>
      </cx:numDim>
    </cx:data>
  </cx:chartData>
  <cx:chart>
    <cx:plotArea>
      <cx:plotAreaRegion>
        <cx:series layoutId="boxWhisker" uniqueId="{39571B1F-0662-481E-8F61-832B75A9893B}" formatIdx="0">
          <cx:tx>
            <cx:txData>
              <cx:f>'4.1'!$C$1</cx:f>
              <cx:v>VAT rate</cx:v>
            </cx:txData>
          </cx:tx>
          <cx:spPr>
            <a:solidFill>
              <a:srgbClr val="CCECFF"/>
            </a:solidFill>
            <a:ln w="12700" cap="flat" cmpd="sng" algn="ctr">
              <a:solidFill>
                <a:schemeClr val="accent5"/>
              </a:solidFill>
              <a:prstDash val="solid"/>
              <a:miter lim="800000"/>
            </a:ln>
            <a:effectLst/>
          </cx:spPr>
          <cx:dataId val="0"/>
          <cx:layoutPr>
            <cx:visibility meanLine="0" meanMarker="0" nonoutliers="0" outliers="1"/>
            <cx:statistics quartileMethod="exclusive"/>
          </cx:layoutPr>
        </cx:series>
      </cx:plotAreaRegion>
      <cx:axis id="0">
        <cx:catScaling gapWidth="1.10000002"/>
        <cx:tickLabels/>
        <cx:txPr>
          <a:bodyPr spcFirstLastPara="1" vertOverflow="ellipsis" horzOverflow="overflow" wrap="square" lIns="0" tIns="0" rIns="0" bIns="0" anchor="ctr" anchorCtr="1"/>
          <a:lstStyle/>
          <a:p>
            <a:pPr algn="ctr" rtl="0">
              <a:defRPr sz="900" b="1"/>
            </a:pPr>
            <a:endParaRPr lang="en-US" sz="900" b="1" i="0" u="none" strike="noStrike" baseline="0">
              <a:solidFill>
                <a:sysClr val="windowText" lastClr="000000">
                  <a:lumMod val="65000"/>
                  <a:lumOff val="35000"/>
                </a:sysClr>
              </a:solidFill>
              <a:latin typeface="Calibri" panose="020F0502020204030204"/>
            </a:endParaRPr>
          </a:p>
        </cx:txPr>
      </cx:axis>
      <cx:axis id="1">
        <cx:valScaling/>
        <cx:majorGridlines/>
        <cx:tickLabels/>
        <cx:numFmt formatCode="0%" sourceLinked="0"/>
        <cx:txPr>
          <a:bodyPr vertOverflow="overflow" horzOverflow="overflow" wrap="square" lIns="0" tIns="0" rIns="0" bIns="0"/>
          <a:lstStyle/>
          <a:p>
            <a:pPr algn="ctr" rtl="0">
              <a:defRPr sz="900" b="0" i="0">
                <a:solidFill>
                  <a:srgbClr val="595959"/>
                </a:solidFill>
                <a:latin typeface="Calibri" panose="020F0502020204030204" pitchFamily="34" charset="0"/>
                <a:ea typeface="Calibri" panose="020F0502020204030204" pitchFamily="34" charset="0"/>
                <a:cs typeface="Calibri" panose="020F0502020204030204" pitchFamily="34" charset="0"/>
              </a:defRPr>
            </a:pPr>
            <a:endParaRPr lang="pl-PL" sz="900"/>
          </a:p>
        </cx:txPr>
      </cx:axis>
    </cx:plotArea>
  </cx:chart>
  <cx:spPr>
    <a:ln>
      <a:noFill/>
    </a:ln>
  </cx:spPr>
  <cx:clrMapOvr bg1="lt1" tx1="dk1" bg2="lt2" tx2="dk2" accent1="accent1" accent2="accent2" accent3="accent3" accent4="accent4" accent5="accent5" accent6="accent6" hlink="hlink" folHlink="folHlink"/>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407">
  <cs:axisTitle>
    <cs:lnRef idx="0"/>
    <cs:fillRef idx="0"/>
    <cs:effectRef idx="0"/>
    <cs:fontRef idx="minor">
      <a:schemeClr val="tx1">
        <a:lumMod val="65000"/>
        <a:lumOff val="35000"/>
      </a:schemeClr>
    </cs:fontRef>
    <cs:defRPr sz="900" b="1"/>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cs:chartArea>
  <cs:dataLabel>
    <cs:lnRef idx="0"/>
    <cs:fillRef idx="0"/>
    <cs:effectRef idx="0"/>
    <cs:fontRef idx="minor">
      <a:schemeClr val="tx1">
        <a:lumMod val="75000"/>
        <a:lumOff val="2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ln>
        <a:solidFill>
          <a:schemeClr val="phClr"/>
        </a:solidFill>
      </a:ln>
    </cs:spPr>
  </cs:dataPoint>
  <cs:dataPoint3D>
    <cs:lnRef idx="0"/>
    <cs:fillRef idx="0">
      <cs:styleClr val="auto"/>
    </cs:fillRef>
    <cs:effectRef idx="0"/>
    <cs:fontRef idx="minor">
      <a:schemeClr val="dk1"/>
    </cs:fontRef>
    <cs:spPr>
      <a:solidFill>
        <a:schemeClr val="phClr"/>
      </a:solid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25000"/>
            <a:lumOff val="75000"/>
          </a:schemeClr>
        </a:solidFill>
      </a:ln>
    </cs:spPr>
    <cs:defRPr sz="9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25000"/>
            <a:lumOff val="75000"/>
          </a:schemeClr>
        </a:solidFill>
      </a:ln>
    </cs:spPr>
  </cs:gridlineMajor>
  <cs:gridlineMinor>
    <cs:lnRef idx="0"/>
    <cs:fillRef idx="0"/>
    <cs:effectRef idx="0"/>
    <cs:fontRef idx="minor">
      <a:schemeClr val="dk1"/>
    </cs:fontRef>
    <cs:spPr>
      <a:ln>
        <a:solidFill>
          <a:schemeClr val="tx1">
            <a:lumMod val="25000"/>
            <a:lumOff val="75000"/>
            <a:lumOff val="10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cs:seriesAxis>
  <cs:seriesLine>
    <cs:lnRef idx="0"/>
    <cs:fillRef idx="0"/>
    <cs:effectRef idx="0"/>
    <cs:fontRef idx="minor">
      <a:schemeClr val="dk1"/>
    </cs:fontRef>
    <cs:spPr>
      <a:ln w="9525" cap="flat">
        <a:solidFill>
          <a:srgbClr val="D9D9D9"/>
        </a:solidFill>
        <a:round/>
      </a:ln>
    </cs:spPr>
  </cs:seriesLine>
  <cs:title>
    <cs:lnRef idx="0"/>
    <cs:fillRef idx="0"/>
    <cs:effectRef idx="0"/>
    <cs:fontRef idx="minor">
      <a:schemeClr val="tx1">
        <a:lumMod val="50000"/>
        <a:lumOff val="50000"/>
      </a:schemeClr>
    </cs:fontRef>
    <cs:defRPr sz="1800" b="1" cap="all" spc="15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0.79382</cdr:x>
      <cdr:y>0.0605</cdr:y>
    </cdr:from>
    <cdr:to>
      <cdr:x>0.97195</cdr:x>
      <cdr:y>0.10862</cdr:y>
    </cdr:to>
    <cdr:sp macro="" textlink="">
      <cdr:nvSpPr>
        <cdr:cNvPr id="2" name="TextBox 1">
          <a:extLst xmlns:a="http://schemas.openxmlformats.org/drawingml/2006/main">
            <a:ext uri="{FF2B5EF4-FFF2-40B4-BE49-F238E27FC236}">
              <a16:creationId xmlns:a16="http://schemas.microsoft.com/office/drawing/2014/main" id="{A302B272-7414-2FD9-B5B4-0683F03DA210}"/>
            </a:ext>
          </a:extLst>
        </cdr:cNvPr>
        <cdr:cNvSpPr txBox="1"/>
      </cdr:nvSpPr>
      <cdr:spPr>
        <a:xfrm xmlns:a="http://schemas.openxmlformats.org/drawingml/2006/main">
          <a:off x="2238090" y="122367"/>
          <a:ext cx="502220" cy="97322"/>
        </a:xfrm>
        <a:prstGeom xmlns:a="http://schemas.openxmlformats.org/drawingml/2006/main" prst="rect">
          <a:avLst/>
        </a:prstGeom>
      </cdr:spPr>
      <cdr:txBody>
        <a:bodyPr xmlns:a="http://schemas.openxmlformats.org/drawingml/2006/main" vertOverflow="clip" wrap="square" lIns="0" tIns="0" rIns="0" bIns="0" rtlCol="0" anchor="ctr"/>
        <a:lstStyle xmlns:a="http://schemas.openxmlformats.org/drawingml/2006/main"/>
        <a:p xmlns:a="http://schemas.openxmlformats.org/drawingml/2006/main">
          <a:pPr algn="ctr"/>
          <a:r>
            <a:rPr lang="en-US" sz="800"/>
            <a:t>Pre-1984</a:t>
          </a:r>
          <a:endParaRPr lang="en-US" sz="900"/>
        </a:p>
      </cdr:txBody>
    </cdr:sp>
  </cdr:relSizeAnchor>
  <cdr:relSizeAnchor xmlns:cdr="http://schemas.openxmlformats.org/drawingml/2006/chartDrawing">
    <cdr:from>
      <cdr:x>0.83856</cdr:x>
      <cdr:y>0.23163</cdr:y>
    </cdr:from>
    <cdr:to>
      <cdr:x>0.97219</cdr:x>
      <cdr:y>0.28918</cdr:y>
    </cdr:to>
    <cdr:sp macro="" textlink="">
      <cdr:nvSpPr>
        <cdr:cNvPr id="3" name="TextBox 1">
          <a:extLst xmlns:a="http://schemas.openxmlformats.org/drawingml/2006/main">
            <a:ext uri="{FF2B5EF4-FFF2-40B4-BE49-F238E27FC236}">
              <a16:creationId xmlns:a16="http://schemas.microsoft.com/office/drawing/2014/main" id="{C3DF7160-5D61-43CC-CE7D-76796495FF84}"/>
            </a:ext>
          </a:extLst>
        </cdr:cNvPr>
        <cdr:cNvSpPr txBox="1"/>
      </cdr:nvSpPr>
      <cdr:spPr>
        <a:xfrm xmlns:a="http://schemas.openxmlformats.org/drawingml/2006/main">
          <a:off x="2364236" y="468471"/>
          <a:ext cx="376756" cy="116394"/>
        </a:xfrm>
        <a:prstGeom xmlns:a="http://schemas.openxmlformats.org/drawingml/2006/main" prst="rect">
          <a:avLst/>
        </a:prstGeom>
      </cdr:spPr>
      <cdr:txBody>
        <a:bodyPr xmlns:a="http://schemas.openxmlformats.org/drawingml/2006/main" wrap="square" lIns="0" tIns="0" rIns="0" bIns="0"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a:t>1984</a:t>
          </a:r>
        </a:p>
      </cdr:txBody>
    </cdr:sp>
  </cdr:relSizeAnchor>
  <cdr:relSizeAnchor xmlns:cdr="http://schemas.openxmlformats.org/drawingml/2006/chartDrawing">
    <cdr:from>
      <cdr:x>0.38432</cdr:x>
      <cdr:y>0.31969</cdr:y>
    </cdr:from>
    <cdr:to>
      <cdr:x>0.51039</cdr:x>
      <cdr:y>0.37522</cdr:y>
    </cdr:to>
    <cdr:sp macro="" textlink="">
      <cdr:nvSpPr>
        <cdr:cNvPr id="4" name="TextBox 1">
          <a:extLst xmlns:a="http://schemas.openxmlformats.org/drawingml/2006/main">
            <a:ext uri="{FF2B5EF4-FFF2-40B4-BE49-F238E27FC236}">
              <a16:creationId xmlns:a16="http://schemas.microsoft.com/office/drawing/2014/main" id="{C3DF7160-5D61-43CC-CE7D-76796495FF84}"/>
            </a:ext>
          </a:extLst>
        </cdr:cNvPr>
        <cdr:cNvSpPr txBox="1"/>
      </cdr:nvSpPr>
      <cdr:spPr>
        <a:xfrm xmlns:a="http://schemas.openxmlformats.org/drawingml/2006/main">
          <a:off x="1083544" y="646559"/>
          <a:ext cx="355442" cy="112307"/>
        </a:xfrm>
        <a:prstGeom xmlns:a="http://schemas.openxmlformats.org/drawingml/2006/main" prst="rect">
          <a:avLst/>
        </a:prstGeom>
      </cdr:spPr>
      <cdr:txBody>
        <a:bodyPr xmlns:a="http://schemas.openxmlformats.org/drawingml/2006/main" wrap="square" lIns="0" tIns="0" rIns="0" bIns="0"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a:t>1994</a:t>
          </a:r>
        </a:p>
      </cdr:txBody>
    </cdr:sp>
  </cdr:relSizeAnchor>
  <cdr:relSizeAnchor xmlns:cdr="http://schemas.openxmlformats.org/drawingml/2006/chartDrawing">
    <cdr:from>
      <cdr:x>0.8283</cdr:x>
      <cdr:y>0.3223</cdr:y>
    </cdr:from>
    <cdr:to>
      <cdr:x>0.99059</cdr:x>
      <cdr:y>0.37127</cdr:y>
    </cdr:to>
    <cdr:sp macro="" textlink="">
      <cdr:nvSpPr>
        <cdr:cNvPr id="5" name="TextBox 1">
          <a:extLst xmlns:a="http://schemas.openxmlformats.org/drawingml/2006/main">
            <a:ext uri="{FF2B5EF4-FFF2-40B4-BE49-F238E27FC236}">
              <a16:creationId xmlns:a16="http://schemas.microsoft.com/office/drawing/2014/main" id="{C3DF7160-5D61-43CC-CE7D-76796495FF84}"/>
            </a:ext>
          </a:extLst>
        </cdr:cNvPr>
        <cdr:cNvSpPr txBox="1"/>
      </cdr:nvSpPr>
      <cdr:spPr>
        <a:xfrm xmlns:a="http://schemas.openxmlformats.org/drawingml/2006/main">
          <a:off x="2335309" y="651845"/>
          <a:ext cx="457560" cy="99041"/>
        </a:xfrm>
        <a:prstGeom xmlns:a="http://schemas.openxmlformats.org/drawingml/2006/main" prst="rect">
          <a:avLst/>
        </a:prstGeom>
      </cdr:spPr>
      <cdr:txBody>
        <a:bodyPr xmlns:a="http://schemas.openxmlformats.org/drawingml/2006/main" wrap="square" lIns="0" tIns="0" rIns="0" bIns="0"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a:t>2000</a:t>
          </a:r>
        </a:p>
      </cdr:txBody>
    </cdr:sp>
  </cdr:relSizeAnchor>
  <cdr:relSizeAnchor xmlns:cdr="http://schemas.openxmlformats.org/drawingml/2006/chartDrawing">
    <cdr:from>
      <cdr:x>0.86365</cdr:x>
      <cdr:y>0.40883</cdr:y>
    </cdr:from>
    <cdr:to>
      <cdr:x>0.95573</cdr:x>
      <cdr:y>0.4725</cdr:y>
    </cdr:to>
    <cdr:sp macro="" textlink="">
      <cdr:nvSpPr>
        <cdr:cNvPr id="6" name="TextBox 1">
          <a:extLst xmlns:a="http://schemas.openxmlformats.org/drawingml/2006/main">
            <a:ext uri="{FF2B5EF4-FFF2-40B4-BE49-F238E27FC236}">
              <a16:creationId xmlns:a16="http://schemas.microsoft.com/office/drawing/2014/main" id="{C3DF7160-5D61-43CC-CE7D-76796495FF84}"/>
            </a:ext>
          </a:extLst>
        </cdr:cNvPr>
        <cdr:cNvSpPr txBox="1"/>
      </cdr:nvSpPr>
      <cdr:spPr>
        <a:xfrm xmlns:a="http://schemas.openxmlformats.org/drawingml/2006/main">
          <a:off x="2434970" y="826846"/>
          <a:ext cx="259611" cy="128771"/>
        </a:xfrm>
        <a:prstGeom xmlns:a="http://schemas.openxmlformats.org/drawingml/2006/main" prst="rect">
          <a:avLst/>
        </a:prstGeom>
      </cdr:spPr>
      <cdr:txBody>
        <a:bodyPr xmlns:a="http://schemas.openxmlformats.org/drawingml/2006/main" wrap="square" lIns="0" tIns="0" rIns="0" bIns="0"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a:t>2009</a:t>
          </a:r>
        </a:p>
      </cdr:txBody>
    </cdr:sp>
  </cdr:relSizeAnchor>
  <cdr:relSizeAnchor xmlns:cdr="http://schemas.openxmlformats.org/drawingml/2006/chartDrawing">
    <cdr:from>
      <cdr:x>0.84045</cdr:x>
      <cdr:y>0.45506</cdr:y>
    </cdr:from>
    <cdr:to>
      <cdr:x>0.97765</cdr:x>
      <cdr:y>0.52723</cdr:y>
    </cdr:to>
    <cdr:sp macro="" textlink="">
      <cdr:nvSpPr>
        <cdr:cNvPr id="7" name="TextBox 1">
          <a:extLst xmlns:a="http://schemas.openxmlformats.org/drawingml/2006/main">
            <a:ext uri="{FF2B5EF4-FFF2-40B4-BE49-F238E27FC236}">
              <a16:creationId xmlns:a16="http://schemas.microsoft.com/office/drawing/2014/main" id="{C3DF7160-5D61-43CC-CE7D-76796495FF84}"/>
            </a:ext>
          </a:extLst>
        </cdr:cNvPr>
        <cdr:cNvSpPr txBox="1"/>
      </cdr:nvSpPr>
      <cdr:spPr>
        <a:xfrm xmlns:a="http://schemas.openxmlformats.org/drawingml/2006/main">
          <a:off x="2369565" y="920341"/>
          <a:ext cx="386821" cy="145962"/>
        </a:xfrm>
        <a:prstGeom xmlns:a="http://schemas.openxmlformats.org/drawingml/2006/main" prst="rect">
          <a:avLst/>
        </a:prstGeom>
      </cdr:spPr>
      <cdr:txBody>
        <a:bodyPr xmlns:a="http://schemas.openxmlformats.org/drawingml/2006/main" wrap="square" lIns="0" tIns="0" rIns="0" bIns="0"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a:t>2010</a:t>
          </a:r>
        </a:p>
      </cdr:txBody>
    </cdr:sp>
  </cdr:relSizeAnchor>
  <cdr:relSizeAnchor xmlns:cdr="http://schemas.openxmlformats.org/drawingml/2006/chartDrawing">
    <cdr:from>
      <cdr:x>0.85536</cdr:x>
      <cdr:y>0.52577</cdr:y>
    </cdr:from>
    <cdr:to>
      <cdr:x>0.96368</cdr:x>
      <cdr:y>0.57752</cdr:y>
    </cdr:to>
    <cdr:sp macro="" textlink="">
      <cdr:nvSpPr>
        <cdr:cNvPr id="8" name="TextBox 1">
          <a:extLst xmlns:a="http://schemas.openxmlformats.org/drawingml/2006/main">
            <a:ext uri="{FF2B5EF4-FFF2-40B4-BE49-F238E27FC236}">
              <a16:creationId xmlns:a16="http://schemas.microsoft.com/office/drawing/2014/main" id="{C3DF7160-5D61-43CC-CE7D-76796495FF84}"/>
            </a:ext>
          </a:extLst>
        </cdr:cNvPr>
        <cdr:cNvSpPr txBox="1"/>
      </cdr:nvSpPr>
      <cdr:spPr>
        <a:xfrm xmlns:a="http://schemas.openxmlformats.org/drawingml/2006/main">
          <a:off x="2411602" y="1063351"/>
          <a:ext cx="305397" cy="104677"/>
        </a:xfrm>
        <a:prstGeom xmlns:a="http://schemas.openxmlformats.org/drawingml/2006/main" prst="rect">
          <a:avLst/>
        </a:prstGeom>
        <a:solidFill xmlns:a="http://schemas.openxmlformats.org/drawingml/2006/main">
          <a:schemeClr val="bg1">
            <a:alpha val="38000"/>
          </a:schemeClr>
        </a:solidFill>
      </cdr:spPr>
      <cdr:txBody>
        <a:bodyPr xmlns:a="http://schemas.openxmlformats.org/drawingml/2006/main" wrap="square" lIns="0" tIns="0" rIns="0" bIns="0"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a:t>2020</a:t>
          </a:r>
        </a:p>
      </cdr:txBody>
    </cdr:sp>
  </cdr:relSizeAnchor>
  <cdr:relSizeAnchor xmlns:cdr="http://schemas.openxmlformats.org/drawingml/2006/chartDrawing">
    <cdr:from>
      <cdr:x>0.0328</cdr:x>
      <cdr:y>0.8284</cdr:y>
    </cdr:from>
    <cdr:to>
      <cdr:x>0.90762</cdr:x>
      <cdr:y>0.97296</cdr:y>
    </cdr:to>
    <cdr:sp macro="" textlink="">
      <cdr:nvSpPr>
        <cdr:cNvPr id="9" name="TextBox 8">
          <a:extLst xmlns:a="http://schemas.openxmlformats.org/drawingml/2006/main">
            <a:ext uri="{FF2B5EF4-FFF2-40B4-BE49-F238E27FC236}">
              <a16:creationId xmlns:a16="http://schemas.microsoft.com/office/drawing/2014/main" id="{474F37BC-B53E-6AF9-A576-D482B676CC54}"/>
            </a:ext>
          </a:extLst>
        </cdr:cNvPr>
        <cdr:cNvSpPr txBox="1"/>
      </cdr:nvSpPr>
      <cdr:spPr>
        <a:xfrm xmlns:a="http://schemas.openxmlformats.org/drawingml/2006/main">
          <a:off x="117817" y="2075121"/>
          <a:ext cx="3142729" cy="36210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900">
            <a:solidFill>
              <a:schemeClr val="tx1"/>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0.19194</cdr:x>
      <cdr:y>0.04146</cdr:y>
    </cdr:from>
    <cdr:to>
      <cdr:x>0.19328</cdr:x>
      <cdr:y>0.81704</cdr:y>
    </cdr:to>
    <cdr:cxnSp macro="">
      <cdr:nvCxnSpPr>
        <cdr:cNvPr id="3" name="Straight Connector 2">
          <a:extLst xmlns:a="http://schemas.openxmlformats.org/drawingml/2006/main">
            <a:ext uri="{FF2B5EF4-FFF2-40B4-BE49-F238E27FC236}">
              <a16:creationId xmlns:a16="http://schemas.microsoft.com/office/drawing/2014/main" id="{1D1A298D-4DC3-FAF6-2411-57EB61637FFB}"/>
            </a:ext>
          </a:extLst>
        </cdr:cNvPr>
        <cdr:cNvCxnSpPr/>
      </cdr:nvCxnSpPr>
      <cdr:spPr>
        <a:xfrm xmlns:a="http://schemas.openxmlformats.org/drawingml/2006/main">
          <a:off x="518480" y="103105"/>
          <a:ext cx="3619" cy="1928604"/>
        </a:xfrm>
        <a:prstGeom xmlns:a="http://schemas.openxmlformats.org/drawingml/2006/main" prst="line">
          <a:avLst/>
        </a:prstGeom>
        <a:ln xmlns:a="http://schemas.openxmlformats.org/drawingml/2006/main" w="9525">
          <a:solidFill>
            <a:srgbClr val="C00000"/>
          </a:solidFill>
          <a:prstDash val="dashDot"/>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0.08984</cdr:x>
      <cdr:y>0.05551</cdr:y>
    </cdr:from>
    <cdr:to>
      <cdr:x>0.17166</cdr:x>
      <cdr:y>0.30372</cdr:y>
    </cdr:to>
    <cdr:sp macro="" textlink="">
      <cdr:nvSpPr>
        <cdr:cNvPr id="4" name="TextBox 3">
          <a:extLst xmlns:a="http://schemas.openxmlformats.org/drawingml/2006/main">
            <a:ext uri="{FF2B5EF4-FFF2-40B4-BE49-F238E27FC236}">
              <a16:creationId xmlns:a16="http://schemas.microsoft.com/office/drawing/2014/main" id="{38234BF1-3DFB-88F6-7282-29DA18627235}"/>
            </a:ext>
          </a:extLst>
        </cdr:cNvPr>
        <cdr:cNvSpPr txBox="1"/>
      </cdr:nvSpPr>
      <cdr:spPr>
        <a:xfrm xmlns:a="http://schemas.openxmlformats.org/drawingml/2006/main" rot="16200000">
          <a:off x="44582" y="336126"/>
          <a:ext cx="617225" cy="221019"/>
        </a:xfrm>
        <a:prstGeom xmlns:a="http://schemas.openxmlformats.org/drawingml/2006/main" prst="rect">
          <a:avLst/>
        </a:prstGeom>
        <a:solidFill xmlns:a="http://schemas.openxmlformats.org/drawingml/2006/main">
          <a:schemeClr val="bg1">
            <a:alpha val="40000"/>
          </a:schemeClr>
        </a:solidFill>
      </cdr:spPr>
      <cdr:txBody>
        <a:bodyPr xmlns:a="http://schemas.openxmlformats.org/drawingml/2006/main" vertOverflow="clip" wrap="square" lIns="0" tIns="0" rIns="0" bIns="0" rtlCol="0"/>
        <a:lstStyle xmlns:a="http://schemas.openxmlformats.org/drawingml/2006/main"/>
        <a:p xmlns:a="http://schemas.openxmlformats.org/drawingml/2006/main">
          <a:pPr algn="ctr"/>
          <a:r>
            <a:rPr lang="en-US" sz="700">
              <a:solidFill>
                <a:srgbClr val="C00000"/>
              </a:solidFill>
            </a:rPr>
            <a:t>CIT regime </a:t>
          </a:r>
          <a:r>
            <a:rPr lang="en-US" sz="700" baseline="0">
              <a:solidFill>
                <a:srgbClr val="C00000"/>
              </a:solidFill>
            </a:rPr>
            <a:t>preferred</a:t>
          </a:r>
          <a:endParaRPr lang="en-US" sz="700">
            <a:solidFill>
              <a:srgbClr val="C00000"/>
            </a:solidFill>
          </a:endParaRPr>
        </a:p>
      </cdr:txBody>
    </cdr:sp>
  </cdr:relSizeAnchor>
  <cdr:relSizeAnchor xmlns:cdr="http://schemas.openxmlformats.org/drawingml/2006/chartDrawing">
    <cdr:from>
      <cdr:x>0.25829</cdr:x>
      <cdr:y>0.06129</cdr:y>
    </cdr:from>
    <cdr:to>
      <cdr:x>0.34332</cdr:x>
      <cdr:y>0.30324</cdr:y>
    </cdr:to>
    <cdr:sp macro="" textlink="">
      <cdr:nvSpPr>
        <cdr:cNvPr id="6" name="TextBox 3"/>
        <cdr:cNvSpPr txBox="1"/>
      </cdr:nvSpPr>
      <cdr:spPr>
        <a:xfrm xmlns:a="http://schemas.openxmlformats.org/drawingml/2006/main" rot="16200000">
          <a:off x="511746" y="338388"/>
          <a:ext cx="601628" cy="229683"/>
        </a:xfrm>
        <a:prstGeom xmlns:a="http://schemas.openxmlformats.org/drawingml/2006/main" prst="rect">
          <a:avLst/>
        </a:prstGeom>
        <a:solidFill xmlns:a="http://schemas.openxmlformats.org/drawingml/2006/main">
          <a:schemeClr val="bg1">
            <a:alpha val="40000"/>
          </a:schemeClr>
        </a:solidFill>
      </cdr:spPr>
      <cdr:txBody>
        <a:bodyPr xmlns:a="http://schemas.openxmlformats.org/drawingml/2006/main" wrap="square" lIns="0" tIns="0" rIns="0" bIns="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700">
              <a:solidFill>
                <a:srgbClr val="C00000"/>
              </a:solidFill>
            </a:rPr>
            <a:t>AFT regime </a:t>
          </a:r>
          <a:r>
            <a:rPr lang="en-US" sz="700" baseline="0">
              <a:solidFill>
                <a:srgbClr val="C00000"/>
              </a:solidFill>
            </a:rPr>
            <a:t>preferred</a:t>
          </a:r>
          <a:endParaRPr lang="en-US" sz="700">
            <a:solidFill>
              <a:srgbClr val="C00000"/>
            </a:solidFill>
          </a:endParaRPr>
        </a:p>
      </cdr:txBody>
    </cdr:sp>
  </cdr:relSizeAnchor>
  <cdr:relSizeAnchor xmlns:cdr="http://schemas.openxmlformats.org/drawingml/2006/chartDrawing">
    <cdr:from>
      <cdr:x>0.08984</cdr:x>
      <cdr:y>0.27884</cdr:y>
    </cdr:from>
    <cdr:to>
      <cdr:x>0.16685</cdr:x>
      <cdr:y>0.27884</cdr:y>
    </cdr:to>
    <cdr:cxnSp macro="">
      <cdr:nvCxnSpPr>
        <cdr:cNvPr id="8" name="Straight Arrow Connector 7"/>
        <cdr:cNvCxnSpPr/>
      </cdr:nvCxnSpPr>
      <cdr:spPr>
        <a:xfrm xmlns:a="http://schemas.openxmlformats.org/drawingml/2006/main" flipH="1">
          <a:off x="242684" y="693384"/>
          <a:ext cx="208015" cy="0"/>
        </a:xfrm>
        <a:prstGeom xmlns:a="http://schemas.openxmlformats.org/drawingml/2006/main" prst="straightConnector1">
          <a:avLst/>
        </a:prstGeom>
        <a:ln xmlns:a="http://schemas.openxmlformats.org/drawingml/2006/main">
          <a:solidFill>
            <a:srgbClr val="C00000"/>
          </a:solidFill>
          <a:headEnd w="sm" len="med"/>
          <a:tailEnd type="triangle" w="sm" len="sm"/>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0.26105</cdr:x>
      <cdr:y>0.27836</cdr:y>
    </cdr:from>
    <cdr:to>
      <cdr:x>0.34011</cdr:x>
      <cdr:y>0.27836</cdr:y>
    </cdr:to>
    <cdr:cxnSp macro="">
      <cdr:nvCxnSpPr>
        <cdr:cNvPr id="10" name="Straight Arrow Connector 9"/>
        <cdr:cNvCxnSpPr/>
      </cdr:nvCxnSpPr>
      <cdr:spPr>
        <a:xfrm xmlns:a="http://schemas.openxmlformats.org/drawingml/2006/main">
          <a:off x="705181" y="692180"/>
          <a:ext cx="213553" cy="0"/>
        </a:xfrm>
        <a:prstGeom xmlns:a="http://schemas.openxmlformats.org/drawingml/2006/main" prst="straightConnector1">
          <a:avLst/>
        </a:prstGeom>
        <a:ln xmlns:a="http://schemas.openxmlformats.org/drawingml/2006/main">
          <a:solidFill>
            <a:srgbClr val="C00000"/>
          </a:solidFill>
          <a:headEnd w="sm" len="med"/>
          <a:tailEnd type="triangle" w="sm" len="sm"/>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415D4868F01D41828FAA18EBFAC58C" ma:contentTypeVersion="21" ma:contentTypeDescription="Create a new document." ma:contentTypeScope="" ma:versionID="e41aaad808c6befc792e5f9d7aeada51">
  <xsd:schema xmlns:xsd="http://www.w3.org/2001/XMLSchema" xmlns:xs="http://www.w3.org/2001/XMLSchema" xmlns:p="http://schemas.microsoft.com/office/2006/metadata/properties" xmlns:ns1="http://schemas.microsoft.com/sharepoint/v3" xmlns:ns2="16749bcd-202b-45a6-b82c-8615dddd9fa0" xmlns:ns3="2641b737-115f-42df-827f-8167af235cdb" xmlns:ns4="3e02667f-0271-471b-bd6e-11a2e16def1d" targetNamespace="http://schemas.microsoft.com/office/2006/metadata/properties" ma:root="true" ma:fieldsID="d9a03f1bf29dd671879fbd8166194d35" ns1:_="" ns2:_="" ns3:_="" ns4:_="">
    <xsd:import namespace="http://schemas.microsoft.com/sharepoint/v3"/>
    <xsd:import namespace="16749bcd-202b-45a6-b82c-8615dddd9fa0"/>
    <xsd:import namespace="2641b737-115f-42df-827f-8167af235cdb"/>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749bcd-202b-45a6-b82c-8615dddd9f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41b737-115f-42df-827f-8167af235c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74f0ec6-92f1-47d3-8cb1-b91686d8c552}" ma:internalName="TaxCatchAll" ma:showField="CatchAllData" ma:web="2641b737-115f-42df-827f-8167af235c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641b737-115f-42df-827f-8167af235cdb">
      <UserInfo>
        <DisplayName>Rong Qian</DisplayName>
        <AccountId>496</AccountId>
        <AccountType/>
      </UserInfo>
      <UserInfo>
        <DisplayName>Anthony Obeyesekere</DisplayName>
        <AccountId>72</AccountId>
        <AccountType/>
      </UserInfo>
      <UserInfo>
        <DisplayName>Ratih Dwi Rahmadanti</DisplayName>
        <AccountId>29</AccountId>
        <AccountType/>
      </UserInfo>
      <UserInfo>
        <DisplayName>Muhammad Khudadad Chattha</DisplayName>
        <AccountId>341</AccountId>
        <AccountType/>
      </UserInfo>
      <UserInfo>
        <DisplayName>Dwi Endah Abriningrum</DisplayName>
        <AccountId>13</AccountId>
        <AccountType/>
      </UserInfo>
      <UserInfo>
        <DisplayName>Habib Rab</DisplayName>
        <AccountId>91</AccountId>
        <AccountType/>
      </UserInfo>
    </SharedWithUsers>
    <lcf76f155ced4ddcb4097134ff3c332f xmlns="16749bcd-202b-45a6-b82c-8615dddd9fa0">
      <Terms xmlns="http://schemas.microsoft.com/office/infopath/2007/PartnerControls"/>
    </lcf76f155ced4ddcb4097134ff3c332f>
    <TaxCatchAll xmlns="3e02667f-0271-471b-bd6e-11a2e16def1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9BAE6D-74D7-49EE-A09C-3E5347587DB7}">
  <ds:schemaRefs>
    <ds:schemaRef ds:uri="http://schemas.openxmlformats.org/officeDocument/2006/bibliography"/>
  </ds:schemaRefs>
</ds:datastoreItem>
</file>

<file path=customXml/itemProps2.xml><?xml version="1.0" encoding="utf-8"?>
<ds:datastoreItem xmlns:ds="http://schemas.openxmlformats.org/officeDocument/2006/customXml" ds:itemID="{0D4EE6BF-9DAB-4255-A321-35FF49586B85}">
  <ds:schemaRefs>
    <ds:schemaRef ds:uri="http://schemas.microsoft.com/sharepoint/v3/contenttype/forms"/>
  </ds:schemaRefs>
</ds:datastoreItem>
</file>

<file path=customXml/itemProps3.xml><?xml version="1.0" encoding="utf-8"?>
<ds:datastoreItem xmlns:ds="http://schemas.openxmlformats.org/officeDocument/2006/customXml" ds:itemID="{26F259D8-8243-4BD9-BA96-963999F12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749bcd-202b-45a6-b82c-8615dddd9fa0"/>
    <ds:schemaRef ds:uri="2641b737-115f-42df-827f-8167af235cdb"/>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40088-FD2B-4431-BCB8-67A0134433BB}">
  <ds:schemaRefs>
    <ds:schemaRef ds:uri="http://schemas.microsoft.com/office/2006/metadata/properties"/>
    <ds:schemaRef ds:uri="http://schemas.microsoft.com/office/infopath/2007/PartnerControls"/>
    <ds:schemaRef ds:uri="2641b737-115f-42df-827f-8167af235cdb"/>
    <ds:schemaRef ds:uri="16749bcd-202b-45a6-b82c-8615dddd9fa0"/>
    <ds:schemaRef ds:uri="3e02667f-0271-471b-bd6e-11a2e16def1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2564</TotalTime>
  <Pages>67</Pages>
  <Words>28240</Words>
  <Characters>160968</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Obeyesekere</dc:creator>
  <cp:keywords/>
  <dc:description/>
  <cp:lastModifiedBy>Ratih Dwi Rahmadanti</cp:lastModifiedBy>
  <cp:revision>640</cp:revision>
  <cp:lastPrinted>2024-08-04T13:16:00Z</cp:lastPrinted>
  <dcterms:created xsi:type="dcterms:W3CDTF">2024-09-21T11:56:00Z</dcterms:created>
  <dcterms:modified xsi:type="dcterms:W3CDTF">2025-06-26T07:27:00Z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0x010100ED415D4868F01D41828FAA18EBFAC58C</vt:lpwstr>
  </property>
  <property fmtid="{D5CDD505-2E9C-101B-9397-08002B2CF9AE}" pid="3" name="MediaServiceImageTags">
    <vt:lpwstr/>
  </property>
  <property fmtid="{D5CDD505-2E9C-101B-9397-08002B2CF9AE}" pid="4" name="ClassificationContentMarkingFooterShapeIds">
    <vt:lpwstr>774a209b,568f0bdc,750fdcac,5f76ebe4,339d3c20,26331533,19556af6,12a7d2f3,4d03b575,58f57cce,48655ad6,7671fc9d</vt:lpwstr>
  </property>
  <property fmtid="{D5CDD505-2E9C-101B-9397-08002B2CF9AE}" pid="5" name="ClassificationContentMarkingFooterFontProps">
    <vt:lpwstr>#000000,10,Calibri</vt:lpwstr>
  </property>
  <property fmtid="{D5CDD505-2E9C-101B-9397-08002B2CF9AE}" pid="6" name="ClassificationContentMarkingFooterText">
    <vt:lpwstr>Official Use Only</vt:lpwstr>
  </property>
  <property fmtid="{D5CDD505-2E9C-101B-9397-08002B2CF9AE}" pid="7" name="MSIP_Label_f1bf45b6-5649-4236-82a3-f45024cd282e_Enabled">
    <vt:lpwstr>true</vt:lpwstr>
  </property>
  <property fmtid="{D5CDD505-2E9C-101B-9397-08002B2CF9AE}" pid="8" name="MSIP_Label_f1bf45b6-5649-4236-82a3-f45024cd282e_SetDate">
    <vt:lpwstr>2025-06-24T08:41:58Z</vt:lpwstr>
  </property>
  <property fmtid="{D5CDD505-2E9C-101B-9397-08002B2CF9AE}" pid="9" name="MSIP_Label_f1bf45b6-5649-4236-82a3-f45024cd282e_Method">
    <vt:lpwstr>Standard</vt:lpwstr>
  </property>
  <property fmtid="{D5CDD505-2E9C-101B-9397-08002B2CF9AE}" pid="10" name="MSIP_Label_f1bf45b6-5649-4236-82a3-f45024cd282e_Name">
    <vt:lpwstr>Official Use Only</vt:lpwstr>
  </property>
  <property fmtid="{D5CDD505-2E9C-101B-9397-08002B2CF9AE}" pid="11" name="MSIP_Label_f1bf45b6-5649-4236-82a3-f45024cd282e_SiteId">
    <vt:lpwstr>31a2fec0-266b-4c67-b56e-2796d8f59c36</vt:lpwstr>
  </property>
  <property fmtid="{D5CDD505-2E9C-101B-9397-08002B2CF9AE}" pid="12" name="MSIP_Label_f1bf45b6-5649-4236-82a3-f45024cd282e_ActionId">
    <vt:lpwstr>c7053da1-3f75-42f5-be58-0dc2eb6c78a8</vt:lpwstr>
  </property>
  <property fmtid="{D5CDD505-2E9C-101B-9397-08002B2CF9AE}" pid="13" name="MSIP_Label_f1bf45b6-5649-4236-82a3-f45024cd282e_ContentBits">
    <vt:lpwstr>2</vt:lpwstr>
  </property>
  <property fmtid="{D5CDD505-2E9C-101B-9397-08002B2CF9AE}" pid="14" name="MSIP_Label_f1bf45b6-5649-4236-82a3-f45024cd282e_Tag">
    <vt:lpwstr>10, 3, 0, 1</vt:lpwstr>
  </property>
</Properties>
</file>